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4A4944" w14:paraId="4474F8CD" w14:textId="77777777" w:rsidTr="00425111">
        <w:trPr>
          <w:trHeight w:hRule="exact" w:val="1418"/>
        </w:trPr>
        <w:tc>
          <w:tcPr>
            <w:tcW w:w="6804" w:type="dxa"/>
            <w:shd w:val="clear" w:color="auto" w:fill="auto"/>
            <w:vAlign w:val="center"/>
          </w:tcPr>
          <w:p w14:paraId="4BB3178C" w14:textId="77777777" w:rsidR="00757DD5" w:rsidRPr="004A4944" w:rsidRDefault="008E64A1" w:rsidP="00425111">
            <w:pPr>
              <w:pStyle w:val="EPName"/>
              <w:rPr>
                <w:lang w:val="en-GB"/>
              </w:rPr>
            </w:pPr>
            <w:r w:rsidRPr="004A4944">
              <w:rPr>
                <w:lang w:val="en-GB"/>
              </w:rPr>
              <w:t>European Parliament</w:t>
            </w:r>
          </w:p>
          <w:p w14:paraId="309B44AE" w14:textId="77777777" w:rsidR="00757DD5" w:rsidRPr="004A4944" w:rsidRDefault="008E64A1" w:rsidP="00425111">
            <w:pPr>
              <w:pStyle w:val="EPTerm"/>
              <w:rPr>
                <w:rStyle w:val="HideTWBExt"/>
                <w:vanish w:val="0"/>
                <w:lang w:val="en-GB"/>
              </w:rPr>
            </w:pPr>
            <w:r w:rsidRPr="0083623A">
              <w:rPr>
                <w:lang w:val="en-GB"/>
              </w:rPr>
              <w:t>2024</w:t>
            </w:r>
            <w:r w:rsidRPr="004A4944">
              <w:rPr>
                <w:lang w:val="en-GB"/>
              </w:rPr>
              <w:t>-</w:t>
            </w:r>
            <w:r w:rsidRPr="0083623A">
              <w:rPr>
                <w:lang w:val="en-GB"/>
              </w:rPr>
              <w:t>2029</w:t>
            </w:r>
          </w:p>
        </w:tc>
        <w:tc>
          <w:tcPr>
            <w:tcW w:w="2268" w:type="dxa"/>
            <w:shd w:val="clear" w:color="auto" w:fill="auto"/>
          </w:tcPr>
          <w:p w14:paraId="4FA6937D" w14:textId="77777777" w:rsidR="00757DD5" w:rsidRPr="004A4944" w:rsidRDefault="00172070" w:rsidP="00425111">
            <w:pPr>
              <w:pStyle w:val="EPLogo"/>
            </w:pPr>
            <w:r w:rsidRPr="004A4944">
              <w:rPr>
                <w:noProof/>
                <w:lang w:val="pl-PL" w:eastAsia="pl-PL"/>
              </w:rPr>
              <w:drawing>
                <wp:inline distT="0" distB="0" distL="0" distR="0" wp14:anchorId="6AE43A13" wp14:editId="5094C93D">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5679BADF" w14:textId="77777777" w:rsidR="008E7632" w:rsidRPr="004A4944" w:rsidRDefault="008E7632" w:rsidP="008E7632">
      <w:pPr>
        <w:pStyle w:val="LineTop"/>
        <w:rPr>
          <w:lang w:val="en-GB"/>
        </w:rPr>
      </w:pPr>
    </w:p>
    <w:p w14:paraId="1702D428" w14:textId="77777777" w:rsidR="008E7632" w:rsidRPr="004A4944" w:rsidRDefault="008E64A1" w:rsidP="008E7632">
      <w:pPr>
        <w:pStyle w:val="ZSessionDoc"/>
        <w:rPr>
          <w:b/>
          <w:i w:val="0"/>
        </w:rPr>
      </w:pPr>
      <w:r w:rsidRPr="004A4944">
        <w:rPr>
          <w:b/>
          <w:i w:val="0"/>
        </w:rPr>
        <w:t>TEXTS ADOPTED</w:t>
      </w:r>
    </w:p>
    <w:p w14:paraId="6291BF85" w14:textId="77777777" w:rsidR="008E7632" w:rsidRPr="004A4944" w:rsidRDefault="008E64A1" w:rsidP="008E7632">
      <w:pPr>
        <w:pStyle w:val="LineBottom"/>
      </w:pPr>
      <w:r w:rsidRPr="004A4944">
        <w:rPr>
          <w:rFonts w:cs="Arial"/>
          <w:i/>
          <w:sz w:val="20"/>
          <w:szCs w:val="22"/>
        </w:rPr>
        <w:t xml:space="preserve"> </w:t>
      </w:r>
    </w:p>
    <w:p w14:paraId="0C6D4BFA" w14:textId="7CE67290" w:rsidR="009C4014" w:rsidRPr="004A4944" w:rsidRDefault="008E64A1" w:rsidP="00E21EAF">
      <w:pPr>
        <w:pStyle w:val="ATHeading1"/>
        <w:rPr>
          <w:lang w:val="en-GB"/>
        </w:rPr>
      </w:pPr>
      <w:bookmarkStart w:id="0" w:name="TA_Heading"/>
      <w:r w:rsidRPr="004A4944">
        <w:rPr>
          <w:lang w:val="en-GB"/>
        </w:rPr>
        <w:t>P</w:t>
      </w:r>
      <w:r w:rsidRPr="0083623A">
        <w:rPr>
          <w:lang w:val="en-GB"/>
        </w:rPr>
        <w:t>10</w:t>
      </w:r>
      <w:r w:rsidRPr="004A4944">
        <w:rPr>
          <w:lang w:val="en-GB"/>
        </w:rPr>
        <w:t>_TA(</w:t>
      </w:r>
      <w:r w:rsidRPr="0083623A">
        <w:rPr>
          <w:lang w:val="en-GB"/>
        </w:rPr>
        <w:t>2024</w:t>
      </w:r>
      <w:r w:rsidRPr="004A4944">
        <w:rPr>
          <w:lang w:val="en-GB"/>
        </w:rPr>
        <w:t>)</w:t>
      </w:r>
      <w:bookmarkEnd w:id="0"/>
      <w:r w:rsidR="00821C30" w:rsidRPr="0083623A">
        <w:rPr>
          <w:lang w:val="en-GB"/>
        </w:rPr>
        <w:t>00</w:t>
      </w:r>
      <w:r w:rsidR="006730EE" w:rsidRPr="0083623A">
        <w:rPr>
          <w:lang w:val="en-GB"/>
        </w:rPr>
        <w:t>58</w:t>
      </w:r>
    </w:p>
    <w:p w14:paraId="2D1D9DBD" w14:textId="77777777" w:rsidR="00E21EAF" w:rsidRPr="004A4944" w:rsidRDefault="008E64A1" w:rsidP="00E21EAF">
      <w:pPr>
        <w:pStyle w:val="ATHeading2"/>
        <w:rPr>
          <w:lang w:val="en-GB"/>
        </w:rPr>
      </w:pPr>
      <w:bookmarkStart w:id="1" w:name="title"/>
      <w:r w:rsidRPr="004A4944">
        <w:rPr>
          <w:lang w:val="en-GB"/>
        </w:rPr>
        <w:t>Deforestation Regulation: provisions relating to the date of application</w:t>
      </w:r>
      <w:bookmarkStart w:id="2" w:name="Etoiles"/>
      <w:bookmarkEnd w:id="1"/>
      <w:bookmarkEnd w:id="2"/>
    </w:p>
    <w:bookmarkStart w:id="3" w:name="Commission"/>
    <w:p w14:paraId="316318D9" w14:textId="63E6C752" w:rsidR="00F55264" w:rsidRPr="004A4944" w:rsidRDefault="00F55264" w:rsidP="00F55264">
      <w:pPr>
        <w:rPr>
          <w:i/>
          <w:vanish/>
          <w:lang w:val="en-GB"/>
        </w:rPr>
      </w:pPr>
      <w:r w:rsidRPr="004A4944">
        <w:rPr>
          <w:i/>
        </w:rPr>
        <w:fldChar w:fldCharType="begin"/>
      </w:r>
      <w:r w:rsidRPr="004A4944">
        <w:rPr>
          <w:i/>
          <w:lang w:val="en-GB"/>
        </w:rPr>
        <w:instrText xml:space="preserve"> TC"</w:instrText>
      </w:r>
      <w:bookmarkStart w:id="4" w:name="DocNumber"/>
      <w:r w:rsidRPr="004A4944">
        <w:rPr>
          <w:i/>
          <w:lang w:val="en-GB"/>
        </w:rPr>
        <w:instrText>(C</w:instrText>
      </w:r>
      <w:r w:rsidRPr="0083623A">
        <w:rPr>
          <w:i/>
          <w:lang w:val="en-GB"/>
        </w:rPr>
        <w:instrText>10</w:instrText>
      </w:r>
      <w:r w:rsidRPr="004A4944">
        <w:rPr>
          <w:i/>
          <w:lang w:val="en-GB"/>
        </w:rPr>
        <w:instrText>-</w:instrText>
      </w:r>
      <w:r w:rsidRPr="0083623A">
        <w:rPr>
          <w:i/>
          <w:lang w:val="en-GB"/>
        </w:rPr>
        <w:instrText>0119</w:instrText>
      </w:r>
      <w:r w:rsidRPr="004A4944">
        <w:rPr>
          <w:i/>
          <w:lang w:val="en-GB"/>
        </w:rPr>
        <w:instrText>/</w:instrText>
      </w:r>
      <w:r w:rsidRPr="0083623A">
        <w:rPr>
          <w:i/>
          <w:lang w:val="en-GB"/>
        </w:rPr>
        <w:instrText>2024</w:instrText>
      </w:r>
      <w:r w:rsidR="0092406F" w:rsidRPr="004A4944">
        <w:rPr>
          <w:i/>
          <w:lang w:val="en-GB"/>
        </w:rPr>
        <w:instrText xml:space="preserve"> - Rapporteur: Christine Schneider</w:instrText>
      </w:r>
      <w:r w:rsidRPr="004A4944">
        <w:rPr>
          <w:i/>
          <w:lang w:val="en-GB"/>
        </w:rPr>
        <w:instrText>)</w:instrText>
      </w:r>
      <w:bookmarkEnd w:id="4"/>
      <w:r w:rsidRPr="004A4944">
        <w:rPr>
          <w:i/>
          <w:lang w:val="en-GB"/>
        </w:rPr>
        <w:instrText>"\l</w:instrText>
      </w:r>
      <w:r w:rsidRPr="0083623A">
        <w:rPr>
          <w:i/>
          <w:lang w:val="en-GB"/>
        </w:rPr>
        <w:instrText>3</w:instrText>
      </w:r>
      <w:r w:rsidRPr="004A4944">
        <w:rPr>
          <w:i/>
          <w:lang w:val="en-GB"/>
        </w:rPr>
        <w:instrText xml:space="preserve"> \n&gt; \* MERGEFORMAT </w:instrText>
      </w:r>
      <w:r w:rsidRPr="004A4944">
        <w:rPr>
          <w:i/>
        </w:rPr>
        <w:fldChar w:fldCharType="end"/>
      </w:r>
    </w:p>
    <w:p w14:paraId="296EE75D" w14:textId="7AD8B080" w:rsidR="00F05537" w:rsidRPr="004A4944" w:rsidRDefault="00F55264" w:rsidP="00F55264">
      <w:pPr>
        <w:rPr>
          <w:vanish/>
          <w:lang w:val="en-GB"/>
        </w:rPr>
      </w:pPr>
      <w:r w:rsidRPr="004A4944">
        <w:rPr>
          <w:vanish/>
          <w:lang w:val="en-GB"/>
        </w:rPr>
        <w:t>Committee on the Environment, Public Health and Food Safety</w:t>
      </w:r>
    </w:p>
    <w:p w14:paraId="42021DF9" w14:textId="3C80F3A0" w:rsidR="009C4014" w:rsidRPr="004A4944" w:rsidRDefault="007B191A" w:rsidP="009C4014">
      <w:pPr>
        <w:rPr>
          <w:vanish/>
          <w:lang w:val="en-GB"/>
        </w:rPr>
      </w:pPr>
      <w:bookmarkStart w:id="5" w:name="PE"/>
      <w:bookmarkEnd w:id="3"/>
      <w:r w:rsidRPr="004A4944">
        <w:rPr>
          <w:vanish/>
          <w:lang w:val="en-GB"/>
        </w:rPr>
        <w:t>PE</w:t>
      </w:r>
      <w:r w:rsidR="00E512DA" w:rsidRPr="0083623A">
        <w:rPr>
          <w:vanish/>
          <w:lang w:val="en-GB"/>
        </w:rPr>
        <w:t>765</w:t>
      </w:r>
      <w:r w:rsidR="00E512DA" w:rsidRPr="004A4944">
        <w:rPr>
          <w:vanish/>
          <w:lang w:val="en-GB"/>
        </w:rPr>
        <w:t>.</w:t>
      </w:r>
      <w:r w:rsidR="00E512DA" w:rsidRPr="0083623A">
        <w:rPr>
          <w:vanish/>
          <w:lang w:val="en-GB"/>
        </w:rPr>
        <w:t>661</w:t>
      </w:r>
      <w:bookmarkEnd w:id="5"/>
    </w:p>
    <w:p w14:paraId="6644C221" w14:textId="45DD804D" w:rsidR="009C4014" w:rsidRPr="004A4944" w:rsidRDefault="008E64A1" w:rsidP="008E64A1">
      <w:pPr>
        <w:pStyle w:val="ATHeading3"/>
        <w:rPr>
          <w:lang w:val="en-GB"/>
        </w:rPr>
      </w:pPr>
      <w:bookmarkStart w:id="6" w:name="Sujet"/>
      <w:r w:rsidRPr="004A4944">
        <w:rPr>
          <w:lang w:val="en-GB"/>
        </w:rPr>
        <w:t xml:space="preserve">European Parliament </w:t>
      </w:r>
      <w:r w:rsidR="007775DE" w:rsidRPr="004A4944">
        <w:rPr>
          <w:lang w:val="en-GB"/>
        </w:rPr>
        <w:t xml:space="preserve">legislative resolution </w:t>
      </w:r>
      <w:r w:rsidR="00AA7F87" w:rsidRPr="004A4944">
        <w:rPr>
          <w:lang w:val="en-GB"/>
        </w:rPr>
        <w:t xml:space="preserve">of </w:t>
      </w:r>
      <w:r w:rsidR="00AA7F87" w:rsidRPr="0083623A">
        <w:rPr>
          <w:lang w:val="en-GB"/>
        </w:rPr>
        <w:t>17</w:t>
      </w:r>
      <w:r w:rsidR="00AA7F87" w:rsidRPr="004A4944">
        <w:rPr>
          <w:lang w:val="en-GB"/>
        </w:rPr>
        <w:t xml:space="preserve"> December</w:t>
      </w:r>
      <w:r w:rsidRPr="004A4944">
        <w:rPr>
          <w:lang w:val="en-GB"/>
        </w:rPr>
        <w:t xml:space="preserve"> </w:t>
      </w:r>
      <w:r w:rsidRPr="0083623A">
        <w:rPr>
          <w:lang w:val="en-GB"/>
        </w:rPr>
        <w:t>2024</w:t>
      </w:r>
      <w:r w:rsidRPr="004A4944">
        <w:rPr>
          <w:lang w:val="en-GB"/>
        </w:rPr>
        <w:t xml:space="preserve"> on the proposal for a regulation of the European Parliament and of the Coun</w:t>
      </w:r>
      <w:bookmarkEnd w:id="6"/>
      <w:r w:rsidRPr="004A4944">
        <w:rPr>
          <w:lang w:val="en-GB"/>
        </w:rPr>
        <w:t>cil</w:t>
      </w:r>
      <w:r w:rsidR="00E73B02" w:rsidRPr="004A4944">
        <w:rPr>
          <w:lang w:val="en-GB"/>
        </w:rPr>
        <w:t xml:space="preserve"> </w:t>
      </w:r>
      <w:bookmarkStart w:id="7" w:name="References"/>
      <w:r w:rsidRPr="004A4944">
        <w:rPr>
          <w:lang w:val="en-GB"/>
        </w:rPr>
        <w:t xml:space="preserve">amending Regulation (EU) </w:t>
      </w:r>
      <w:r w:rsidRPr="0083623A">
        <w:rPr>
          <w:lang w:val="en-GB"/>
        </w:rPr>
        <w:t>2023</w:t>
      </w:r>
      <w:r w:rsidRPr="004A4944">
        <w:rPr>
          <w:lang w:val="en-GB"/>
        </w:rPr>
        <w:t>/</w:t>
      </w:r>
      <w:r w:rsidRPr="0083623A">
        <w:rPr>
          <w:lang w:val="en-GB"/>
        </w:rPr>
        <w:t>1115</w:t>
      </w:r>
      <w:r w:rsidRPr="004A4944">
        <w:rPr>
          <w:lang w:val="en-GB"/>
        </w:rPr>
        <w:t xml:space="preserve"> as regards provisions relating to the date of application</w:t>
      </w:r>
      <w:r w:rsidR="00C868DC" w:rsidRPr="004A4944">
        <w:rPr>
          <w:lang w:val="en-GB"/>
        </w:rPr>
        <w:t xml:space="preserve"> </w:t>
      </w:r>
      <w:r w:rsidRPr="004A4944">
        <w:rPr>
          <w:lang w:val="en-GB"/>
        </w:rPr>
        <w:t>(</w:t>
      </w:r>
      <w:r w:rsidR="00C868DC" w:rsidRPr="004A4944">
        <w:rPr>
          <w:lang w:val="en-GB"/>
        </w:rPr>
        <w:t>COM(</w:t>
      </w:r>
      <w:r w:rsidR="00C868DC" w:rsidRPr="0083623A">
        <w:rPr>
          <w:lang w:val="en-GB"/>
        </w:rPr>
        <w:t>2024</w:t>
      </w:r>
      <w:r w:rsidR="00C868DC" w:rsidRPr="004A4944">
        <w:rPr>
          <w:lang w:val="en-GB"/>
        </w:rPr>
        <w:t>)</w:t>
      </w:r>
      <w:r w:rsidR="00C868DC" w:rsidRPr="0083623A">
        <w:rPr>
          <w:lang w:val="en-GB"/>
        </w:rPr>
        <w:t>0452</w:t>
      </w:r>
      <w:r w:rsidR="00C868DC" w:rsidRPr="004A4944">
        <w:rPr>
          <w:lang w:val="en-GB"/>
        </w:rPr>
        <w:t xml:space="preserve"> </w:t>
      </w:r>
      <w:r w:rsidR="00483E63" w:rsidRPr="004A4944">
        <w:rPr>
          <w:lang w:val="en-GB"/>
        </w:rPr>
        <w:t>–</w:t>
      </w:r>
      <w:r w:rsidR="00C868DC" w:rsidRPr="004A4944">
        <w:rPr>
          <w:lang w:val="en-GB"/>
        </w:rPr>
        <w:t xml:space="preserve"> C</w:t>
      </w:r>
      <w:r w:rsidR="00C868DC" w:rsidRPr="0083623A">
        <w:rPr>
          <w:lang w:val="en-GB"/>
        </w:rPr>
        <w:t>10</w:t>
      </w:r>
      <w:r w:rsidR="00C868DC" w:rsidRPr="004A4944">
        <w:rPr>
          <w:lang w:val="en-GB"/>
        </w:rPr>
        <w:t>-</w:t>
      </w:r>
      <w:r w:rsidR="00C868DC" w:rsidRPr="0083623A">
        <w:rPr>
          <w:lang w:val="en-GB"/>
        </w:rPr>
        <w:t>0119</w:t>
      </w:r>
      <w:r w:rsidR="00C868DC" w:rsidRPr="004A4944">
        <w:rPr>
          <w:lang w:val="en-GB"/>
        </w:rPr>
        <w:t>/</w:t>
      </w:r>
      <w:r w:rsidR="00C868DC" w:rsidRPr="0083623A">
        <w:rPr>
          <w:lang w:val="en-GB"/>
        </w:rPr>
        <w:t>2024</w:t>
      </w:r>
      <w:r w:rsidR="00C868DC" w:rsidRPr="004A4944">
        <w:rPr>
          <w:lang w:val="en-GB"/>
        </w:rPr>
        <w:t xml:space="preserve"> </w:t>
      </w:r>
      <w:r w:rsidR="00483E63" w:rsidRPr="004A4944">
        <w:rPr>
          <w:lang w:val="en-GB"/>
        </w:rPr>
        <w:t>–</w:t>
      </w:r>
      <w:r w:rsidR="00C868DC" w:rsidRPr="004A4944">
        <w:rPr>
          <w:lang w:val="en-GB"/>
        </w:rPr>
        <w:t xml:space="preserve"> </w:t>
      </w:r>
      <w:r w:rsidRPr="0083623A">
        <w:rPr>
          <w:lang w:val="en-GB"/>
        </w:rPr>
        <w:t>2024</w:t>
      </w:r>
      <w:r w:rsidRPr="004A4944">
        <w:rPr>
          <w:lang w:val="en-GB"/>
        </w:rPr>
        <w:t>/</w:t>
      </w:r>
      <w:r w:rsidRPr="0083623A">
        <w:rPr>
          <w:lang w:val="en-GB"/>
        </w:rPr>
        <w:t>0249</w:t>
      </w:r>
      <w:r w:rsidRPr="004A4944">
        <w:rPr>
          <w:lang w:val="en-GB"/>
        </w:rPr>
        <w:t>(COD))</w:t>
      </w:r>
      <w:bookmarkEnd w:id="7"/>
    </w:p>
    <w:p w14:paraId="55DDA35E" w14:textId="0188F348" w:rsidR="00AA7F87" w:rsidRPr="004A4944" w:rsidRDefault="00483E63" w:rsidP="00AA7F87">
      <w:pPr>
        <w:pStyle w:val="ATHeading3"/>
        <w:rPr>
          <w:lang w:val="en-GB"/>
        </w:rPr>
      </w:pPr>
      <w:r w:rsidRPr="004A4944">
        <w:rPr>
          <w:lang w:val="en-GB"/>
        </w:rPr>
        <w:t>(Ordinary legislative procedure: first reading)</w:t>
      </w:r>
    </w:p>
    <w:p w14:paraId="340DB067" w14:textId="77777777" w:rsidR="00AA7F87" w:rsidRPr="004A4944" w:rsidRDefault="00AA7F87" w:rsidP="00AA7F87">
      <w:pPr>
        <w:pStyle w:val="Normal12"/>
        <w:spacing w:before="360"/>
        <w:rPr>
          <w:i/>
          <w:szCs w:val="24"/>
        </w:rPr>
      </w:pPr>
      <w:bookmarkStart w:id="8" w:name="TextBodyBegin"/>
      <w:bookmarkEnd w:id="8"/>
      <w:r w:rsidRPr="004A4944">
        <w:rPr>
          <w:i/>
          <w:szCs w:val="24"/>
        </w:rPr>
        <w:t>The European Parliament,</w:t>
      </w:r>
    </w:p>
    <w:p w14:paraId="0C353211" w14:textId="77777777" w:rsidR="00AA7F87" w:rsidRPr="004A4944" w:rsidRDefault="00AA7F87" w:rsidP="00AA7F87">
      <w:pPr>
        <w:pStyle w:val="Normal12Hanging"/>
        <w:widowControl/>
        <w:ind w:left="567" w:hanging="567"/>
      </w:pPr>
      <w:r w:rsidRPr="004A4944">
        <w:t>–</w:t>
      </w:r>
      <w:r w:rsidRPr="004A4944">
        <w:tab/>
        <w:t>having regard to the Commission proposal to Parliament and the Council (</w:t>
      </w:r>
      <w:proofErr w:type="gramStart"/>
      <w:r w:rsidRPr="004A4944">
        <w:t>COM(</w:t>
      </w:r>
      <w:proofErr w:type="gramEnd"/>
      <w:r w:rsidRPr="0083623A">
        <w:t>2024</w:t>
      </w:r>
      <w:r w:rsidRPr="004A4944">
        <w:t>)</w:t>
      </w:r>
      <w:r w:rsidRPr="0083623A">
        <w:t>0452</w:t>
      </w:r>
      <w:r w:rsidRPr="004A4944">
        <w:t>),</w:t>
      </w:r>
    </w:p>
    <w:p w14:paraId="6FCE7710" w14:textId="77777777" w:rsidR="00AA7F87" w:rsidRPr="004A4944" w:rsidRDefault="00AA7F87" w:rsidP="00AA7F87">
      <w:pPr>
        <w:pStyle w:val="Normal12Hanging"/>
        <w:widowControl/>
        <w:ind w:left="567" w:hanging="567"/>
      </w:pPr>
      <w:r w:rsidRPr="004A4944">
        <w:t>–</w:t>
      </w:r>
      <w:r w:rsidRPr="004A4944">
        <w:tab/>
        <w:t>having regard to Article </w:t>
      </w:r>
      <w:r w:rsidRPr="0083623A">
        <w:t>294</w:t>
      </w:r>
      <w:r w:rsidRPr="004A4944">
        <w:t>(</w:t>
      </w:r>
      <w:r w:rsidRPr="0083623A">
        <w:t>2</w:t>
      </w:r>
      <w:r w:rsidRPr="004A4944">
        <w:t>) and Article </w:t>
      </w:r>
      <w:r w:rsidRPr="0083623A">
        <w:t>192</w:t>
      </w:r>
      <w:r w:rsidRPr="004A4944">
        <w:t>(</w:t>
      </w:r>
      <w:r w:rsidRPr="0083623A">
        <w:t>1</w:t>
      </w:r>
      <w:r w:rsidRPr="004A4944">
        <w:t>)) of the Treaty on the Functioning of the European Union, pursuant to which the Commission submitted the proposal to Parliament (C</w:t>
      </w:r>
      <w:r w:rsidRPr="0083623A">
        <w:t>10</w:t>
      </w:r>
      <w:r w:rsidRPr="004A4944">
        <w:t>-</w:t>
      </w:r>
      <w:r w:rsidRPr="0083623A">
        <w:t>0119</w:t>
      </w:r>
      <w:r w:rsidRPr="004A4944">
        <w:t>/</w:t>
      </w:r>
      <w:r w:rsidRPr="0083623A">
        <w:t>2024</w:t>
      </w:r>
      <w:r w:rsidRPr="004A4944">
        <w:t>),</w:t>
      </w:r>
    </w:p>
    <w:p w14:paraId="5EBA8630" w14:textId="77777777" w:rsidR="00AA7F87" w:rsidRPr="004A4944" w:rsidRDefault="00AA7F87" w:rsidP="00AA7F87">
      <w:pPr>
        <w:pStyle w:val="Normal12Hanging"/>
        <w:widowControl/>
        <w:ind w:left="567" w:hanging="567"/>
      </w:pPr>
      <w:r w:rsidRPr="004A4944">
        <w:t>–</w:t>
      </w:r>
      <w:r w:rsidRPr="004A4944">
        <w:tab/>
        <w:t>having regard to Article </w:t>
      </w:r>
      <w:r w:rsidRPr="0083623A">
        <w:t>294</w:t>
      </w:r>
      <w:r w:rsidRPr="004A4944">
        <w:t>(</w:t>
      </w:r>
      <w:r w:rsidRPr="0083623A">
        <w:t>3</w:t>
      </w:r>
      <w:r w:rsidRPr="004A4944">
        <w:t>) of the Treaty on the Functioning of the European Union,</w:t>
      </w:r>
    </w:p>
    <w:p w14:paraId="34BAD680" w14:textId="77777777" w:rsidR="00AA7F87" w:rsidRPr="004A4944" w:rsidRDefault="00AA7F87" w:rsidP="00AA7F87">
      <w:pPr>
        <w:pStyle w:val="Normal12Hanging"/>
        <w:widowControl/>
        <w:ind w:left="567" w:hanging="567"/>
      </w:pPr>
      <w:r w:rsidRPr="004A4944">
        <w:t>–</w:t>
      </w:r>
      <w:r w:rsidRPr="004A4944">
        <w:tab/>
        <w:t xml:space="preserve">having regard to the opinion of the European Economic and Social Committee of </w:t>
      </w:r>
      <w:r w:rsidRPr="0083623A">
        <w:rPr>
          <w:szCs w:val="24"/>
          <w:lang w:val="en-US"/>
        </w:rPr>
        <w:t>23</w:t>
      </w:r>
      <w:r w:rsidRPr="004A4944">
        <w:rPr>
          <w:szCs w:val="24"/>
          <w:lang w:val="en-US"/>
        </w:rPr>
        <w:t xml:space="preserve"> October </w:t>
      </w:r>
      <w:r w:rsidRPr="0083623A">
        <w:t>2024</w:t>
      </w:r>
      <w:r w:rsidRPr="004A4944">
        <w:rPr>
          <w:rStyle w:val="FootnoteReference"/>
        </w:rPr>
        <w:footnoteReference w:id="1"/>
      </w:r>
      <w:r w:rsidRPr="004A4944">
        <w:t>,</w:t>
      </w:r>
    </w:p>
    <w:p w14:paraId="7EC3B806" w14:textId="77777777" w:rsidR="00AA7F87" w:rsidRPr="004A4944" w:rsidRDefault="00AA7F87" w:rsidP="00AA7F87">
      <w:pPr>
        <w:pStyle w:val="Normal12Hanging"/>
        <w:widowControl/>
        <w:ind w:left="567" w:hanging="567"/>
      </w:pPr>
      <w:r w:rsidRPr="004A4944">
        <w:t>–</w:t>
      </w:r>
      <w:r w:rsidRPr="004A4944">
        <w:tab/>
      </w:r>
      <w:proofErr w:type="gramStart"/>
      <w:r w:rsidRPr="004A4944">
        <w:t>after</w:t>
      </w:r>
      <w:proofErr w:type="gramEnd"/>
      <w:r w:rsidRPr="004A4944">
        <w:t xml:space="preserve"> consulting the Committee of the Regions,</w:t>
      </w:r>
    </w:p>
    <w:p w14:paraId="21038BDF" w14:textId="42AFEBB3" w:rsidR="00C84968" w:rsidRPr="004A4944" w:rsidRDefault="00C84968" w:rsidP="00AA7F87">
      <w:pPr>
        <w:pStyle w:val="Normal12Hanging"/>
        <w:widowControl/>
        <w:ind w:left="567" w:hanging="567"/>
      </w:pPr>
      <w:r w:rsidRPr="004A4944">
        <w:t>–</w:t>
      </w:r>
      <w:r w:rsidRPr="004A4944">
        <w:tab/>
        <w:t xml:space="preserve">having regard to the provisional agreement approved by the committee responsible under Rule </w:t>
      </w:r>
      <w:r w:rsidRPr="0083623A">
        <w:t>75</w:t>
      </w:r>
      <w:r w:rsidRPr="004A4944">
        <w:t>(</w:t>
      </w:r>
      <w:r w:rsidRPr="0083623A">
        <w:t>4</w:t>
      </w:r>
      <w:r w:rsidRPr="004A4944">
        <w:t xml:space="preserve">) of its Rules of Procedure and the undertaking given by the Council representative by letters of </w:t>
      </w:r>
      <w:r w:rsidRPr="0083623A">
        <w:t>16</w:t>
      </w:r>
      <w:r w:rsidRPr="004A4944">
        <w:t xml:space="preserve"> October </w:t>
      </w:r>
      <w:r w:rsidRPr="0083623A">
        <w:t>2024</w:t>
      </w:r>
      <w:r w:rsidRPr="004A4944">
        <w:t xml:space="preserve"> and </w:t>
      </w:r>
      <w:r w:rsidR="00E8435B" w:rsidRPr="0083623A">
        <w:t>4</w:t>
      </w:r>
      <w:r w:rsidRPr="004A4944">
        <w:t xml:space="preserve"> December </w:t>
      </w:r>
      <w:r w:rsidRPr="0083623A">
        <w:t>2024</w:t>
      </w:r>
      <w:r w:rsidRPr="004A4944">
        <w:t xml:space="preserve"> to approve Parliament’s position, in accordance with Article </w:t>
      </w:r>
      <w:r w:rsidRPr="0083623A">
        <w:t>294</w:t>
      </w:r>
      <w:r w:rsidRPr="004A4944">
        <w:t>(</w:t>
      </w:r>
      <w:r w:rsidRPr="0083623A">
        <w:t>4</w:t>
      </w:r>
      <w:r w:rsidRPr="004A4944">
        <w:t>) of the Treaty on the Functioning of the European Union,</w:t>
      </w:r>
    </w:p>
    <w:p w14:paraId="4E598124" w14:textId="77777777" w:rsidR="00AA7F87" w:rsidRPr="004A4944" w:rsidRDefault="00AA7F87" w:rsidP="00AA7F87">
      <w:pPr>
        <w:pStyle w:val="Normal12Hanging"/>
        <w:widowControl/>
        <w:ind w:left="567" w:hanging="567"/>
      </w:pPr>
      <w:r w:rsidRPr="004A4944">
        <w:t>–</w:t>
      </w:r>
      <w:r w:rsidRPr="004A4944">
        <w:tab/>
        <w:t xml:space="preserve">having regard to Rules </w:t>
      </w:r>
      <w:r w:rsidRPr="0083623A">
        <w:t>60</w:t>
      </w:r>
      <w:r w:rsidRPr="004A4944">
        <w:t xml:space="preserve"> and </w:t>
      </w:r>
      <w:r w:rsidRPr="0083623A">
        <w:t>170</w:t>
      </w:r>
      <w:r w:rsidRPr="004A4944">
        <w:t xml:space="preserve"> of its Rules of Procedure,</w:t>
      </w:r>
    </w:p>
    <w:p w14:paraId="5ABC1C71" w14:textId="4A3AF86D" w:rsidR="00AA7F87" w:rsidRPr="004A4944" w:rsidRDefault="00AA7F87" w:rsidP="00AA7F87">
      <w:pPr>
        <w:pStyle w:val="Normal12Hanging"/>
        <w:widowControl/>
        <w:ind w:left="567" w:hanging="567"/>
      </w:pPr>
      <w:r w:rsidRPr="0083623A">
        <w:lastRenderedPageBreak/>
        <w:t>1</w:t>
      </w:r>
      <w:r w:rsidRPr="004A4944">
        <w:t>.</w:t>
      </w:r>
      <w:r w:rsidRPr="004A4944">
        <w:tab/>
      </w:r>
      <w:proofErr w:type="gramStart"/>
      <w:r w:rsidRPr="004A4944">
        <w:t>Adopts</w:t>
      </w:r>
      <w:proofErr w:type="gramEnd"/>
      <w:r w:rsidRPr="004A4944">
        <w:t xml:space="preserve"> its position at first reading hereinafter set out</w:t>
      </w:r>
      <w:r w:rsidR="00E8435B" w:rsidRPr="004A4944">
        <w:rPr>
          <w:rStyle w:val="FootnoteReference"/>
        </w:rPr>
        <w:footnoteReference w:id="2"/>
      </w:r>
      <w:r w:rsidRPr="004A4944">
        <w:t>;</w:t>
      </w:r>
    </w:p>
    <w:p w14:paraId="16F20E50" w14:textId="40867C3C" w:rsidR="00C84968" w:rsidRPr="004A4944" w:rsidRDefault="00C84968" w:rsidP="00AA7F87">
      <w:pPr>
        <w:pStyle w:val="Normal12Hanging"/>
        <w:widowControl/>
        <w:ind w:left="567" w:hanging="567"/>
      </w:pPr>
      <w:r w:rsidRPr="0083623A">
        <w:t>2</w:t>
      </w:r>
      <w:r w:rsidRPr="004A4944">
        <w:t>.</w:t>
      </w:r>
      <w:r w:rsidRPr="004A4944">
        <w:tab/>
        <w:t>Takes note of the statement by the Commission annexed to this resolution</w:t>
      </w:r>
      <w:proofErr w:type="gramStart"/>
      <w:r w:rsidRPr="004A4944">
        <w:t>;</w:t>
      </w:r>
      <w:proofErr w:type="gramEnd"/>
    </w:p>
    <w:p w14:paraId="7D9BF722" w14:textId="71F2189A" w:rsidR="00AA7F87" w:rsidRPr="004A4944" w:rsidRDefault="00C84968" w:rsidP="00AA7F87">
      <w:pPr>
        <w:pStyle w:val="Normal12Hanging"/>
        <w:widowControl/>
        <w:ind w:left="567" w:hanging="567"/>
      </w:pPr>
      <w:r w:rsidRPr="0083623A">
        <w:t>3</w:t>
      </w:r>
      <w:r w:rsidR="00AA7F87" w:rsidRPr="004A4944">
        <w:t>.</w:t>
      </w:r>
      <w:r w:rsidR="00AA7F87" w:rsidRPr="004A4944">
        <w:tab/>
        <w:t>Calls on the Commission to refer the matter to Parliament again if it replaces, substantially amends or intends to substantially amend its proposal</w:t>
      </w:r>
      <w:proofErr w:type="gramStart"/>
      <w:r w:rsidR="00AA7F87" w:rsidRPr="004A4944">
        <w:t>;</w:t>
      </w:r>
      <w:proofErr w:type="gramEnd"/>
    </w:p>
    <w:p w14:paraId="6364DC9E" w14:textId="6FA6BF55" w:rsidR="00AA7F87" w:rsidRPr="004A4944" w:rsidRDefault="00C84968" w:rsidP="00AA7F87">
      <w:pPr>
        <w:pStyle w:val="Normal12"/>
        <w:widowControl/>
        <w:ind w:left="567" w:hanging="567"/>
      </w:pPr>
      <w:r w:rsidRPr="0083623A">
        <w:t>4</w:t>
      </w:r>
      <w:r w:rsidR="00AA7F87" w:rsidRPr="004A4944">
        <w:t>.</w:t>
      </w:r>
      <w:r w:rsidR="00AA7F87" w:rsidRPr="004A4944">
        <w:tab/>
        <w:t>Instructs its President to forward its position to the Council, the Commission and the national parliaments.</w:t>
      </w:r>
    </w:p>
    <w:p w14:paraId="0809BEB2" w14:textId="5CCB968D" w:rsidR="00483E63" w:rsidRPr="004A4944" w:rsidRDefault="00483E63" w:rsidP="00483E63">
      <w:pPr>
        <w:pStyle w:val="Normal12"/>
        <w:widowControl/>
        <w:ind w:left="567" w:hanging="567"/>
      </w:pPr>
    </w:p>
    <w:p w14:paraId="78E5580D" w14:textId="77777777" w:rsidR="00483E63" w:rsidRPr="004A4944" w:rsidRDefault="00483E63" w:rsidP="009F28EF">
      <w:pPr>
        <w:pStyle w:val="Normal12"/>
        <w:rPr>
          <w:szCs w:val="24"/>
        </w:rPr>
        <w:sectPr w:rsidR="00483E63" w:rsidRPr="004A4944" w:rsidSect="00666512">
          <w:footerReference w:type="even" r:id="rId9"/>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p>
    <w:p w14:paraId="6EC03948" w14:textId="77777777" w:rsidR="00AB7F40" w:rsidRPr="004A4944" w:rsidRDefault="00AB7F40" w:rsidP="00AB7F40">
      <w:pPr>
        <w:autoSpaceDE w:val="0"/>
        <w:autoSpaceDN w:val="0"/>
        <w:adjustRightInd w:val="0"/>
        <w:spacing w:after="240"/>
        <w:rPr>
          <w:rFonts w:eastAsia="Calibri"/>
          <w:b/>
          <w:bCs/>
          <w:color w:val="000000"/>
          <w:szCs w:val="24"/>
          <w:lang w:val="en-GB"/>
        </w:rPr>
      </w:pPr>
      <w:bookmarkStart w:id="9" w:name="_DV_M1"/>
      <w:bookmarkStart w:id="10" w:name="_DV_M2"/>
      <w:bookmarkEnd w:id="9"/>
      <w:bookmarkEnd w:id="10"/>
      <w:r w:rsidRPr="004A4944">
        <w:rPr>
          <w:rFonts w:eastAsia="Calibri"/>
          <w:b/>
          <w:bCs/>
          <w:color w:val="000000"/>
          <w:szCs w:val="24"/>
          <w:lang w:val="en-GB"/>
        </w:rPr>
        <w:lastRenderedPageBreak/>
        <w:t>P</w:t>
      </w:r>
      <w:r w:rsidRPr="0083623A">
        <w:rPr>
          <w:rFonts w:eastAsia="Calibri"/>
          <w:b/>
          <w:bCs/>
          <w:color w:val="000000"/>
          <w:szCs w:val="24"/>
          <w:lang w:val="en-GB"/>
        </w:rPr>
        <w:t>10</w:t>
      </w:r>
      <w:r w:rsidRPr="004A4944">
        <w:rPr>
          <w:rFonts w:eastAsia="Calibri"/>
          <w:b/>
          <w:bCs/>
          <w:color w:val="000000"/>
          <w:szCs w:val="24"/>
          <w:lang w:val="en-GB"/>
        </w:rPr>
        <w:t>_TC</w:t>
      </w:r>
      <w:r w:rsidRPr="0083623A">
        <w:rPr>
          <w:rFonts w:eastAsia="Calibri"/>
          <w:b/>
          <w:bCs/>
          <w:color w:val="000000"/>
          <w:szCs w:val="24"/>
          <w:lang w:val="en-GB"/>
        </w:rPr>
        <w:t>1</w:t>
      </w:r>
      <w:r w:rsidRPr="004A4944">
        <w:rPr>
          <w:rFonts w:eastAsia="Calibri"/>
          <w:b/>
          <w:bCs/>
          <w:color w:val="000000"/>
          <w:szCs w:val="24"/>
          <w:lang w:val="en-GB"/>
        </w:rPr>
        <w:t>-</w:t>
      </w:r>
      <w:proofErr w:type="gramStart"/>
      <w:r w:rsidRPr="004A4944">
        <w:rPr>
          <w:rFonts w:eastAsia="Calibri"/>
          <w:b/>
          <w:bCs/>
          <w:color w:val="000000"/>
          <w:szCs w:val="24"/>
          <w:lang w:val="en-GB"/>
        </w:rPr>
        <w:t>COD(</w:t>
      </w:r>
      <w:proofErr w:type="gramEnd"/>
      <w:r w:rsidRPr="0083623A">
        <w:rPr>
          <w:rFonts w:eastAsia="Calibri"/>
          <w:b/>
          <w:bCs/>
          <w:color w:val="000000"/>
          <w:szCs w:val="24"/>
          <w:lang w:val="en-GB"/>
        </w:rPr>
        <w:t>2024</w:t>
      </w:r>
      <w:r w:rsidRPr="004A4944">
        <w:rPr>
          <w:rFonts w:eastAsia="Calibri"/>
          <w:b/>
          <w:bCs/>
          <w:color w:val="000000"/>
          <w:szCs w:val="24"/>
          <w:lang w:val="en-GB"/>
        </w:rPr>
        <w:t>)</w:t>
      </w:r>
      <w:r w:rsidRPr="0083623A">
        <w:rPr>
          <w:rFonts w:eastAsia="Calibri"/>
          <w:b/>
          <w:bCs/>
          <w:color w:val="000000"/>
          <w:szCs w:val="24"/>
          <w:lang w:val="en-GB"/>
        </w:rPr>
        <w:t>0249</w:t>
      </w:r>
    </w:p>
    <w:p w14:paraId="619476B4" w14:textId="0656F8C4" w:rsidR="00AB7F40" w:rsidRDefault="00AB7F40" w:rsidP="001047CD">
      <w:pPr>
        <w:pStyle w:val="Normal12"/>
        <w:rPr>
          <w:rFonts w:eastAsia="Calibri"/>
          <w:szCs w:val="24"/>
          <w:lang w:eastAsia="en-US"/>
        </w:rPr>
      </w:pPr>
      <w:r w:rsidRPr="004A4944">
        <w:rPr>
          <w:b/>
          <w:bCs/>
          <w:szCs w:val="24"/>
        </w:rPr>
        <w:t xml:space="preserve">Position of the European Parliament adopted at first reading on </w:t>
      </w:r>
      <w:r w:rsidRPr="0083623A">
        <w:rPr>
          <w:b/>
          <w:bCs/>
          <w:szCs w:val="24"/>
        </w:rPr>
        <w:t>17</w:t>
      </w:r>
      <w:r w:rsidRPr="004A4944">
        <w:rPr>
          <w:b/>
          <w:bCs/>
          <w:szCs w:val="24"/>
        </w:rPr>
        <w:t xml:space="preserve"> December </w:t>
      </w:r>
      <w:r w:rsidRPr="0083623A">
        <w:rPr>
          <w:b/>
          <w:bCs/>
          <w:szCs w:val="24"/>
        </w:rPr>
        <w:t>2024</w:t>
      </w:r>
      <w:r w:rsidRPr="004A4944">
        <w:rPr>
          <w:b/>
          <w:bCs/>
          <w:szCs w:val="24"/>
        </w:rPr>
        <w:t xml:space="preserve"> with a view to the adoption of Regulation (EU) </w:t>
      </w:r>
      <w:r w:rsidRPr="0083623A">
        <w:rPr>
          <w:b/>
          <w:bCs/>
          <w:szCs w:val="24"/>
        </w:rPr>
        <w:t>2024</w:t>
      </w:r>
      <w:r w:rsidRPr="004A4944">
        <w:rPr>
          <w:b/>
          <w:bCs/>
          <w:szCs w:val="24"/>
        </w:rPr>
        <w:t xml:space="preserve">/… of the European Parliament and of the Council amending Regulation (EU) </w:t>
      </w:r>
      <w:r w:rsidRPr="0083623A">
        <w:rPr>
          <w:b/>
          <w:bCs/>
          <w:szCs w:val="24"/>
        </w:rPr>
        <w:t>2023</w:t>
      </w:r>
      <w:r w:rsidRPr="004A4944">
        <w:rPr>
          <w:b/>
          <w:bCs/>
          <w:szCs w:val="24"/>
        </w:rPr>
        <w:t>/</w:t>
      </w:r>
      <w:r w:rsidRPr="0083623A">
        <w:rPr>
          <w:b/>
          <w:bCs/>
          <w:szCs w:val="24"/>
        </w:rPr>
        <w:t>1115</w:t>
      </w:r>
      <w:r w:rsidRPr="004A4944">
        <w:rPr>
          <w:b/>
          <w:bCs/>
          <w:szCs w:val="24"/>
        </w:rPr>
        <w:t xml:space="preserve"> as regards provisions relating to the date of application</w:t>
      </w:r>
    </w:p>
    <w:p w14:paraId="6E8DB4BD" w14:textId="45A281B6" w:rsidR="001047CD" w:rsidRPr="001047CD" w:rsidRDefault="001047CD" w:rsidP="00AB7F40">
      <w:pPr>
        <w:spacing w:before="120" w:after="120" w:line="360" w:lineRule="auto"/>
        <w:rPr>
          <w:rFonts w:eastAsia="Calibri"/>
          <w:i/>
          <w:szCs w:val="24"/>
          <w:lang w:val="en-GB" w:eastAsia="en-US"/>
        </w:rPr>
        <w:sectPr w:rsidR="001047CD" w:rsidRPr="001047CD" w:rsidSect="00483E63">
          <w:footerReference w:type="default" r:id="rId10"/>
          <w:footnotePr>
            <w:numRestart w:val="eachSect"/>
          </w:footnotePr>
          <w:endnotePr>
            <w:numFmt w:val="decimal"/>
          </w:endnotePr>
          <w:pgSz w:w="11905" w:h="16837" w:code="9"/>
          <w:pgMar w:top="1134" w:right="1418" w:bottom="1418" w:left="1418" w:header="720" w:footer="397" w:gutter="0"/>
          <w:cols w:space="720"/>
          <w:noEndnote/>
          <w:docGrid w:linePitch="326"/>
        </w:sectPr>
      </w:pPr>
      <w:r w:rsidRPr="001047CD">
        <w:rPr>
          <w:rFonts w:eastAsia="Calibri"/>
          <w:i/>
          <w:szCs w:val="24"/>
          <w:lang w:val="en-GB" w:eastAsia="en-US"/>
        </w:rPr>
        <w:t xml:space="preserve">(As an agreement </w:t>
      </w:r>
      <w:proofErr w:type="gramStart"/>
      <w:r w:rsidRPr="001047CD">
        <w:rPr>
          <w:rFonts w:eastAsia="Calibri"/>
          <w:i/>
          <w:szCs w:val="24"/>
          <w:lang w:val="en-GB" w:eastAsia="en-US"/>
        </w:rPr>
        <w:t>was reached</w:t>
      </w:r>
      <w:proofErr w:type="gramEnd"/>
      <w:r w:rsidRPr="001047CD">
        <w:rPr>
          <w:rFonts w:eastAsia="Calibri"/>
          <w:i/>
          <w:szCs w:val="24"/>
          <w:lang w:val="en-GB" w:eastAsia="en-US"/>
        </w:rPr>
        <w:t xml:space="preserve"> between Parliament and Council, Parliament's position corresponds to the final legislative act, Regulation (EU) 2024/3234.)</w:t>
      </w:r>
    </w:p>
    <w:p w14:paraId="73750240" w14:textId="285F3854" w:rsidR="009F28EF" w:rsidRPr="004A4944" w:rsidRDefault="007348B1" w:rsidP="0069237A">
      <w:pPr>
        <w:pStyle w:val="Normal12"/>
        <w:jc w:val="right"/>
        <w:rPr>
          <w:szCs w:val="24"/>
        </w:rPr>
      </w:pPr>
      <w:r w:rsidRPr="004A4944">
        <w:rPr>
          <w:szCs w:val="24"/>
        </w:rPr>
        <w:lastRenderedPageBreak/>
        <w:t>ANNEX TO THE LEGISLATIVE RESOLUTION</w:t>
      </w:r>
    </w:p>
    <w:p w14:paraId="3B4F4C4D" w14:textId="3E8D69EF" w:rsidR="007348B1" w:rsidRPr="004A4944" w:rsidRDefault="007348B1" w:rsidP="007348B1">
      <w:pPr>
        <w:widowControl w:val="0"/>
        <w:spacing w:before="240" w:after="360" w:line="360" w:lineRule="auto"/>
        <w:rPr>
          <w:bCs/>
          <w:sz w:val="28"/>
          <w:szCs w:val="28"/>
          <w:lang w:val="en-GB"/>
        </w:rPr>
      </w:pPr>
      <w:r w:rsidRPr="004A4944">
        <w:rPr>
          <w:b/>
          <w:bCs/>
          <w:szCs w:val="24"/>
          <w:lang w:val="en-GB"/>
        </w:rPr>
        <w:t xml:space="preserve">Commission statement </w:t>
      </w:r>
      <w:proofErr w:type="gramStart"/>
      <w:r w:rsidRPr="004A4944">
        <w:rPr>
          <w:b/>
          <w:bCs/>
          <w:szCs w:val="24"/>
          <w:lang w:val="en-GB"/>
        </w:rPr>
        <w:t>on the occasion of</w:t>
      </w:r>
      <w:proofErr w:type="gramEnd"/>
      <w:r w:rsidRPr="004A4944">
        <w:rPr>
          <w:b/>
          <w:bCs/>
          <w:szCs w:val="24"/>
          <w:lang w:val="en-GB"/>
        </w:rPr>
        <w:t xml:space="preserve"> the adoption of Regulation (EU) </w:t>
      </w:r>
      <w:r w:rsidRPr="0083623A">
        <w:rPr>
          <w:b/>
          <w:bCs/>
          <w:szCs w:val="24"/>
          <w:lang w:val="en-GB"/>
        </w:rPr>
        <w:t>2024</w:t>
      </w:r>
      <w:r w:rsidRPr="004A4944">
        <w:rPr>
          <w:b/>
          <w:bCs/>
          <w:szCs w:val="24"/>
          <w:lang w:val="en-GB"/>
        </w:rPr>
        <w:t>/</w:t>
      </w:r>
      <w:r w:rsidR="001047CD">
        <w:rPr>
          <w:b/>
          <w:bCs/>
          <w:szCs w:val="24"/>
          <w:lang w:val="en-GB"/>
        </w:rPr>
        <w:t>3234</w:t>
      </w:r>
      <w:r w:rsidRPr="004A4944">
        <w:rPr>
          <w:b/>
          <w:bCs/>
          <w:szCs w:val="24"/>
          <w:lang w:val="en-GB"/>
        </w:rPr>
        <w:t xml:space="preserve"> of the European Parliament and of the Council of </w:t>
      </w:r>
      <w:r w:rsidR="001047CD">
        <w:rPr>
          <w:b/>
          <w:bCs/>
          <w:szCs w:val="24"/>
          <w:lang w:val="en-GB"/>
        </w:rPr>
        <w:t>19 December 2024</w:t>
      </w:r>
      <w:r w:rsidRPr="004A4944">
        <w:rPr>
          <w:b/>
          <w:bCs/>
          <w:szCs w:val="24"/>
          <w:lang w:val="en-GB"/>
        </w:rPr>
        <w:t xml:space="preserve"> amending Regulation (EU) </w:t>
      </w:r>
      <w:r w:rsidRPr="0083623A">
        <w:rPr>
          <w:b/>
          <w:bCs/>
          <w:szCs w:val="24"/>
          <w:lang w:val="en-GB"/>
        </w:rPr>
        <w:t>2023</w:t>
      </w:r>
      <w:r w:rsidRPr="004A4944">
        <w:rPr>
          <w:b/>
          <w:bCs/>
          <w:szCs w:val="24"/>
          <w:lang w:val="en-GB"/>
        </w:rPr>
        <w:t>/</w:t>
      </w:r>
      <w:r w:rsidRPr="0083623A">
        <w:rPr>
          <w:b/>
          <w:bCs/>
          <w:szCs w:val="24"/>
          <w:lang w:val="en-GB"/>
        </w:rPr>
        <w:t>1115</w:t>
      </w:r>
      <w:r w:rsidRPr="004A4944">
        <w:rPr>
          <w:b/>
          <w:bCs/>
          <w:szCs w:val="24"/>
          <w:lang w:val="en-GB"/>
        </w:rPr>
        <w:t xml:space="preserve"> as regards provisions relating to the date of application</w:t>
      </w:r>
      <w:r w:rsidR="001047CD">
        <w:rPr>
          <w:rStyle w:val="FootnoteReference"/>
          <w:b/>
          <w:bCs/>
          <w:szCs w:val="24"/>
          <w:lang w:val="en-GB"/>
        </w:rPr>
        <w:footnoteReference w:id="3"/>
      </w:r>
    </w:p>
    <w:p w14:paraId="6C2EFE3C" w14:textId="77777777" w:rsidR="007348B1" w:rsidRPr="004A4944" w:rsidRDefault="007348B1" w:rsidP="007348B1">
      <w:pPr>
        <w:widowControl w:val="0"/>
        <w:spacing w:before="120" w:after="120" w:line="360" w:lineRule="auto"/>
        <w:jc w:val="both"/>
        <w:rPr>
          <w:lang w:val="en-GB"/>
        </w:rPr>
      </w:pPr>
      <w:r w:rsidRPr="004A4944">
        <w:rPr>
          <w:lang w:val="en-GB"/>
        </w:rPr>
        <w:t xml:space="preserve">The Commission remains committed to easing the burden on businesses by reducing administrative requirements and eliminating unnecessary bureaucratic burdens. </w:t>
      </w:r>
    </w:p>
    <w:p w14:paraId="61DC42F3" w14:textId="77777777" w:rsidR="007348B1" w:rsidRPr="004A4944" w:rsidRDefault="007348B1" w:rsidP="007348B1">
      <w:pPr>
        <w:widowControl w:val="0"/>
        <w:spacing w:before="120" w:after="120" w:line="360" w:lineRule="auto"/>
        <w:jc w:val="both"/>
        <w:rPr>
          <w:lang w:val="en-GB"/>
        </w:rPr>
      </w:pPr>
      <w:r w:rsidRPr="004A4944">
        <w:rPr>
          <w:lang w:val="en-GB"/>
        </w:rPr>
        <w:t xml:space="preserve">To achieve this in relation to Regulation (EU) </w:t>
      </w:r>
      <w:r w:rsidRPr="0083623A">
        <w:rPr>
          <w:lang w:val="en-GB"/>
        </w:rPr>
        <w:t>2023</w:t>
      </w:r>
      <w:r w:rsidRPr="004A4944">
        <w:rPr>
          <w:lang w:val="en-GB"/>
        </w:rPr>
        <w:t>/</w:t>
      </w:r>
      <w:r w:rsidRPr="0083623A">
        <w:rPr>
          <w:lang w:val="en-GB"/>
        </w:rPr>
        <w:t>1115</w:t>
      </w:r>
      <w:r w:rsidRPr="004A4944">
        <w:rPr>
          <w:lang w:val="en-GB"/>
        </w:rPr>
        <w:t xml:space="preserve">, the Commission will provide further clarifications and explore additional simplifications, and streamline reporting and documentation obligations, to keep them to a necessary minimum, in full compliance with the objectives of the Regulation. </w:t>
      </w:r>
      <w:proofErr w:type="gramStart"/>
      <w:r w:rsidRPr="004A4944">
        <w:rPr>
          <w:lang w:val="en-GB"/>
        </w:rPr>
        <w:t>To this effect and to address these issues,</w:t>
      </w:r>
      <w:proofErr w:type="gramEnd"/>
      <w:r w:rsidRPr="004A4944">
        <w:rPr>
          <w:lang w:val="en-GB"/>
        </w:rPr>
        <w:t xml:space="preserve"> the Commission will publish an updated edition of the Guidelines and Frequently Asked Questions. The Commission will also continue responding to feedback from stakeholders and Member States, assisting the traders and operators in implementation, in particular with regard to the obligation to submit due diligence statements throughout the value chain. </w:t>
      </w:r>
    </w:p>
    <w:p w14:paraId="5A01478E" w14:textId="77777777" w:rsidR="007348B1" w:rsidRPr="004A4944" w:rsidRDefault="007348B1" w:rsidP="007348B1">
      <w:pPr>
        <w:widowControl w:val="0"/>
        <w:spacing w:before="120" w:after="120" w:line="360" w:lineRule="auto"/>
        <w:jc w:val="both"/>
        <w:rPr>
          <w:lang w:val="en-GB"/>
        </w:rPr>
      </w:pPr>
      <w:r w:rsidRPr="004A4944">
        <w:rPr>
          <w:lang w:val="en-GB"/>
        </w:rPr>
        <w:t xml:space="preserve">In order to allow traders and operators, in collaboration with competent authorities, to be in a position to meet the requirements of the Regulation, the Commission is prioritising the operationalization of the Information System. The benchmarking risk categorisation is also key to ensure predictability in the application of the Regulation for operators, traders, producing countries and competent authorities. The Commission strongly commits to ensure that both the Information System and the proposal for the risk classification should be available as soon as possible but no later than six months before the Regulation enters into application. </w:t>
      </w:r>
    </w:p>
    <w:p w14:paraId="7E230646" w14:textId="77777777" w:rsidR="007348B1" w:rsidRPr="004A4944" w:rsidRDefault="007348B1" w:rsidP="007348B1">
      <w:pPr>
        <w:widowControl w:val="0"/>
        <w:spacing w:before="120" w:after="120" w:line="360" w:lineRule="auto"/>
        <w:jc w:val="both"/>
        <w:rPr>
          <w:lang w:val="en-GB"/>
        </w:rPr>
      </w:pPr>
      <w:r w:rsidRPr="004A4944">
        <w:rPr>
          <w:lang w:val="en-GB"/>
        </w:rPr>
        <w:t xml:space="preserve">In the context of the general review of the Regulation, expected no later than </w:t>
      </w:r>
      <w:r w:rsidRPr="0083623A">
        <w:rPr>
          <w:lang w:val="en-GB"/>
        </w:rPr>
        <w:t>30</w:t>
      </w:r>
      <w:r w:rsidRPr="004A4944">
        <w:rPr>
          <w:lang w:val="en-GB"/>
        </w:rPr>
        <w:t xml:space="preserve"> June </w:t>
      </w:r>
      <w:r w:rsidRPr="0083623A">
        <w:rPr>
          <w:lang w:val="en-GB"/>
        </w:rPr>
        <w:t>2028</w:t>
      </w:r>
      <w:r w:rsidRPr="004A4944">
        <w:rPr>
          <w:lang w:val="en-GB"/>
        </w:rPr>
        <w:t>, the Commission will analyse, based where appropriate on an impact assessment, additional measures to simplify and reduce the administrative burden. This analysis will include the need for and the feasibility of reduced requirements in relation to sourcing from countries and parts thereof that have achieved positive results in line with the objectives of the Regulation.</w:t>
      </w:r>
      <w:bookmarkStart w:id="11" w:name="_GoBack"/>
      <w:bookmarkEnd w:id="11"/>
    </w:p>
    <w:sectPr w:rsidR="007348B1" w:rsidRPr="004A4944" w:rsidSect="00483E63">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A6B2D" w14:textId="77777777" w:rsidR="008E64A1" w:rsidRDefault="008E64A1" w:rsidP="009C4014">
      <w:r>
        <w:separator/>
      </w:r>
    </w:p>
  </w:endnote>
  <w:endnote w:type="continuationSeparator" w:id="0">
    <w:p w14:paraId="5FB0B33F" w14:textId="77777777" w:rsidR="008E64A1" w:rsidRDefault="008E64A1"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91350"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F4BB" w14:textId="4F4159B3" w:rsidR="00EE26A3" w:rsidRPr="00EE26A3" w:rsidRDefault="00EE26A3" w:rsidP="00EE2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78815" w14:textId="77777777" w:rsidR="008E64A1" w:rsidRDefault="008E64A1" w:rsidP="009C4014">
      <w:r>
        <w:separator/>
      </w:r>
    </w:p>
  </w:footnote>
  <w:footnote w:type="continuationSeparator" w:id="0">
    <w:p w14:paraId="7F40B072" w14:textId="77777777" w:rsidR="008E64A1" w:rsidRDefault="008E64A1" w:rsidP="009C4014">
      <w:r>
        <w:continuationSeparator/>
      </w:r>
    </w:p>
  </w:footnote>
  <w:footnote w:id="1">
    <w:p w14:paraId="0C688A24" w14:textId="77777777" w:rsidR="00AA7F87" w:rsidRPr="004A4944" w:rsidRDefault="00AA7F87" w:rsidP="00CA502C">
      <w:pPr>
        <w:pStyle w:val="FootnoteText"/>
        <w:keepLines w:val="0"/>
        <w:ind w:left="709" w:hanging="709"/>
        <w:rPr>
          <w:sz w:val="24"/>
          <w:szCs w:val="24"/>
          <w:lang w:val="en-GB"/>
        </w:rPr>
      </w:pPr>
      <w:r w:rsidRPr="004A4944">
        <w:rPr>
          <w:rStyle w:val="FootnoteReference"/>
          <w:sz w:val="24"/>
          <w:szCs w:val="24"/>
        </w:rPr>
        <w:footnoteRef/>
      </w:r>
      <w:r w:rsidRPr="004A4944">
        <w:rPr>
          <w:sz w:val="24"/>
          <w:szCs w:val="24"/>
          <w:lang w:val="en-GB"/>
        </w:rPr>
        <w:t xml:space="preserve"> </w:t>
      </w:r>
      <w:r w:rsidRPr="004A4944">
        <w:rPr>
          <w:sz w:val="24"/>
          <w:szCs w:val="24"/>
          <w:lang w:val="en-GB"/>
        </w:rPr>
        <w:tab/>
        <w:t>Not yet published in the Official Journal.</w:t>
      </w:r>
    </w:p>
  </w:footnote>
  <w:footnote w:id="2">
    <w:p w14:paraId="53594B55" w14:textId="61AE38A1" w:rsidR="00E8435B" w:rsidRPr="004A4944" w:rsidRDefault="00E8435B" w:rsidP="00CA502C">
      <w:pPr>
        <w:pStyle w:val="FootnoteText"/>
        <w:ind w:left="709" w:hanging="709"/>
        <w:rPr>
          <w:sz w:val="24"/>
          <w:szCs w:val="24"/>
          <w:lang w:val="en-GB"/>
        </w:rPr>
      </w:pPr>
      <w:r w:rsidRPr="004A4944">
        <w:rPr>
          <w:rStyle w:val="FootnoteReference"/>
          <w:sz w:val="24"/>
          <w:szCs w:val="24"/>
        </w:rPr>
        <w:footnoteRef/>
      </w:r>
      <w:r w:rsidRPr="004A4944">
        <w:rPr>
          <w:sz w:val="24"/>
          <w:szCs w:val="24"/>
          <w:lang w:val="en-GB"/>
        </w:rPr>
        <w:t xml:space="preserve"> </w:t>
      </w:r>
      <w:r w:rsidRPr="004A4944">
        <w:rPr>
          <w:sz w:val="24"/>
          <w:szCs w:val="24"/>
          <w:lang w:val="en-GB"/>
        </w:rPr>
        <w:tab/>
        <w:t xml:space="preserve">This position replaces the amendments adopted on </w:t>
      </w:r>
      <w:r w:rsidRPr="0083623A">
        <w:rPr>
          <w:sz w:val="24"/>
          <w:szCs w:val="24"/>
          <w:lang w:val="en-GB"/>
        </w:rPr>
        <w:t>14</w:t>
      </w:r>
      <w:r w:rsidRPr="004A4944">
        <w:rPr>
          <w:sz w:val="24"/>
          <w:szCs w:val="24"/>
          <w:lang w:val="en-GB"/>
        </w:rPr>
        <w:t xml:space="preserve"> November </w:t>
      </w:r>
      <w:r w:rsidRPr="0083623A">
        <w:rPr>
          <w:sz w:val="24"/>
          <w:szCs w:val="24"/>
          <w:lang w:val="en-GB"/>
        </w:rPr>
        <w:t>2024</w:t>
      </w:r>
      <w:r w:rsidRPr="004A4944">
        <w:rPr>
          <w:sz w:val="24"/>
          <w:szCs w:val="24"/>
          <w:lang w:val="en-GB"/>
        </w:rPr>
        <w:t xml:space="preserve"> (Texts adopted, P</w:t>
      </w:r>
      <w:r w:rsidRPr="0083623A">
        <w:rPr>
          <w:sz w:val="24"/>
          <w:szCs w:val="24"/>
          <w:lang w:val="en-GB"/>
        </w:rPr>
        <w:t>10</w:t>
      </w:r>
      <w:r w:rsidRPr="004A4944">
        <w:rPr>
          <w:sz w:val="24"/>
          <w:szCs w:val="24"/>
          <w:lang w:val="en-GB"/>
        </w:rPr>
        <w:t>_</w:t>
      </w:r>
      <w:proofErr w:type="gramStart"/>
      <w:r w:rsidRPr="004A4944">
        <w:rPr>
          <w:sz w:val="24"/>
          <w:szCs w:val="24"/>
          <w:lang w:val="en-GB"/>
        </w:rPr>
        <w:t>TA(</w:t>
      </w:r>
      <w:proofErr w:type="gramEnd"/>
      <w:r w:rsidRPr="0083623A">
        <w:rPr>
          <w:sz w:val="24"/>
          <w:szCs w:val="24"/>
          <w:lang w:val="en-GB"/>
        </w:rPr>
        <w:t>2024</w:t>
      </w:r>
      <w:r w:rsidRPr="004A4944">
        <w:rPr>
          <w:sz w:val="24"/>
          <w:szCs w:val="24"/>
          <w:lang w:val="en-GB"/>
        </w:rPr>
        <w:t>)</w:t>
      </w:r>
      <w:r w:rsidRPr="0083623A">
        <w:rPr>
          <w:sz w:val="24"/>
          <w:szCs w:val="24"/>
          <w:lang w:val="en-GB"/>
        </w:rPr>
        <w:t>0031</w:t>
      </w:r>
      <w:r w:rsidRPr="004A4944">
        <w:rPr>
          <w:sz w:val="24"/>
          <w:szCs w:val="24"/>
          <w:lang w:val="en-GB"/>
        </w:rPr>
        <w:t>).</w:t>
      </w:r>
    </w:p>
  </w:footnote>
  <w:footnote w:id="3">
    <w:p w14:paraId="5225C8FE" w14:textId="568EE439" w:rsidR="001047CD" w:rsidRPr="001047CD" w:rsidRDefault="001047CD" w:rsidP="001047CD">
      <w:pPr>
        <w:pStyle w:val="FootnoteText"/>
        <w:ind w:left="709" w:hanging="709"/>
        <w:rPr>
          <w:lang w:val="fi-FI"/>
        </w:rPr>
      </w:pPr>
      <w:r>
        <w:rPr>
          <w:rStyle w:val="FootnoteReference"/>
        </w:rPr>
        <w:footnoteRef/>
      </w:r>
      <w:r w:rsidRPr="001047CD">
        <w:rPr>
          <w:lang w:val="fi-FI"/>
        </w:rPr>
        <w:t xml:space="preserve"> </w:t>
      </w:r>
      <w:r w:rsidRPr="001047CD">
        <w:rPr>
          <w:lang w:val="fi-FI"/>
        </w:rPr>
        <w:tab/>
        <w:t xml:space="preserve">OJ L, 2024/3234, 23.12.2024, ELI: </w:t>
      </w:r>
      <w:hyperlink r:id="rId1" w:history="1">
        <w:r w:rsidRPr="001047CD">
          <w:rPr>
            <w:rStyle w:val="Hyperlink"/>
            <w:lang w:val="fi-FI"/>
          </w:rPr>
          <w:t>http://data.europa.eu/eli/reg/2024/3234/oj</w:t>
        </w:r>
      </w:hyperlink>
      <w:r>
        <w:rPr>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A1"/>
    <w:rsid w:val="00013B2A"/>
    <w:rsid w:val="00082507"/>
    <w:rsid w:val="000C2BFE"/>
    <w:rsid w:val="000D5497"/>
    <w:rsid w:val="000F0379"/>
    <w:rsid w:val="000F27A9"/>
    <w:rsid w:val="000F6208"/>
    <w:rsid w:val="001047CD"/>
    <w:rsid w:val="00120DB2"/>
    <w:rsid w:val="0012471D"/>
    <w:rsid w:val="00125CBC"/>
    <w:rsid w:val="00155C7B"/>
    <w:rsid w:val="00172070"/>
    <w:rsid w:val="00185E15"/>
    <w:rsid w:val="001D4BBF"/>
    <w:rsid w:val="001D63A8"/>
    <w:rsid w:val="001E4951"/>
    <w:rsid w:val="00225D23"/>
    <w:rsid w:val="002924A9"/>
    <w:rsid w:val="002A1D4E"/>
    <w:rsid w:val="002B4BCF"/>
    <w:rsid w:val="002F1925"/>
    <w:rsid w:val="00300C61"/>
    <w:rsid w:val="00312A38"/>
    <w:rsid w:val="003202DD"/>
    <w:rsid w:val="003601DC"/>
    <w:rsid w:val="003775B9"/>
    <w:rsid w:val="00397B2A"/>
    <w:rsid w:val="00397E1C"/>
    <w:rsid w:val="003D038E"/>
    <w:rsid w:val="003E1189"/>
    <w:rsid w:val="003F4DFE"/>
    <w:rsid w:val="00425111"/>
    <w:rsid w:val="00451C48"/>
    <w:rsid w:val="0047030E"/>
    <w:rsid w:val="00471C86"/>
    <w:rsid w:val="00483E63"/>
    <w:rsid w:val="004A4944"/>
    <w:rsid w:val="004E6A17"/>
    <w:rsid w:val="004F2EA7"/>
    <w:rsid w:val="0051270B"/>
    <w:rsid w:val="00520780"/>
    <w:rsid w:val="00525ED0"/>
    <w:rsid w:val="00534CAB"/>
    <w:rsid w:val="005367A4"/>
    <w:rsid w:val="00547BB1"/>
    <w:rsid w:val="00547C8B"/>
    <w:rsid w:val="00591365"/>
    <w:rsid w:val="005A2421"/>
    <w:rsid w:val="005B23C9"/>
    <w:rsid w:val="005F0CA1"/>
    <w:rsid w:val="005F35F8"/>
    <w:rsid w:val="00603B14"/>
    <w:rsid w:val="00654376"/>
    <w:rsid w:val="006650AD"/>
    <w:rsid w:val="006656E5"/>
    <w:rsid w:val="00666512"/>
    <w:rsid w:val="006730EE"/>
    <w:rsid w:val="00683F78"/>
    <w:rsid w:val="0069237A"/>
    <w:rsid w:val="006A1E82"/>
    <w:rsid w:val="006A7C85"/>
    <w:rsid w:val="006A7CE5"/>
    <w:rsid w:val="006B1646"/>
    <w:rsid w:val="006E5420"/>
    <w:rsid w:val="006F135E"/>
    <w:rsid w:val="00731EFD"/>
    <w:rsid w:val="007348B1"/>
    <w:rsid w:val="00751383"/>
    <w:rsid w:val="00757DD5"/>
    <w:rsid w:val="00760EC5"/>
    <w:rsid w:val="007713FD"/>
    <w:rsid w:val="00774A9B"/>
    <w:rsid w:val="007775DE"/>
    <w:rsid w:val="007906DB"/>
    <w:rsid w:val="007B16FE"/>
    <w:rsid w:val="007B191A"/>
    <w:rsid w:val="007C310F"/>
    <w:rsid w:val="007C3388"/>
    <w:rsid w:val="007D21CD"/>
    <w:rsid w:val="007F1425"/>
    <w:rsid w:val="00812A68"/>
    <w:rsid w:val="00821C30"/>
    <w:rsid w:val="0083623A"/>
    <w:rsid w:val="008512F3"/>
    <w:rsid w:val="00857458"/>
    <w:rsid w:val="00873A0F"/>
    <w:rsid w:val="00894F76"/>
    <w:rsid w:val="00895FA0"/>
    <w:rsid w:val="008B1C2E"/>
    <w:rsid w:val="008D7C16"/>
    <w:rsid w:val="008E64A1"/>
    <w:rsid w:val="008E7632"/>
    <w:rsid w:val="008F0108"/>
    <w:rsid w:val="008F7F1C"/>
    <w:rsid w:val="00907FE0"/>
    <w:rsid w:val="0092406F"/>
    <w:rsid w:val="009651A0"/>
    <w:rsid w:val="009865B7"/>
    <w:rsid w:val="009B352C"/>
    <w:rsid w:val="009B7E10"/>
    <w:rsid w:val="009C4014"/>
    <w:rsid w:val="009E78FE"/>
    <w:rsid w:val="009F28EF"/>
    <w:rsid w:val="00A1739E"/>
    <w:rsid w:val="00AA7F87"/>
    <w:rsid w:val="00AB7F40"/>
    <w:rsid w:val="00B23297"/>
    <w:rsid w:val="00B54C72"/>
    <w:rsid w:val="00B85C1E"/>
    <w:rsid w:val="00BA3808"/>
    <w:rsid w:val="00C15516"/>
    <w:rsid w:val="00C16C81"/>
    <w:rsid w:val="00C57739"/>
    <w:rsid w:val="00C63670"/>
    <w:rsid w:val="00C65BE8"/>
    <w:rsid w:val="00C84968"/>
    <w:rsid w:val="00C868DC"/>
    <w:rsid w:val="00CA502C"/>
    <w:rsid w:val="00CB451F"/>
    <w:rsid w:val="00CC4897"/>
    <w:rsid w:val="00CF72E3"/>
    <w:rsid w:val="00D202A4"/>
    <w:rsid w:val="00D91669"/>
    <w:rsid w:val="00DF097A"/>
    <w:rsid w:val="00DF53A8"/>
    <w:rsid w:val="00E039BF"/>
    <w:rsid w:val="00E11822"/>
    <w:rsid w:val="00E21EAF"/>
    <w:rsid w:val="00E512DA"/>
    <w:rsid w:val="00E73B02"/>
    <w:rsid w:val="00E74BF3"/>
    <w:rsid w:val="00E8435B"/>
    <w:rsid w:val="00EE26A3"/>
    <w:rsid w:val="00EF3610"/>
    <w:rsid w:val="00F00A43"/>
    <w:rsid w:val="00F05537"/>
    <w:rsid w:val="00F177A4"/>
    <w:rsid w:val="00F55264"/>
    <w:rsid w:val="00F95C7B"/>
    <w:rsid w:val="00F97E29"/>
    <w:rsid w:val="00FB1507"/>
    <w:rsid w:val="00FB3609"/>
    <w:rsid w:val="00FD336A"/>
    <w:rsid w:val="00FE1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A01FB"/>
  <w15:chartTrackingRefBased/>
  <w15:docId w15:val="{FDD18140-40FE-4573-B272-1871002E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link w:val="HeaderChar"/>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basedOn w:val="DefaultParagraphFont"/>
    <w:link w:val="FootnoteText"/>
    <w:uiPriority w:val="99"/>
    <w:rsid w:val="00483E63"/>
    <w:rPr>
      <w:sz w:val="22"/>
      <w:lang w:val="fr-FR"/>
    </w:rPr>
  </w:style>
  <w:style w:type="paragraph" w:styleId="BalloonText">
    <w:name w:val="Balloon Text"/>
    <w:basedOn w:val="Normal"/>
    <w:link w:val="BalloonTextChar"/>
    <w:rsid w:val="00547C8B"/>
    <w:rPr>
      <w:rFonts w:ascii="Segoe UI" w:hAnsi="Segoe UI" w:cs="Segoe UI"/>
      <w:sz w:val="18"/>
      <w:szCs w:val="18"/>
    </w:rPr>
  </w:style>
  <w:style w:type="character" w:customStyle="1" w:styleId="BalloonTextChar">
    <w:name w:val="Balloon Text Char"/>
    <w:basedOn w:val="DefaultParagraphFont"/>
    <w:link w:val="BalloonText"/>
    <w:rsid w:val="00547C8B"/>
    <w:rPr>
      <w:rFonts w:ascii="Segoe UI" w:hAnsi="Segoe UI" w:cs="Segoe UI"/>
      <w:sz w:val="18"/>
      <w:szCs w:val="18"/>
      <w:lang w:val="fr-FR"/>
    </w:rPr>
  </w:style>
  <w:style w:type="character" w:styleId="CommentReference">
    <w:name w:val="annotation reference"/>
    <w:basedOn w:val="DefaultParagraphFont"/>
    <w:rsid w:val="00CF72E3"/>
    <w:rPr>
      <w:sz w:val="16"/>
      <w:szCs w:val="16"/>
    </w:rPr>
  </w:style>
  <w:style w:type="paragraph" w:styleId="CommentText">
    <w:name w:val="annotation text"/>
    <w:basedOn w:val="Normal"/>
    <w:link w:val="CommentTextChar"/>
    <w:rsid w:val="00CF72E3"/>
    <w:rPr>
      <w:sz w:val="20"/>
    </w:rPr>
  </w:style>
  <w:style w:type="character" w:customStyle="1" w:styleId="CommentTextChar">
    <w:name w:val="Comment Text Char"/>
    <w:basedOn w:val="DefaultParagraphFont"/>
    <w:link w:val="CommentText"/>
    <w:rsid w:val="00CF72E3"/>
    <w:rPr>
      <w:lang w:val="fr-FR"/>
    </w:rPr>
  </w:style>
  <w:style w:type="paragraph" w:styleId="CommentSubject">
    <w:name w:val="annotation subject"/>
    <w:basedOn w:val="CommentText"/>
    <w:next w:val="CommentText"/>
    <w:link w:val="CommentSubjectChar"/>
    <w:rsid w:val="00CF72E3"/>
    <w:rPr>
      <w:b/>
      <w:bCs/>
    </w:rPr>
  </w:style>
  <w:style w:type="character" w:customStyle="1" w:styleId="CommentSubjectChar">
    <w:name w:val="Comment Subject Char"/>
    <w:basedOn w:val="CommentTextChar"/>
    <w:link w:val="CommentSubject"/>
    <w:rsid w:val="00CF72E3"/>
    <w:rPr>
      <w:b/>
      <w:bCs/>
      <w:lang w:val="fr-FR"/>
    </w:rPr>
  </w:style>
  <w:style w:type="paragraph" w:customStyle="1" w:styleId="EPFooter2">
    <w:name w:val="EPFooter2"/>
    <w:basedOn w:val="Normal"/>
    <w:next w:val="Normal"/>
    <w:rsid w:val="00EE26A3"/>
    <w:pPr>
      <w:tabs>
        <w:tab w:val="center" w:pos="4535"/>
        <w:tab w:val="right" w:pos="9921"/>
      </w:tabs>
      <w:ind w:left="-850" w:right="-850"/>
    </w:pPr>
    <w:rPr>
      <w:rFonts w:ascii="Arial" w:hAnsi="Arial" w:cs="Arial"/>
      <w:b/>
      <w:sz w:val="48"/>
      <w:lang w:val="en-GB"/>
    </w:rPr>
  </w:style>
  <w:style w:type="paragraph" w:customStyle="1" w:styleId="EPFooter">
    <w:name w:val="EPFooter"/>
    <w:basedOn w:val="Normal"/>
    <w:rsid w:val="00EE26A3"/>
    <w:pPr>
      <w:widowControl w:val="0"/>
      <w:tabs>
        <w:tab w:val="center" w:pos="4535"/>
        <w:tab w:val="right" w:pos="9071"/>
      </w:tabs>
      <w:spacing w:before="240" w:after="240"/>
    </w:pPr>
    <w:rPr>
      <w:sz w:val="22"/>
      <w:lang w:val="en-GB"/>
    </w:rPr>
  </w:style>
  <w:style w:type="character" w:customStyle="1" w:styleId="HeaderChar">
    <w:name w:val="Header Char"/>
    <w:basedOn w:val="DefaultParagraphFont"/>
    <w:link w:val="Header"/>
    <w:rsid w:val="007348B1"/>
    <w:rPr>
      <w:sz w:val="24"/>
      <w:lang w:val="fr-FR"/>
    </w:rPr>
  </w:style>
  <w:style w:type="character" w:styleId="Hyperlink">
    <w:name w:val="Hyperlink"/>
    <w:basedOn w:val="DefaultParagraphFont"/>
    <w:rsid w:val="00AB7F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3234/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95CF2-D02E-43DC-A619-52ECE536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0</TotalTime>
  <Pages>4</Pages>
  <Words>666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CROSSFIELD Clare</dc:creator>
  <cp:keywords/>
  <cp:lastModifiedBy>BINKEVICIUTE Aurelija</cp:lastModifiedBy>
  <cp:revision>3</cp:revision>
  <cp:lastPrinted>2014-08-07T13:15:00Z</cp:lastPrinted>
  <dcterms:created xsi:type="dcterms:W3CDTF">2025-02-05T13:17:00Z</dcterms:created>
  <dcterms:modified xsi:type="dcterms:W3CDTF">2025-03-10T16:55:00Z</dcterms:modified>
</cp:coreProperties>
</file>