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ED328E" w:rsidTr="00425111">
        <w:trPr>
          <w:trHeight w:hRule="exact" w:val="1418"/>
        </w:trPr>
        <w:tc>
          <w:tcPr>
            <w:tcW w:w="6804" w:type="dxa"/>
            <w:shd w:val="clear" w:color="auto" w:fill="auto"/>
            <w:vAlign w:val="center"/>
          </w:tcPr>
          <w:p w:rsidR="00757DD5" w:rsidRPr="00ED328E" w:rsidRDefault="006C18E0" w:rsidP="00425111">
            <w:pPr>
              <w:pStyle w:val="EPName"/>
              <w:rPr>
                <w:lang w:val="en-GB"/>
              </w:rPr>
            </w:pPr>
            <w:proofErr w:type="spellStart"/>
            <w:r w:rsidRPr="00ED328E">
              <w:rPr>
                <w:lang w:val="en-GB"/>
              </w:rPr>
              <w:t>Eiropas</w:t>
            </w:r>
            <w:proofErr w:type="spellEnd"/>
            <w:r w:rsidRPr="00ED328E">
              <w:rPr>
                <w:lang w:val="en-GB"/>
              </w:rPr>
              <w:t xml:space="preserve"> </w:t>
            </w:r>
            <w:proofErr w:type="spellStart"/>
            <w:r w:rsidRPr="00ED328E">
              <w:rPr>
                <w:lang w:val="en-GB"/>
              </w:rPr>
              <w:t>Parlaments</w:t>
            </w:r>
            <w:proofErr w:type="spellEnd"/>
          </w:p>
          <w:p w:rsidR="00757DD5" w:rsidRPr="00ED328E" w:rsidRDefault="006C18E0" w:rsidP="00425111">
            <w:pPr>
              <w:pStyle w:val="EPTerm"/>
              <w:rPr>
                <w:rStyle w:val="HideTWBExt"/>
                <w:vanish w:val="0"/>
                <w:lang w:val="en-GB"/>
              </w:rPr>
            </w:pPr>
            <w:r w:rsidRPr="004B6FBF">
              <w:rPr>
                <w:lang w:val="en-GB"/>
              </w:rPr>
              <w:t>2024</w:t>
            </w:r>
            <w:r w:rsidRPr="00ED328E">
              <w:rPr>
                <w:lang w:val="en-GB"/>
              </w:rPr>
              <w:t>-</w:t>
            </w:r>
            <w:r w:rsidRPr="004B6FBF">
              <w:rPr>
                <w:lang w:val="en-GB"/>
              </w:rPr>
              <w:t>2029</w:t>
            </w:r>
          </w:p>
        </w:tc>
        <w:tc>
          <w:tcPr>
            <w:tcW w:w="2268" w:type="dxa"/>
            <w:shd w:val="clear" w:color="auto" w:fill="auto"/>
          </w:tcPr>
          <w:p w:rsidR="00757DD5" w:rsidRPr="00ED328E" w:rsidRDefault="00172070" w:rsidP="00425111">
            <w:pPr>
              <w:pStyle w:val="EPLogo"/>
            </w:pPr>
            <w:r w:rsidRPr="00ED328E">
              <w:rPr>
                <w:noProof/>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8E7632" w:rsidRPr="00ED328E" w:rsidRDefault="008E7632" w:rsidP="008E7632">
      <w:pPr>
        <w:pStyle w:val="LineTop"/>
        <w:rPr>
          <w:lang w:val="en-GB"/>
        </w:rPr>
      </w:pPr>
    </w:p>
    <w:p w:rsidR="008E7632" w:rsidRPr="00ED328E" w:rsidRDefault="006C18E0" w:rsidP="008E7632">
      <w:pPr>
        <w:pStyle w:val="ZSessionDoc"/>
        <w:rPr>
          <w:b/>
          <w:i w:val="0"/>
        </w:rPr>
      </w:pPr>
      <w:r w:rsidRPr="00ED328E">
        <w:rPr>
          <w:b/>
          <w:i w:val="0"/>
        </w:rPr>
        <w:t>PIEŅEMTIE TEKSTI</w:t>
      </w:r>
    </w:p>
    <w:p w:rsidR="008E7632" w:rsidRPr="00ED328E" w:rsidRDefault="006C18E0" w:rsidP="008E7632">
      <w:pPr>
        <w:pStyle w:val="LineBottom"/>
      </w:pPr>
      <w:r w:rsidRPr="00ED328E">
        <w:rPr>
          <w:rFonts w:cs="Arial"/>
          <w:i/>
          <w:sz w:val="20"/>
          <w:szCs w:val="22"/>
        </w:rPr>
        <w:t xml:space="preserve"> </w:t>
      </w:r>
    </w:p>
    <w:p w:rsidR="009C4014" w:rsidRPr="00ED328E" w:rsidRDefault="006C18E0" w:rsidP="008E7632">
      <w:pPr>
        <w:pStyle w:val="ATHeading1"/>
        <w:spacing w:before="480"/>
        <w:rPr>
          <w:lang w:val="en-GB"/>
        </w:rPr>
      </w:pPr>
      <w:bookmarkStart w:id="0" w:name="TA_Heading"/>
      <w:r w:rsidRPr="00ED328E">
        <w:rPr>
          <w:lang w:val="en-GB"/>
        </w:rPr>
        <w:t>P</w:t>
      </w:r>
      <w:r w:rsidRPr="004B6FBF">
        <w:rPr>
          <w:lang w:val="en-GB"/>
        </w:rPr>
        <w:t>10</w:t>
      </w:r>
      <w:r w:rsidRPr="00ED328E">
        <w:rPr>
          <w:lang w:val="en-GB"/>
        </w:rPr>
        <w:t>_TA(</w:t>
      </w:r>
      <w:r w:rsidRPr="004B6FBF">
        <w:rPr>
          <w:lang w:val="en-GB"/>
        </w:rPr>
        <w:t>2024</w:t>
      </w:r>
      <w:r w:rsidRPr="00ED328E">
        <w:rPr>
          <w:lang w:val="en-GB"/>
        </w:rPr>
        <w:t>)</w:t>
      </w:r>
      <w:bookmarkStart w:id="1" w:name="TANumber"/>
      <w:bookmarkEnd w:id="0"/>
      <w:r w:rsidRPr="004B6FBF">
        <w:rPr>
          <w:lang w:val="en-GB"/>
        </w:rPr>
        <w:t>00</w:t>
      </w:r>
      <w:bookmarkEnd w:id="1"/>
      <w:r w:rsidR="00ED328E" w:rsidRPr="004B6FBF">
        <w:rPr>
          <w:lang w:val="en-GB"/>
        </w:rPr>
        <w:t>58</w:t>
      </w:r>
    </w:p>
    <w:p w:rsidR="009C4014" w:rsidRPr="00ED328E" w:rsidRDefault="00D26731" w:rsidP="006C18E0">
      <w:pPr>
        <w:pStyle w:val="ATHeading2"/>
        <w:rPr>
          <w:lang w:val="en-GB"/>
        </w:rPr>
      </w:pPr>
      <w:bookmarkStart w:id="2" w:name="title"/>
      <w:r w:rsidRPr="00ED328E">
        <w:rPr>
          <w:lang w:val="en-GB"/>
        </w:rPr>
        <w:t>Atmežošanas regula: noteikumi par piemērošanas sākuma datumu</w:t>
      </w:r>
      <w:bookmarkEnd w:id="2"/>
      <w:r w:rsidR="009C4014" w:rsidRPr="00ED328E">
        <w:rPr>
          <w:lang w:val="en-GB"/>
        </w:rPr>
        <w:t xml:space="preserve"> </w:t>
      </w:r>
      <w:bookmarkStart w:id="3" w:name="Etoiles"/>
      <w:bookmarkEnd w:id="3"/>
    </w:p>
    <w:p w:rsidR="009C4014" w:rsidRPr="00ED328E" w:rsidRDefault="009C4014" w:rsidP="009C4014">
      <w:pPr>
        <w:rPr>
          <w:i/>
          <w:vanish/>
          <w:lang w:val="en-GB"/>
        </w:rPr>
      </w:pPr>
      <w:r w:rsidRPr="00ED328E">
        <w:rPr>
          <w:i/>
        </w:rPr>
        <w:fldChar w:fldCharType="begin"/>
      </w:r>
      <w:r w:rsidRPr="00ED328E">
        <w:rPr>
          <w:i/>
          <w:lang w:val="en-GB"/>
        </w:rPr>
        <w:instrText xml:space="preserve"> TC"</w:instrText>
      </w:r>
      <w:bookmarkStart w:id="4" w:name="DocNumber"/>
      <w:r w:rsidR="006C18E0" w:rsidRPr="00ED328E">
        <w:rPr>
          <w:i/>
          <w:lang w:val="en-GB"/>
        </w:rPr>
        <w:instrText>(C</w:instrText>
      </w:r>
      <w:r w:rsidR="006C18E0" w:rsidRPr="004B6FBF">
        <w:rPr>
          <w:i/>
          <w:lang w:val="en-GB"/>
        </w:rPr>
        <w:instrText>10</w:instrText>
      </w:r>
      <w:r w:rsidR="006C18E0" w:rsidRPr="00ED328E">
        <w:rPr>
          <w:i/>
          <w:lang w:val="en-GB"/>
        </w:rPr>
        <w:instrText>-</w:instrText>
      </w:r>
      <w:r w:rsidR="006C18E0" w:rsidRPr="004B6FBF">
        <w:rPr>
          <w:i/>
          <w:lang w:val="en-GB"/>
        </w:rPr>
        <w:instrText>0119</w:instrText>
      </w:r>
      <w:r w:rsidR="006C18E0" w:rsidRPr="00ED328E">
        <w:rPr>
          <w:i/>
          <w:lang w:val="en-GB"/>
        </w:rPr>
        <w:instrText>/</w:instrText>
      </w:r>
      <w:r w:rsidR="006C18E0" w:rsidRPr="004B6FBF">
        <w:rPr>
          <w:i/>
          <w:lang w:val="en-GB"/>
        </w:rPr>
        <w:instrText>2024</w:instrText>
      </w:r>
      <w:r w:rsidR="00E7535F" w:rsidRPr="00ED328E">
        <w:rPr>
          <w:i/>
          <w:lang w:val="en-GB"/>
        </w:rPr>
        <w:instrText xml:space="preserve"> - Referente: Christine Schneider</w:instrText>
      </w:r>
      <w:r w:rsidR="006C18E0" w:rsidRPr="00ED328E">
        <w:rPr>
          <w:i/>
          <w:lang w:val="en-GB"/>
        </w:rPr>
        <w:instrText>)</w:instrText>
      </w:r>
      <w:bookmarkEnd w:id="4"/>
      <w:r w:rsidRPr="00ED328E">
        <w:rPr>
          <w:i/>
          <w:lang w:val="en-GB"/>
        </w:rPr>
        <w:instrText>"\l</w:instrText>
      </w:r>
      <w:r w:rsidRPr="004B6FBF">
        <w:rPr>
          <w:i/>
          <w:lang w:val="en-GB"/>
        </w:rPr>
        <w:instrText>3</w:instrText>
      </w:r>
      <w:r w:rsidRPr="00ED328E">
        <w:rPr>
          <w:i/>
          <w:lang w:val="en-GB"/>
        </w:rPr>
        <w:instrText xml:space="preserve"> \n&gt; \* MERGEFORMAT </w:instrText>
      </w:r>
      <w:r w:rsidRPr="00ED328E">
        <w:rPr>
          <w:i/>
        </w:rPr>
        <w:fldChar w:fldCharType="end"/>
      </w:r>
    </w:p>
    <w:p w:rsidR="006C18E0" w:rsidRPr="004B6FBF" w:rsidRDefault="006C18E0" w:rsidP="009C4014">
      <w:pPr>
        <w:rPr>
          <w:vanish/>
          <w:lang w:val="en-GB"/>
        </w:rPr>
      </w:pPr>
      <w:bookmarkStart w:id="5" w:name="Commission"/>
      <w:r w:rsidRPr="004B6FBF">
        <w:rPr>
          <w:vanish/>
          <w:lang w:val="en-GB"/>
        </w:rPr>
        <w:t>Vides, sabiedrības veselības un pārtikas nekaitīguma komiteja</w:t>
      </w:r>
    </w:p>
    <w:p w:rsidR="009C4014" w:rsidRPr="004B6FBF" w:rsidRDefault="006C18E0" w:rsidP="009C4014">
      <w:pPr>
        <w:rPr>
          <w:vanish/>
          <w:lang w:val="en-GB"/>
        </w:rPr>
      </w:pPr>
      <w:bookmarkStart w:id="6" w:name="PE"/>
      <w:bookmarkEnd w:id="5"/>
      <w:r w:rsidRPr="004B6FBF">
        <w:rPr>
          <w:vanish/>
          <w:lang w:val="en-GB"/>
        </w:rPr>
        <w:t>PE765.661</w:t>
      </w:r>
      <w:bookmarkEnd w:id="6"/>
    </w:p>
    <w:p w:rsidR="009C4014" w:rsidRPr="004B6FBF" w:rsidRDefault="00D26731" w:rsidP="006C18E0">
      <w:pPr>
        <w:pStyle w:val="ATHeading3"/>
        <w:rPr>
          <w:lang w:val="en-GB"/>
        </w:rPr>
      </w:pPr>
      <w:bookmarkStart w:id="7" w:name="Sujet"/>
      <w:r w:rsidRPr="004B6FBF">
        <w:rPr>
          <w:lang w:val="en-GB"/>
        </w:rPr>
        <w:t xml:space="preserve">Eiropas Parlamenta 2024. gada </w:t>
      </w:r>
      <w:r w:rsidR="00E7535F" w:rsidRPr="004B6FBF">
        <w:rPr>
          <w:lang w:val="en-GB"/>
        </w:rPr>
        <w:t>17</w:t>
      </w:r>
      <w:r w:rsidRPr="004B6FBF">
        <w:rPr>
          <w:lang w:val="en-GB"/>
        </w:rPr>
        <w:t xml:space="preserve">. </w:t>
      </w:r>
      <w:r w:rsidR="00E7535F" w:rsidRPr="004B6FBF">
        <w:rPr>
          <w:lang w:val="en-GB"/>
        </w:rPr>
        <w:t xml:space="preserve">decembra </w:t>
      </w:r>
      <w:r w:rsidRPr="004B6FBF">
        <w:rPr>
          <w:lang w:val="en-GB"/>
        </w:rPr>
        <w:t xml:space="preserve">normatīvā rezolūcija par priekšlikumu Eiropas Parlamenta un Padomes regulai, </w:t>
      </w:r>
      <w:r w:rsidRPr="00ED328E">
        <w:rPr>
          <w:lang w:val="lv-LV"/>
        </w:rPr>
        <w:t xml:space="preserve">ar ko Regulu (ES) </w:t>
      </w:r>
      <w:r w:rsidRPr="004B6FBF">
        <w:rPr>
          <w:lang w:val="lv-LV"/>
        </w:rPr>
        <w:t>2023</w:t>
      </w:r>
      <w:r w:rsidRPr="00ED328E">
        <w:rPr>
          <w:lang w:val="lv-LV"/>
        </w:rPr>
        <w:t>/</w:t>
      </w:r>
      <w:r w:rsidRPr="004B6FBF">
        <w:rPr>
          <w:lang w:val="lv-LV"/>
        </w:rPr>
        <w:t>1115</w:t>
      </w:r>
      <w:r w:rsidRPr="00ED328E">
        <w:rPr>
          <w:lang w:val="lv-LV"/>
        </w:rPr>
        <w:t xml:space="preserve"> groza attiecībā uz noteikumiem par piemērošanas sākuma datumu </w:t>
      </w:r>
      <w:bookmarkStart w:id="8" w:name="References"/>
      <w:bookmarkEnd w:id="7"/>
      <w:r w:rsidR="006C18E0" w:rsidRPr="004B6FBF">
        <w:rPr>
          <w:lang w:val="en-GB"/>
        </w:rPr>
        <w:t>(</w:t>
      </w:r>
      <w:r w:rsidRPr="004B6FBF">
        <w:rPr>
          <w:lang w:val="en-GB"/>
        </w:rPr>
        <w:t>COM(2024)0452 – C10-0119/2024 – 2024/0249(COD)</w:t>
      </w:r>
      <w:r w:rsidR="006C18E0" w:rsidRPr="004B6FBF">
        <w:rPr>
          <w:lang w:val="en-GB"/>
        </w:rPr>
        <w:t>)</w:t>
      </w:r>
      <w:bookmarkEnd w:id="8"/>
    </w:p>
    <w:p w:rsidR="00B752F6" w:rsidRPr="00ED328E" w:rsidRDefault="00B752F6" w:rsidP="00B752F6">
      <w:pPr>
        <w:pStyle w:val="Normal12Bold"/>
      </w:pPr>
      <w:r w:rsidRPr="00ED328E">
        <w:t>(Parastā likumdošanas procedūra</w:t>
      </w:r>
      <w:r w:rsidR="00F16385" w:rsidRPr="00ED328E">
        <w:t>: pirmais lasījums</w:t>
      </w:r>
      <w:r w:rsidRPr="00ED328E">
        <w:t>)</w:t>
      </w:r>
    </w:p>
    <w:p w:rsidR="006E5420" w:rsidRPr="00ED328E" w:rsidRDefault="006C18E0" w:rsidP="008B1C2E">
      <w:pPr>
        <w:pStyle w:val="Normal12"/>
        <w:spacing w:before="360"/>
        <w:rPr>
          <w:i/>
          <w:szCs w:val="24"/>
          <w:lang w:val="lv-LV"/>
        </w:rPr>
      </w:pPr>
      <w:bookmarkStart w:id="9" w:name="TextBodyBegin"/>
      <w:bookmarkEnd w:id="9"/>
      <w:r w:rsidRPr="00ED328E">
        <w:rPr>
          <w:i/>
          <w:szCs w:val="24"/>
          <w:lang w:val="lv-LV"/>
        </w:rPr>
        <w:t>Eiropas Parlaments,</w:t>
      </w:r>
    </w:p>
    <w:p w:rsidR="00B752F6" w:rsidRPr="00ED328E" w:rsidRDefault="00B752F6" w:rsidP="00B752F6">
      <w:pPr>
        <w:tabs>
          <w:tab w:val="left" w:pos="-774"/>
          <w:tab w:val="left" w:pos="-114"/>
          <w:tab w:val="left" w:pos="645"/>
          <w:tab w:val="left" w:pos="849"/>
          <w:tab w:val="left" w:pos="1021"/>
          <w:tab w:val="left" w:pos="1132"/>
          <w:tab w:val="left" w:pos="1418"/>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pacing w:before="120" w:after="120"/>
        <w:ind w:left="567" w:hanging="567"/>
        <w:rPr>
          <w:lang w:val="lv-LV" w:eastAsia="lv-LV" w:bidi="lv-LV"/>
        </w:rPr>
      </w:pPr>
      <w:r w:rsidRPr="00ED328E">
        <w:rPr>
          <w:lang w:val="lv-LV" w:eastAsia="lv-LV" w:bidi="lv-LV"/>
        </w:rPr>
        <w:t>–</w:t>
      </w:r>
      <w:r w:rsidRPr="00ED328E">
        <w:rPr>
          <w:lang w:val="lv-LV" w:eastAsia="lv-LV" w:bidi="lv-LV"/>
        </w:rPr>
        <w:tab/>
        <w:t>ņemot vērā Komisijas priekšlikumu Eiropas Parlamentam un Padomei (</w:t>
      </w:r>
      <w:r w:rsidRPr="00ED328E">
        <w:rPr>
          <w:lang w:val="lv-LV"/>
        </w:rPr>
        <w:t>COM(</w:t>
      </w:r>
      <w:r w:rsidRPr="004B6FBF">
        <w:rPr>
          <w:lang w:val="lv-LV"/>
        </w:rPr>
        <w:t>2024</w:t>
      </w:r>
      <w:r w:rsidRPr="00ED328E">
        <w:rPr>
          <w:lang w:val="lv-LV"/>
        </w:rPr>
        <w:t>)</w:t>
      </w:r>
      <w:r w:rsidRPr="004B6FBF">
        <w:rPr>
          <w:lang w:val="lv-LV"/>
        </w:rPr>
        <w:t>0452</w:t>
      </w:r>
      <w:r w:rsidRPr="00ED328E">
        <w:rPr>
          <w:lang w:val="lv-LV" w:eastAsia="lv-LV" w:bidi="lv-LV"/>
        </w:rPr>
        <w:t>),</w:t>
      </w:r>
    </w:p>
    <w:p w:rsidR="00B752F6" w:rsidRPr="00ED328E" w:rsidRDefault="00B752F6" w:rsidP="00B752F6">
      <w:pPr>
        <w:tabs>
          <w:tab w:val="left" w:pos="-774"/>
          <w:tab w:val="left" w:pos="-114"/>
          <w:tab w:val="left" w:pos="645"/>
          <w:tab w:val="left" w:pos="709"/>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spacing w:before="120" w:after="120"/>
        <w:ind w:left="567" w:hanging="567"/>
        <w:rPr>
          <w:szCs w:val="24"/>
          <w:shd w:val="pct12" w:color="auto" w:fill="FFFFFF"/>
          <w:lang w:val="lv-LV" w:eastAsia="lv-LV" w:bidi="lv-LV"/>
        </w:rPr>
      </w:pPr>
      <w:r w:rsidRPr="00ED328E">
        <w:rPr>
          <w:lang w:val="lv-LV" w:eastAsia="lv-LV" w:bidi="lv-LV"/>
        </w:rPr>
        <w:t>–</w:t>
      </w:r>
      <w:r w:rsidRPr="00ED328E">
        <w:rPr>
          <w:lang w:val="lv-LV" w:eastAsia="lv-LV" w:bidi="lv-LV"/>
        </w:rPr>
        <w:tab/>
        <w:t xml:space="preserve">ņemot vērā Līguma par Eiropas Savienības darbību </w:t>
      </w:r>
      <w:r w:rsidRPr="004B6FBF">
        <w:rPr>
          <w:lang w:val="lv-LV" w:eastAsia="lv-LV" w:bidi="lv-LV"/>
        </w:rPr>
        <w:t>294</w:t>
      </w:r>
      <w:r w:rsidRPr="00ED328E">
        <w:rPr>
          <w:lang w:val="lv-LV" w:eastAsia="lv-LV" w:bidi="lv-LV"/>
        </w:rPr>
        <w:t xml:space="preserve">. panta </w:t>
      </w:r>
      <w:r w:rsidRPr="004B6FBF">
        <w:rPr>
          <w:lang w:val="lv-LV" w:eastAsia="lv-LV" w:bidi="lv-LV"/>
        </w:rPr>
        <w:t>2</w:t>
      </w:r>
      <w:r w:rsidRPr="00ED328E">
        <w:rPr>
          <w:lang w:val="lv-LV" w:eastAsia="lv-LV" w:bidi="lv-LV"/>
        </w:rPr>
        <w:t xml:space="preserve">. punktu un </w:t>
      </w:r>
      <w:r w:rsidRPr="004B6FBF">
        <w:rPr>
          <w:lang w:val="lv-LV" w:eastAsia="lv-LV" w:bidi="lv-LV"/>
        </w:rPr>
        <w:t>192</w:t>
      </w:r>
      <w:r w:rsidRPr="00ED328E">
        <w:rPr>
          <w:lang w:val="lv-LV" w:eastAsia="lv-LV" w:bidi="lv-LV"/>
        </w:rPr>
        <w:t xml:space="preserve">. panta </w:t>
      </w:r>
      <w:r w:rsidRPr="004B6FBF">
        <w:rPr>
          <w:lang w:val="lv-LV" w:eastAsia="lv-LV" w:bidi="lv-LV"/>
        </w:rPr>
        <w:t>1</w:t>
      </w:r>
      <w:r w:rsidRPr="00ED328E">
        <w:rPr>
          <w:lang w:val="lv-LV" w:eastAsia="lv-LV" w:bidi="lv-LV"/>
        </w:rPr>
        <w:t>. punktu, saskaņā ar kuriem Komisija tam ir iesniegusi priekšlikumu (</w:t>
      </w:r>
      <w:r w:rsidRPr="00ED328E">
        <w:rPr>
          <w:lang w:val="lv-LV"/>
        </w:rPr>
        <w:t>C</w:t>
      </w:r>
      <w:r w:rsidRPr="004B6FBF">
        <w:rPr>
          <w:lang w:val="lv-LV"/>
        </w:rPr>
        <w:t>10</w:t>
      </w:r>
      <w:r w:rsidRPr="00ED328E">
        <w:rPr>
          <w:lang w:val="lv-LV"/>
        </w:rPr>
        <w:t>-</w:t>
      </w:r>
      <w:r w:rsidRPr="004B6FBF">
        <w:rPr>
          <w:lang w:val="lv-LV"/>
        </w:rPr>
        <w:t>0119</w:t>
      </w:r>
      <w:r w:rsidRPr="00ED328E">
        <w:rPr>
          <w:lang w:val="lv-LV"/>
        </w:rPr>
        <w:t>/</w:t>
      </w:r>
      <w:r w:rsidRPr="004B6FBF">
        <w:rPr>
          <w:lang w:val="lv-LV"/>
        </w:rPr>
        <w:t>2024</w:t>
      </w:r>
      <w:r w:rsidRPr="00ED328E">
        <w:rPr>
          <w:lang w:val="lv-LV" w:eastAsia="lv-LV" w:bidi="lv-LV"/>
        </w:rPr>
        <w:t>),</w:t>
      </w:r>
    </w:p>
    <w:p w:rsidR="00B752F6" w:rsidRPr="00ED328E" w:rsidRDefault="00B752F6" w:rsidP="00B752F6">
      <w:pPr>
        <w:tabs>
          <w:tab w:val="left" w:pos="-774"/>
          <w:tab w:val="left" w:pos="-114"/>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pacing w:before="120" w:after="120"/>
        <w:ind w:left="567" w:hanging="567"/>
        <w:rPr>
          <w:szCs w:val="24"/>
          <w:lang w:val="lv-LV" w:eastAsia="lv-LV" w:bidi="lv-LV"/>
        </w:rPr>
      </w:pPr>
      <w:r w:rsidRPr="00ED328E">
        <w:rPr>
          <w:szCs w:val="24"/>
          <w:lang w:val="lv-LV" w:eastAsia="lv-LV" w:bidi="lv-LV"/>
        </w:rPr>
        <w:sym w:font="Symbol" w:char="F02D"/>
      </w:r>
      <w:r w:rsidRPr="00ED328E">
        <w:rPr>
          <w:lang w:val="lv-LV" w:eastAsia="lv-LV" w:bidi="lv-LV"/>
        </w:rPr>
        <w:tab/>
        <w:t xml:space="preserve">ņemot vērā Līguma par Eiropas Savienības darbību </w:t>
      </w:r>
      <w:r w:rsidRPr="004B6FBF">
        <w:rPr>
          <w:lang w:val="lv-LV" w:eastAsia="lv-LV" w:bidi="lv-LV"/>
        </w:rPr>
        <w:t>294</w:t>
      </w:r>
      <w:r w:rsidRPr="00ED328E">
        <w:rPr>
          <w:lang w:val="lv-LV" w:eastAsia="lv-LV" w:bidi="lv-LV"/>
        </w:rPr>
        <w:t xml:space="preserve">. panta </w:t>
      </w:r>
      <w:r w:rsidRPr="004B6FBF">
        <w:rPr>
          <w:lang w:val="lv-LV" w:eastAsia="lv-LV" w:bidi="lv-LV"/>
        </w:rPr>
        <w:t>3</w:t>
      </w:r>
      <w:r w:rsidRPr="00ED328E">
        <w:rPr>
          <w:lang w:val="lv-LV" w:eastAsia="lv-LV" w:bidi="lv-LV"/>
        </w:rPr>
        <w:t>. punktu,</w:t>
      </w:r>
    </w:p>
    <w:p w:rsidR="00B752F6" w:rsidRPr="00ED328E" w:rsidRDefault="00B752F6" w:rsidP="00B752F6">
      <w:pPr>
        <w:tabs>
          <w:tab w:val="left" w:pos="-774"/>
          <w:tab w:val="left" w:pos="-114"/>
          <w:tab w:val="left" w:pos="645"/>
          <w:tab w:val="left" w:pos="849"/>
          <w:tab w:val="left" w:pos="1021"/>
          <w:tab w:val="left" w:pos="1132"/>
          <w:tab w:val="left" w:pos="1418"/>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pacing w:before="120" w:after="120"/>
        <w:ind w:left="567" w:hanging="567"/>
        <w:rPr>
          <w:lang w:val="lv-LV" w:eastAsia="lv-LV" w:bidi="lv-LV"/>
        </w:rPr>
      </w:pPr>
      <w:r w:rsidRPr="00ED328E">
        <w:rPr>
          <w:szCs w:val="24"/>
          <w:lang w:val="lv-LV" w:eastAsia="lv-LV" w:bidi="lv-LV"/>
        </w:rPr>
        <w:sym w:font="Symbol" w:char="F02D"/>
      </w:r>
      <w:r w:rsidRPr="00ED328E">
        <w:rPr>
          <w:lang w:val="lv-LV" w:eastAsia="lv-LV" w:bidi="lv-LV"/>
        </w:rPr>
        <w:tab/>
        <w:t xml:space="preserve">ņemot vērā Eiropas Ekonomikas un sociālo lietu komitejas </w:t>
      </w:r>
      <w:r w:rsidRPr="004B6FBF">
        <w:rPr>
          <w:lang w:val="lv-LV" w:eastAsia="lv-LV" w:bidi="lv-LV"/>
        </w:rPr>
        <w:t>2024</w:t>
      </w:r>
      <w:r w:rsidRPr="00ED328E">
        <w:rPr>
          <w:lang w:val="lv-LV" w:eastAsia="lv-LV" w:bidi="lv-LV"/>
        </w:rPr>
        <w:t xml:space="preserve">. gada </w:t>
      </w:r>
      <w:r w:rsidRPr="004B6FBF">
        <w:rPr>
          <w:lang w:val="lv-LV" w:eastAsia="lv-LV" w:bidi="lv-LV"/>
        </w:rPr>
        <w:t>23</w:t>
      </w:r>
      <w:r w:rsidRPr="00ED328E">
        <w:rPr>
          <w:lang w:val="lv-LV" w:eastAsia="lv-LV" w:bidi="lv-LV"/>
        </w:rPr>
        <w:t>. oktobra atzinumu</w:t>
      </w:r>
      <w:r w:rsidRPr="00ED328E">
        <w:rPr>
          <w:rStyle w:val="FootnoteReference"/>
          <w:lang w:val="lv-LV" w:eastAsia="lv-LV" w:bidi="lv-LV"/>
        </w:rPr>
        <w:footnoteReference w:id="1"/>
      </w:r>
      <w:r w:rsidRPr="00ED328E">
        <w:rPr>
          <w:lang w:val="lv-LV" w:eastAsia="lv-LV" w:bidi="lv-LV"/>
        </w:rPr>
        <w:t>,</w:t>
      </w:r>
    </w:p>
    <w:p w:rsidR="00B752F6" w:rsidRPr="00ED328E" w:rsidRDefault="00B752F6" w:rsidP="00B752F6">
      <w:pPr>
        <w:tabs>
          <w:tab w:val="left" w:pos="-774"/>
          <w:tab w:val="left" w:pos="-114"/>
          <w:tab w:val="left" w:pos="645"/>
          <w:tab w:val="left" w:pos="849"/>
          <w:tab w:val="left" w:pos="1021"/>
          <w:tab w:val="left" w:pos="1132"/>
          <w:tab w:val="left" w:pos="1418"/>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pacing w:before="120" w:after="120"/>
        <w:ind w:left="567" w:hanging="567"/>
        <w:rPr>
          <w:b/>
          <w:szCs w:val="24"/>
          <w:lang w:val="lv-LV" w:eastAsia="lv-LV" w:bidi="lv-LV"/>
        </w:rPr>
      </w:pPr>
      <w:r w:rsidRPr="00ED328E">
        <w:rPr>
          <w:szCs w:val="24"/>
          <w:lang w:val="lv-LV" w:eastAsia="lv-LV" w:bidi="lv-LV"/>
        </w:rPr>
        <w:sym w:font="Symbol" w:char="F02D"/>
      </w:r>
      <w:r w:rsidRPr="00ED328E">
        <w:rPr>
          <w:szCs w:val="24"/>
          <w:lang w:val="lv-LV" w:eastAsia="lv-LV" w:bidi="lv-LV"/>
        </w:rPr>
        <w:tab/>
        <w:t>pēc apspriešanās ar Reģionu komiteju,</w:t>
      </w:r>
    </w:p>
    <w:p w:rsidR="00E7535F" w:rsidRPr="00ED328E" w:rsidRDefault="00E7535F" w:rsidP="00B752F6">
      <w:pPr>
        <w:tabs>
          <w:tab w:val="left" w:pos="-774"/>
          <w:tab w:val="left" w:pos="-114"/>
          <w:tab w:val="left" w:pos="645"/>
          <w:tab w:val="left" w:pos="709"/>
          <w:tab w:val="left" w:pos="849"/>
          <w:tab w:val="left" w:pos="1021"/>
          <w:tab w:val="left" w:pos="1132"/>
          <w:tab w:val="left" w:pos="1418"/>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pacing w:before="120" w:after="120"/>
        <w:ind w:left="567" w:hanging="567"/>
        <w:rPr>
          <w:szCs w:val="24"/>
          <w:lang w:val="lv-LV" w:eastAsia="lv-LV" w:bidi="lv-LV"/>
        </w:rPr>
      </w:pPr>
      <w:r w:rsidRPr="00ED328E">
        <w:rPr>
          <w:lang w:val="lv-LV" w:eastAsia="lv-LV" w:bidi="lv-LV"/>
        </w:rPr>
        <w:t>–</w:t>
      </w:r>
      <w:r w:rsidRPr="00ED328E">
        <w:rPr>
          <w:lang w:val="lv-LV" w:eastAsia="lv-LV" w:bidi="lv-LV"/>
        </w:rPr>
        <w:tab/>
      </w:r>
      <w:r w:rsidRPr="00ED328E">
        <w:rPr>
          <w:szCs w:val="24"/>
          <w:lang w:val="lv-LV" w:eastAsia="lv-LV" w:bidi="lv-LV"/>
        </w:rPr>
        <w:t xml:space="preserve">ņemot vērā provizorisko vienošanos, kuru atbildīgā komiteja apstiprinājusi saskaņā ar Reglamenta </w:t>
      </w:r>
      <w:r w:rsidRPr="004B6FBF">
        <w:rPr>
          <w:szCs w:val="24"/>
          <w:lang w:val="lv-LV" w:eastAsia="lv-LV" w:bidi="lv-LV"/>
        </w:rPr>
        <w:t>75</w:t>
      </w:r>
      <w:r w:rsidRPr="00ED328E">
        <w:rPr>
          <w:szCs w:val="24"/>
          <w:lang w:val="lv-LV" w:eastAsia="lv-LV" w:bidi="lv-LV"/>
        </w:rPr>
        <w:t xml:space="preserve">. panta </w:t>
      </w:r>
      <w:r w:rsidRPr="004B6FBF">
        <w:rPr>
          <w:szCs w:val="24"/>
          <w:lang w:val="lv-LV" w:eastAsia="lv-LV" w:bidi="lv-LV"/>
        </w:rPr>
        <w:t>4</w:t>
      </w:r>
      <w:r w:rsidRPr="00ED328E">
        <w:rPr>
          <w:szCs w:val="24"/>
          <w:lang w:val="lv-LV" w:eastAsia="lv-LV" w:bidi="lv-LV"/>
        </w:rPr>
        <w:t xml:space="preserve">. punktu, un Padomes pārstāvja </w:t>
      </w:r>
      <w:r w:rsidR="00183247">
        <w:rPr>
          <w:szCs w:val="24"/>
          <w:lang w:val="lv-LV" w:eastAsia="lv-LV" w:bidi="lv-LV"/>
        </w:rPr>
        <w:t xml:space="preserve">2024. gada 16. oktobra un </w:t>
      </w:r>
      <w:r w:rsidRPr="004B6FBF">
        <w:rPr>
          <w:szCs w:val="24"/>
          <w:lang w:val="lv-LV" w:eastAsia="lv-LV" w:bidi="lv-LV"/>
        </w:rPr>
        <w:t>2024</w:t>
      </w:r>
      <w:r w:rsidRPr="00ED328E">
        <w:rPr>
          <w:szCs w:val="24"/>
          <w:lang w:val="lv-LV" w:eastAsia="lv-LV" w:bidi="lv-LV"/>
        </w:rPr>
        <w:t xml:space="preserve">. gada </w:t>
      </w:r>
      <w:r w:rsidRPr="004B6FBF">
        <w:rPr>
          <w:szCs w:val="24"/>
          <w:lang w:val="lv-LV" w:eastAsia="lv-LV" w:bidi="lv-LV"/>
        </w:rPr>
        <w:t>4</w:t>
      </w:r>
      <w:r w:rsidRPr="00ED328E">
        <w:rPr>
          <w:szCs w:val="24"/>
          <w:lang w:val="lv-LV" w:eastAsia="lv-LV" w:bidi="lv-LV"/>
        </w:rPr>
        <w:t>. decembra vēstulē</w:t>
      </w:r>
      <w:r w:rsidR="00183247">
        <w:rPr>
          <w:szCs w:val="24"/>
          <w:lang w:val="lv-LV" w:eastAsia="lv-LV" w:bidi="lv-LV"/>
        </w:rPr>
        <w:t>s</w:t>
      </w:r>
      <w:bookmarkStart w:id="10" w:name="_GoBack"/>
      <w:bookmarkEnd w:id="10"/>
      <w:r w:rsidRPr="00ED328E">
        <w:rPr>
          <w:szCs w:val="24"/>
          <w:lang w:val="lv-LV" w:eastAsia="lv-LV" w:bidi="lv-LV"/>
        </w:rPr>
        <w:t xml:space="preserve"> pausto apņemšanos apstiprināt Eiropas Parlamenta nostāju saskaņā ar Līguma par Eiropas Savienības darbību </w:t>
      </w:r>
      <w:r w:rsidRPr="004B6FBF">
        <w:rPr>
          <w:szCs w:val="24"/>
          <w:lang w:val="lv-LV" w:eastAsia="lv-LV" w:bidi="lv-LV"/>
        </w:rPr>
        <w:t>294</w:t>
      </w:r>
      <w:r w:rsidRPr="00ED328E">
        <w:rPr>
          <w:szCs w:val="24"/>
          <w:lang w:val="lv-LV" w:eastAsia="lv-LV" w:bidi="lv-LV"/>
        </w:rPr>
        <w:t xml:space="preserve">. panta </w:t>
      </w:r>
      <w:r w:rsidRPr="004B6FBF">
        <w:rPr>
          <w:szCs w:val="24"/>
          <w:lang w:val="lv-LV" w:eastAsia="lv-LV" w:bidi="lv-LV"/>
        </w:rPr>
        <w:t>4</w:t>
      </w:r>
      <w:r w:rsidRPr="00ED328E">
        <w:rPr>
          <w:szCs w:val="24"/>
          <w:lang w:val="lv-LV" w:eastAsia="lv-LV" w:bidi="lv-LV"/>
        </w:rPr>
        <w:t>. punktu,</w:t>
      </w:r>
    </w:p>
    <w:p w:rsidR="00B752F6" w:rsidRPr="00ED328E" w:rsidRDefault="00B752F6" w:rsidP="00B752F6">
      <w:pPr>
        <w:tabs>
          <w:tab w:val="left" w:pos="-774"/>
          <w:tab w:val="left" w:pos="-114"/>
          <w:tab w:val="left" w:pos="645"/>
          <w:tab w:val="left" w:pos="709"/>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spacing w:before="120" w:after="120"/>
        <w:ind w:left="567" w:hanging="567"/>
        <w:rPr>
          <w:noProof/>
          <w:shd w:val="pct15" w:color="auto" w:fill="auto"/>
          <w:lang w:val="lv-LV" w:eastAsia="lv-LV" w:bidi="lv-LV"/>
        </w:rPr>
      </w:pPr>
      <w:r w:rsidRPr="00ED328E">
        <w:rPr>
          <w:lang w:val="lv-LV" w:eastAsia="lv-LV" w:bidi="lv-LV"/>
        </w:rPr>
        <w:t>–</w:t>
      </w:r>
      <w:r w:rsidRPr="00ED328E">
        <w:rPr>
          <w:lang w:val="lv-LV" w:eastAsia="lv-LV" w:bidi="lv-LV"/>
        </w:rPr>
        <w:tab/>
        <w:t xml:space="preserve">ņemot vērā Reglamenta </w:t>
      </w:r>
      <w:r w:rsidRPr="004B6FBF">
        <w:rPr>
          <w:lang w:val="lv-LV" w:eastAsia="lv-LV" w:bidi="lv-LV"/>
        </w:rPr>
        <w:t>60</w:t>
      </w:r>
      <w:r w:rsidRPr="00ED328E">
        <w:rPr>
          <w:lang w:val="lv-LV" w:eastAsia="lv-LV" w:bidi="lv-LV"/>
        </w:rPr>
        <w:t xml:space="preserve">. un </w:t>
      </w:r>
      <w:r w:rsidRPr="004B6FBF">
        <w:rPr>
          <w:lang w:val="lv-LV" w:eastAsia="lv-LV" w:bidi="lv-LV"/>
        </w:rPr>
        <w:t>170</w:t>
      </w:r>
      <w:r w:rsidRPr="00ED328E">
        <w:rPr>
          <w:lang w:val="lv-LV" w:eastAsia="lv-LV" w:bidi="lv-LV"/>
        </w:rPr>
        <w:t>. pantu,</w:t>
      </w:r>
    </w:p>
    <w:p w:rsidR="00B752F6" w:rsidRPr="00ED328E" w:rsidRDefault="00B752F6" w:rsidP="00B752F6">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ind w:left="567" w:hanging="567"/>
        <w:rPr>
          <w:lang w:val="lv-LV"/>
        </w:rPr>
      </w:pPr>
      <w:r w:rsidRPr="004B6FBF">
        <w:rPr>
          <w:lang w:val="lv-LV"/>
        </w:rPr>
        <w:t>1</w:t>
      </w:r>
      <w:r w:rsidRPr="00ED328E">
        <w:rPr>
          <w:lang w:val="lv-LV"/>
        </w:rPr>
        <w:t>.</w:t>
      </w:r>
      <w:r w:rsidRPr="00ED328E">
        <w:rPr>
          <w:lang w:val="lv-LV"/>
        </w:rPr>
        <w:tab/>
        <w:t>pieņem pirmajā lasījumā turpmāk izklāstīto nostāju</w:t>
      </w:r>
      <w:r w:rsidR="00E7535F" w:rsidRPr="00ED328E">
        <w:rPr>
          <w:rStyle w:val="FootnoteReference"/>
          <w:lang w:val="lv-LV"/>
        </w:rPr>
        <w:footnoteReference w:id="2"/>
      </w:r>
      <w:r w:rsidRPr="00ED328E">
        <w:rPr>
          <w:lang w:val="lv-LV"/>
        </w:rPr>
        <w:t>;</w:t>
      </w:r>
    </w:p>
    <w:p w:rsidR="00CD23D2" w:rsidRPr="00ED328E" w:rsidRDefault="00CD23D2" w:rsidP="00B752F6">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ind w:left="567" w:hanging="567"/>
        <w:rPr>
          <w:szCs w:val="24"/>
          <w:lang w:val="lv-LV"/>
        </w:rPr>
      </w:pPr>
      <w:r w:rsidRPr="004B6FBF">
        <w:rPr>
          <w:lang w:val="lv-LV"/>
        </w:rPr>
        <w:lastRenderedPageBreak/>
        <w:t>2</w:t>
      </w:r>
      <w:r w:rsidRPr="00ED328E">
        <w:rPr>
          <w:lang w:val="lv-LV"/>
        </w:rPr>
        <w:t>.</w:t>
      </w:r>
      <w:r w:rsidRPr="00ED328E">
        <w:rPr>
          <w:lang w:val="lv-LV"/>
        </w:rPr>
        <w:tab/>
      </w:r>
      <w:r w:rsidRPr="00ED328E">
        <w:rPr>
          <w:szCs w:val="24"/>
          <w:lang w:val="lv-LV"/>
        </w:rPr>
        <w:t xml:space="preserve">pieņem zināšanai Komisijas paziņojumu, kas pievienots </w:t>
      </w:r>
      <w:r w:rsidR="00A32316" w:rsidRPr="00ED328E">
        <w:rPr>
          <w:szCs w:val="24"/>
          <w:lang w:val="lv-LV"/>
        </w:rPr>
        <w:t>šai rezolūcijai</w:t>
      </w:r>
      <w:r w:rsidRPr="00ED328E">
        <w:rPr>
          <w:szCs w:val="24"/>
          <w:lang w:val="lv-LV"/>
        </w:rPr>
        <w:t>;</w:t>
      </w:r>
    </w:p>
    <w:p w:rsidR="00B752F6" w:rsidRPr="00ED328E" w:rsidRDefault="00CD23D2" w:rsidP="00B752F6">
      <w:pPr>
        <w:tabs>
          <w:tab w:val="left" w:pos="-774"/>
          <w:tab w:val="left" w:pos="-114"/>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before="120" w:after="120"/>
        <w:ind w:left="567" w:hanging="567"/>
        <w:rPr>
          <w:szCs w:val="24"/>
          <w:lang w:val="lv-LV"/>
        </w:rPr>
      </w:pPr>
      <w:r w:rsidRPr="004B6FBF">
        <w:rPr>
          <w:lang w:val="lv-LV"/>
        </w:rPr>
        <w:t>3</w:t>
      </w:r>
      <w:r w:rsidR="00B752F6" w:rsidRPr="00ED328E">
        <w:rPr>
          <w:lang w:val="lv-LV"/>
        </w:rPr>
        <w:t>.</w:t>
      </w:r>
      <w:r w:rsidR="00B752F6" w:rsidRPr="00ED328E">
        <w:rPr>
          <w:lang w:val="lv-LV"/>
        </w:rPr>
        <w:tab/>
        <w:t>prasa Komisijai priekšlikumu Parlamentam iesniegt vēlreiz, ja tā savu priekšlikumu aizstāj, būtiski groza vai ir paredzējusi to būtiski grozīt;</w:t>
      </w:r>
    </w:p>
    <w:p w:rsidR="00B752F6" w:rsidRPr="00ED328E" w:rsidRDefault="00CD23D2" w:rsidP="00B752F6">
      <w:pPr>
        <w:tabs>
          <w:tab w:val="left" w:pos="-774"/>
          <w:tab w:val="left" w:pos="-114"/>
          <w:tab w:val="left" w:pos="645"/>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before="120" w:after="120"/>
        <w:ind w:left="567" w:hanging="567"/>
        <w:rPr>
          <w:lang w:val="lv-LV"/>
        </w:rPr>
        <w:sectPr w:rsidR="00B752F6" w:rsidRPr="00ED328E" w:rsidSect="00666512">
          <w:footerReference w:type="even" r:id="rId9"/>
          <w:footnotePr>
            <w:numRestart w:val="eachPage"/>
          </w:footnotePr>
          <w:endnotePr>
            <w:numFmt w:val="decimal"/>
          </w:endnotePr>
          <w:type w:val="continuous"/>
          <w:pgSz w:w="11905" w:h="16837" w:code="9"/>
          <w:pgMar w:top="1134" w:right="1418" w:bottom="1418" w:left="1418" w:header="720" w:footer="397" w:gutter="0"/>
          <w:cols w:space="720"/>
          <w:noEndnote/>
          <w:docGrid w:linePitch="326"/>
        </w:sectPr>
      </w:pPr>
      <w:r w:rsidRPr="004B6FBF">
        <w:rPr>
          <w:lang w:val="lv-LV"/>
        </w:rPr>
        <w:t>4</w:t>
      </w:r>
      <w:r w:rsidR="00B752F6" w:rsidRPr="00ED328E">
        <w:rPr>
          <w:lang w:val="lv-LV"/>
        </w:rPr>
        <w:t>.</w:t>
      </w:r>
      <w:r w:rsidR="00B752F6" w:rsidRPr="00ED328E">
        <w:rPr>
          <w:lang w:val="lv-LV"/>
        </w:rPr>
        <w:tab/>
        <w:t>uzdod priekšsēdētājai Parlamenta nostāju nosūtīt Padomei un Komisijai, kā arī dalībvalstu parlamentiem.</w:t>
      </w:r>
    </w:p>
    <w:p w:rsidR="00B752F6" w:rsidRPr="00ED328E" w:rsidRDefault="00B752F6" w:rsidP="00B752F6">
      <w:pPr>
        <w:pStyle w:val="Normal12Hanging"/>
        <w:tabs>
          <w:tab w:val="left" w:pos="357"/>
        </w:tabs>
        <w:rPr>
          <w:b/>
          <w:lang w:val="lv-LV"/>
        </w:rPr>
      </w:pPr>
      <w:r w:rsidRPr="00ED328E">
        <w:rPr>
          <w:b/>
          <w:lang w:val="lv-LV"/>
        </w:rPr>
        <w:lastRenderedPageBreak/>
        <w:t>P</w:t>
      </w:r>
      <w:r w:rsidRPr="004B6FBF">
        <w:rPr>
          <w:b/>
          <w:lang w:val="lv-LV"/>
        </w:rPr>
        <w:t>10</w:t>
      </w:r>
      <w:r w:rsidRPr="00ED328E">
        <w:rPr>
          <w:b/>
          <w:lang w:val="lv-LV"/>
        </w:rPr>
        <w:t>_TC</w:t>
      </w:r>
      <w:r w:rsidRPr="004B6FBF">
        <w:rPr>
          <w:b/>
          <w:lang w:val="lv-LV"/>
        </w:rPr>
        <w:t>1</w:t>
      </w:r>
      <w:r w:rsidRPr="00ED328E">
        <w:rPr>
          <w:b/>
          <w:lang w:val="lv-LV"/>
        </w:rPr>
        <w:t>-COD(</w:t>
      </w:r>
      <w:r w:rsidRPr="004B6FBF">
        <w:rPr>
          <w:b/>
          <w:lang w:val="lv-LV"/>
        </w:rPr>
        <w:t>2024</w:t>
      </w:r>
      <w:r w:rsidRPr="00ED328E">
        <w:rPr>
          <w:b/>
          <w:lang w:val="lv-LV"/>
        </w:rPr>
        <w:t>)</w:t>
      </w:r>
      <w:r w:rsidRPr="004B6FBF">
        <w:rPr>
          <w:b/>
          <w:lang w:val="lv-LV"/>
        </w:rPr>
        <w:t>0249</w:t>
      </w:r>
    </w:p>
    <w:p w:rsidR="008C48A1" w:rsidRDefault="00B752F6" w:rsidP="00B752F6">
      <w:pPr>
        <w:pStyle w:val="Normal12Hanging"/>
        <w:ind w:left="0" w:firstLine="0"/>
        <w:rPr>
          <w:rFonts w:eastAsia="Calibri"/>
          <w:b/>
          <w:szCs w:val="22"/>
          <w:lang w:val="lv-LV"/>
        </w:rPr>
      </w:pPr>
      <w:r w:rsidRPr="00ED328E">
        <w:rPr>
          <w:b/>
          <w:lang w:val="lv-LV"/>
        </w:rPr>
        <w:t xml:space="preserve">Eiropas Parlamenta nostāja, pieņemta pirmajā lasījumā </w:t>
      </w:r>
      <w:r w:rsidRPr="004B6FBF">
        <w:rPr>
          <w:b/>
          <w:lang w:val="lv-LV"/>
        </w:rPr>
        <w:t>2024</w:t>
      </w:r>
      <w:r w:rsidRPr="00ED328E">
        <w:rPr>
          <w:b/>
          <w:lang w:val="lv-LV"/>
        </w:rPr>
        <w:t xml:space="preserve">. gada </w:t>
      </w:r>
      <w:r w:rsidR="00CD23D2" w:rsidRPr="004B6FBF">
        <w:rPr>
          <w:b/>
          <w:lang w:val="lv-LV"/>
        </w:rPr>
        <w:t>17</w:t>
      </w:r>
      <w:r w:rsidRPr="00ED328E">
        <w:rPr>
          <w:b/>
          <w:lang w:val="lv-LV"/>
        </w:rPr>
        <w:t xml:space="preserve">. </w:t>
      </w:r>
      <w:r w:rsidR="00CD23D2" w:rsidRPr="00ED328E">
        <w:rPr>
          <w:b/>
          <w:lang w:val="lv-LV"/>
        </w:rPr>
        <w:t>decembrī</w:t>
      </w:r>
      <w:r w:rsidRPr="00ED328E">
        <w:rPr>
          <w:b/>
          <w:lang w:val="lv-LV"/>
        </w:rPr>
        <w:t xml:space="preserve">, lai pieņemtu Eiropas Parlamenta un Padomes Regulu (ES) </w:t>
      </w:r>
      <w:r w:rsidRPr="004B6FBF">
        <w:rPr>
          <w:b/>
          <w:lang w:val="lv-LV"/>
        </w:rPr>
        <w:t>2024</w:t>
      </w:r>
      <w:r w:rsidRPr="00ED328E">
        <w:rPr>
          <w:b/>
          <w:lang w:val="lv-LV"/>
        </w:rPr>
        <w:t xml:space="preserve">/..., </w:t>
      </w:r>
      <w:r w:rsidRPr="00ED328E">
        <w:rPr>
          <w:rFonts w:eastAsia="Calibri"/>
          <w:b/>
          <w:szCs w:val="22"/>
          <w:lang w:val="lv-LV"/>
        </w:rPr>
        <w:t xml:space="preserve">ar ko groza Regulu (ES) </w:t>
      </w:r>
      <w:r w:rsidRPr="004B6FBF">
        <w:rPr>
          <w:rFonts w:eastAsia="Calibri"/>
          <w:b/>
          <w:szCs w:val="22"/>
          <w:lang w:val="lv-LV"/>
        </w:rPr>
        <w:t>2023</w:t>
      </w:r>
      <w:r w:rsidRPr="00ED328E">
        <w:rPr>
          <w:rFonts w:eastAsia="Calibri"/>
          <w:b/>
          <w:szCs w:val="22"/>
          <w:lang w:val="lv-LV"/>
        </w:rPr>
        <w:t>/</w:t>
      </w:r>
      <w:r w:rsidRPr="004B6FBF">
        <w:rPr>
          <w:rFonts w:eastAsia="Calibri"/>
          <w:b/>
          <w:szCs w:val="22"/>
          <w:lang w:val="lv-LV"/>
        </w:rPr>
        <w:t>1115</w:t>
      </w:r>
      <w:r w:rsidRPr="00ED328E">
        <w:rPr>
          <w:rFonts w:eastAsia="Calibri"/>
          <w:b/>
          <w:szCs w:val="22"/>
          <w:lang w:val="lv-LV"/>
        </w:rPr>
        <w:t xml:space="preserve"> attiecībā uz noteikumiem par piemērošanas dienu</w:t>
      </w:r>
    </w:p>
    <w:p w:rsidR="008C48A1" w:rsidRPr="008C48A1" w:rsidRDefault="008C48A1" w:rsidP="008C48A1">
      <w:pPr>
        <w:rPr>
          <w:i/>
          <w:lang w:val="lv-LV"/>
        </w:rPr>
      </w:pPr>
      <w:r w:rsidRPr="008C48A1">
        <w:rPr>
          <w:i/>
          <w:lang w:val="lv-LV"/>
        </w:rPr>
        <w:t>(Tā kā starp Parlamentu un Padomi tika panākta vienošanās, Parlamenta nostāja atbilst galīgajam tiesību aktam Regulai (ES) 2024/3234.)</w:t>
      </w:r>
    </w:p>
    <w:p w:rsidR="008C48A1" w:rsidRDefault="008C48A1" w:rsidP="00B752F6">
      <w:pPr>
        <w:pStyle w:val="Normal12Hanging"/>
        <w:ind w:left="0" w:firstLine="0"/>
        <w:rPr>
          <w:rFonts w:eastAsia="Calibri"/>
          <w:b/>
          <w:szCs w:val="22"/>
          <w:lang w:val="lv-LV"/>
        </w:rPr>
      </w:pPr>
    </w:p>
    <w:p w:rsidR="008C48A1" w:rsidRDefault="008C48A1">
      <w:pPr>
        <w:rPr>
          <w:rFonts w:eastAsia="Calibri"/>
          <w:b/>
          <w:snapToGrid w:val="0"/>
          <w:szCs w:val="22"/>
          <w:lang w:val="lv-LV"/>
        </w:rPr>
      </w:pPr>
      <w:r>
        <w:rPr>
          <w:rFonts w:eastAsia="Calibri"/>
          <w:b/>
          <w:szCs w:val="22"/>
          <w:lang w:val="lv-LV"/>
        </w:rPr>
        <w:br w:type="page"/>
      </w:r>
    </w:p>
    <w:p w:rsidR="008C48A1" w:rsidRPr="00ED328E" w:rsidRDefault="008C48A1" w:rsidP="008C48A1">
      <w:pPr>
        <w:widowControl w:val="0"/>
        <w:spacing w:before="240" w:after="240" w:line="360" w:lineRule="auto"/>
        <w:jc w:val="right"/>
        <w:rPr>
          <w:color w:val="111111"/>
          <w:szCs w:val="24"/>
          <w:lang w:val="lv-LV"/>
        </w:rPr>
      </w:pPr>
      <w:r w:rsidRPr="00ED328E">
        <w:rPr>
          <w:color w:val="111111"/>
          <w:szCs w:val="24"/>
          <w:lang w:val="lv-LV"/>
        </w:rPr>
        <w:lastRenderedPageBreak/>
        <w:t>NORMATĪVĀS REZOLŪCIJAS PIELIKUMS</w:t>
      </w:r>
    </w:p>
    <w:p w:rsidR="008C48A1" w:rsidRPr="00ED328E" w:rsidRDefault="008C48A1" w:rsidP="008C48A1">
      <w:pPr>
        <w:widowControl w:val="0"/>
        <w:spacing w:before="240" w:after="480" w:line="360" w:lineRule="auto"/>
        <w:jc w:val="center"/>
        <w:rPr>
          <w:b/>
          <w:lang w:val="lv-LV"/>
        </w:rPr>
      </w:pPr>
      <w:r w:rsidRPr="00ED328E">
        <w:rPr>
          <w:b/>
          <w:lang w:val="lv-LV"/>
        </w:rPr>
        <w:t xml:space="preserve">Komisijas paziņojums saistībā ar Eiropas Parlamenta un Padomes Regulas (ES) </w:t>
      </w:r>
      <w:r w:rsidRPr="004B6FBF">
        <w:rPr>
          <w:b/>
          <w:lang w:val="lv-LV"/>
        </w:rPr>
        <w:t>2024</w:t>
      </w:r>
      <w:r w:rsidRPr="00ED328E">
        <w:rPr>
          <w:b/>
          <w:lang w:val="lv-LV"/>
        </w:rPr>
        <w:t>/</w:t>
      </w:r>
      <w:r>
        <w:rPr>
          <w:b/>
          <w:lang w:val="lv-LV"/>
        </w:rPr>
        <w:t xml:space="preserve">3234 </w:t>
      </w:r>
      <w:r w:rsidRPr="00ED328E">
        <w:rPr>
          <w:b/>
          <w:lang w:val="lv-LV"/>
        </w:rPr>
        <w:t>(</w:t>
      </w:r>
      <w:r>
        <w:rPr>
          <w:b/>
          <w:lang w:val="lv-LV"/>
        </w:rPr>
        <w:t>2024.</w:t>
      </w:r>
      <w:r w:rsidRPr="00ED328E">
        <w:rPr>
          <w:b/>
          <w:lang w:val="lv-LV"/>
        </w:rPr>
        <w:t xml:space="preserve"> gada </w:t>
      </w:r>
      <w:r>
        <w:rPr>
          <w:b/>
          <w:lang w:val="lv-LV"/>
        </w:rPr>
        <w:t>19. decembris</w:t>
      </w:r>
      <w:r w:rsidRPr="00ED328E">
        <w:rPr>
          <w:b/>
          <w:lang w:val="lv-LV"/>
        </w:rPr>
        <w:t xml:space="preserve">), ar ko groza Regulu (ES) </w:t>
      </w:r>
      <w:r w:rsidRPr="004B6FBF">
        <w:rPr>
          <w:b/>
          <w:lang w:val="lv-LV"/>
        </w:rPr>
        <w:t>2023</w:t>
      </w:r>
      <w:r w:rsidRPr="00ED328E">
        <w:rPr>
          <w:b/>
          <w:lang w:val="lv-LV"/>
        </w:rPr>
        <w:t>/</w:t>
      </w:r>
      <w:r w:rsidRPr="004B6FBF">
        <w:rPr>
          <w:b/>
          <w:lang w:val="lv-LV"/>
        </w:rPr>
        <w:t>1115</w:t>
      </w:r>
      <w:r w:rsidRPr="00ED328E">
        <w:rPr>
          <w:b/>
          <w:lang w:val="lv-LV"/>
        </w:rPr>
        <w:t xml:space="preserve"> attiecībā uz noteikumiem par piemērošanas dienu, pieņemšanu</w:t>
      </w:r>
      <w:r>
        <w:rPr>
          <w:rStyle w:val="FootnoteReference"/>
          <w:b/>
          <w:lang w:val="lv-LV"/>
        </w:rPr>
        <w:footnoteReference w:id="3"/>
      </w:r>
    </w:p>
    <w:p w:rsidR="008C48A1" w:rsidRPr="00ED328E" w:rsidRDefault="008C48A1" w:rsidP="008C48A1">
      <w:pPr>
        <w:widowControl w:val="0"/>
        <w:spacing w:before="120" w:after="120" w:line="360" w:lineRule="auto"/>
        <w:jc w:val="both"/>
        <w:rPr>
          <w:lang w:val="lv-LV"/>
        </w:rPr>
      </w:pPr>
      <w:r w:rsidRPr="00ED328E">
        <w:rPr>
          <w:lang w:val="lv-LV"/>
        </w:rPr>
        <w:t>Komisija joprojām ir apņēmības pilna, samazinot administratīvās prasības un likvidējot nevajadzīgu birokrātisko nastu, mazināt uzņēmumu slogu.</w:t>
      </w:r>
    </w:p>
    <w:p w:rsidR="008C48A1" w:rsidRPr="00ED328E" w:rsidRDefault="008C48A1" w:rsidP="008C48A1">
      <w:pPr>
        <w:widowControl w:val="0"/>
        <w:spacing w:before="120" w:after="120" w:line="360" w:lineRule="auto"/>
        <w:jc w:val="both"/>
        <w:rPr>
          <w:lang w:val="lv-LV"/>
        </w:rPr>
      </w:pPr>
      <w:r w:rsidRPr="00ED328E">
        <w:rPr>
          <w:lang w:val="lv-LV"/>
        </w:rPr>
        <w:t>Lai to panāktu saistībā ar Regulu (ES) </w:t>
      </w:r>
      <w:r w:rsidRPr="004B6FBF">
        <w:rPr>
          <w:lang w:val="lv-LV"/>
        </w:rPr>
        <w:t>2023</w:t>
      </w:r>
      <w:r w:rsidRPr="00ED328E">
        <w:rPr>
          <w:lang w:val="lv-LV"/>
        </w:rPr>
        <w:t>/</w:t>
      </w:r>
      <w:r w:rsidRPr="004B6FBF">
        <w:rPr>
          <w:lang w:val="lv-LV"/>
        </w:rPr>
        <w:t>1115</w:t>
      </w:r>
      <w:r w:rsidRPr="00ED328E">
        <w:rPr>
          <w:lang w:val="lv-LV"/>
        </w:rPr>
        <w:t xml:space="preserve">, Komisija pilnīgā saskanībā ar regulas mērķiem sniegs papildu skaidrojumus un pētīs vēl citas vienkāršošanas iespējas, kā arī racionalizēs ziņošanas un dokumentēšanas pienākumus, tiecoties tos samazināt līdz nepieciešamajam minimumam. Tālab, lai pievērstos šiem </w:t>
      </w:r>
      <w:proofErr w:type="spellStart"/>
      <w:r w:rsidRPr="00ED328E">
        <w:rPr>
          <w:lang w:val="lv-LV"/>
        </w:rPr>
        <w:t>problēmjautājumiem</w:t>
      </w:r>
      <w:proofErr w:type="spellEnd"/>
      <w:r w:rsidRPr="00ED328E">
        <w:rPr>
          <w:lang w:val="lv-LV"/>
        </w:rPr>
        <w:t>, Komisija publicēs pamatnostādņu un bieži uzdoto jautājumu atjauninājumu. Vēl Komisija turpinās uz ieinteresēto personu un dalībvalstu atsauksmēm reaģēt, palīdzot tirgotājiem un tirgus dalībniekiem īstenot regulu, jo īpaši pienākumu iesniegt pienācīgas pārbaudes paziņojumus visā vērtības ķēdē.</w:t>
      </w:r>
    </w:p>
    <w:p w:rsidR="008C48A1" w:rsidRPr="00ED328E" w:rsidRDefault="008C48A1" w:rsidP="008C48A1">
      <w:pPr>
        <w:widowControl w:val="0"/>
        <w:spacing w:before="120" w:after="120" w:line="360" w:lineRule="auto"/>
        <w:jc w:val="both"/>
        <w:rPr>
          <w:lang w:val="lv-LV"/>
        </w:rPr>
      </w:pPr>
      <w:r w:rsidRPr="00ED328E">
        <w:rPr>
          <w:lang w:val="lv-LV"/>
        </w:rPr>
        <w:t xml:space="preserve">Lai tirgotāji un tirgus dalībnieki sadarbībā ar kompetentajām iestādēm varētu izpildīt regulas prasības, Komisija par prioritāti nosaka informācijas sistēmas darbības uzsākšanu. Lai tirgus dalībniekiem, tirgotājiem, ražotājvalstīm un kompetentajām iestādēm sagādātu </w:t>
      </w:r>
      <w:proofErr w:type="spellStart"/>
      <w:r w:rsidRPr="00ED328E">
        <w:rPr>
          <w:lang w:val="lv-LV"/>
        </w:rPr>
        <w:t>paredzamību</w:t>
      </w:r>
      <w:proofErr w:type="spellEnd"/>
      <w:r w:rsidRPr="00ED328E">
        <w:rPr>
          <w:lang w:val="lv-LV"/>
        </w:rPr>
        <w:t xml:space="preserve"> regulas piemērošanā, svarīga ir arī iedalīšana riska kategorijās, kuru veic pēc salīdzinošās novērtēšanas. Komisija ir stingri apņēmusies panākt, lai gan informācijas sistēma, gan priekšlikums par riska klasifikāciju būtu pieejams pēc iespējas drīzāk, bet ne vēlāk kā sešus mēnešus pirms regulas piemērošanas sākuma.</w:t>
      </w:r>
    </w:p>
    <w:p w:rsidR="00B752F6" w:rsidRPr="00ED328E" w:rsidRDefault="008C48A1" w:rsidP="008C48A1">
      <w:pPr>
        <w:widowControl w:val="0"/>
        <w:spacing w:before="120" w:after="120" w:line="360" w:lineRule="auto"/>
        <w:jc w:val="both"/>
        <w:rPr>
          <w:rFonts w:eastAsia="Calibri"/>
          <w:b/>
          <w:szCs w:val="22"/>
          <w:lang w:val="lv-LV"/>
        </w:rPr>
      </w:pPr>
      <w:r w:rsidRPr="00ED328E">
        <w:rPr>
          <w:lang w:val="lv-LV"/>
        </w:rPr>
        <w:t xml:space="preserve">Attiecībā uz regulas vispārējo pārskatīšanu, kas gaidāma ne vēlāk kā </w:t>
      </w:r>
      <w:r w:rsidRPr="004B6FBF">
        <w:rPr>
          <w:lang w:val="lv-LV"/>
        </w:rPr>
        <w:t>2028</w:t>
      </w:r>
      <w:r w:rsidRPr="00ED328E">
        <w:rPr>
          <w:lang w:val="lv-LV"/>
        </w:rPr>
        <w:t xml:space="preserve">. gada </w:t>
      </w:r>
      <w:r w:rsidRPr="004B6FBF">
        <w:rPr>
          <w:lang w:val="lv-LV"/>
        </w:rPr>
        <w:t>30</w:t>
      </w:r>
      <w:r w:rsidRPr="00ED328E">
        <w:rPr>
          <w:lang w:val="lv-LV"/>
        </w:rPr>
        <w:t>. jūnijā, jānorāda, ka Komisija, attiecīgā gadījumā pamatojoties uz ietekmes novērtējumu, analizēs papildu pasākumus, kā panākt vienkāršošanu un mazināt administratīvo slogu. Šī analīze ietvers vajadzību un iespējamību atvieglot prasības, kas piemērojamas attiecībā uz sagādi no valstīm un to daļām, kuras sasniegušas ar regulas mērķiem saskanīgus pozitīvus rezultātus.</w:t>
      </w:r>
    </w:p>
    <w:sectPr w:rsidR="00B752F6" w:rsidRPr="00ED328E" w:rsidSect="008C48A1">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8E0" w:rsidRDefault="006C18E0" w:rsidP="009C4014">
      <w:r>
        <w:separator/>
      </w:r>
    </w:p>
  </w:endnote>
  <w:endnote w:type="continuationSeparator" w:id="0">
    <w:p w:rsidR="006C18E0" w:rsidRDefault="006C18E0"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Default="001832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Pr="00A32316" w:rsidRDefault="00183247" w:rsidP="00A323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Default="00183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8E0" w:rsidRDefault="006C18E0" w:rsidP="009C4014">
      <w:r>
        <w:separator/>
      </w:r>
    </w:p>
  </w:footnote>
  <w:footnote w:type="continuationSeparator" w:id="0">
    <w:p w:rsidR="006C18E0" w:rsidRDefault="006C18E0" w:rsidP="009C4014">
      <w:r>
        <w:continuationSeparator/>
      </w:r>
    </w:p>
  </w:footnote>
  <w:footnote w:id="1">
    <w:p w:rsidR="00B752F6" w:rsidRPr="00ED328E" w:rsidRDefault="00B752F6" w:rsidP="00ED328E">
      <w:pPr>
        <w:pStyle w:val="FootnoteText"/>
        <w:ind w:left="709" w:hanging="709"/>
        <w:rPr>
          <w:sz w:val="24"/>
          <w:szCs w:val="24"/>
          <w:lang w:val="lv-LV"/>
        </w:rPr>
      </w:pPr>
      <w:r w:rsidRPr="00ED328E">
        <w:rPr>
          <w:rStyle w:val="FootnoteReference"/>
          <w:sz w:val="24"/>
          <w:szCs w:val="24"/>
        </w:rPr>
        <w:footnoteRef/>
      </w:r>
      <w:r w:rsidRPr="00ED328E">
        <w:rPr>
          <w:sz w:val="24"/>
          <w:szCs w:val="24"/>
        </w:rPr>
        <w:t xml:space="preserve"> </w:t>
      </w:r>
      <w:r w:rsidRPr="00ED328E">
        <w:rPr>
          <w:sz w:val="24"/>
          <w:szCs w:val="24"/>
          <w:lang w:val="lv-LV"/>
        </w:rPr>
        <w:tab/>
      </w:r>
      <w:r w:rsidRPr="0068638B">
        <w:rPr>
          <w:i/>
          <w:sz w:val="24"/>
          <w:szCs w:val="24"/>
          <w:lang w:val="lv-LV"/>
        </w:rPr>
        <w:t>Oficiālajā Vēstnesī</w:t>
      </w:r>
      <w:r w:rsidRPr="0068638B">
        <w:rPr>
          <w:sz w:val="24"/>
          <w:szCs w:val="24"/>
          <w:lang w:val="lv-LV"/>
        </w:rPr>
        <w:t xml:space="preserve"> vēl nav publicēts.</w:t>
      </w:r>
    </w:p>
  </w:footnote>
  <w:footnote w:id="2">
    <w:p w:rsidR="00E7535F" w:rsidRPr="00ED328E" w:rsidRDefault="00E7535F" w:rsidP="00ED328E">
      <w:pPr>
        <w:pStyle w:val="FootnoteText"/>
        <w:ind w:left="709" w:hanging="709"/>
        <w:rPr>
          <w:sz w:val="24"/>
          <w:szCs w:val="24"/>
          <w:lang w:val="lv-LV"/>
        </w:rPr>
      </w:pPr>
      <w:r w:rsidRPr="00ED328E">
        <w:rPr>
          <w:rStyle w:val="FootnoteReference"/>
          <w:sz w:val="24"/>
          <w:szCs w:val="24"/>
        </w:rPr>
        <w:footnoteRef/>
      </w:r>
      <w:r w:rsidRPr="00ED328E">
        <w:rPr>
          <w:sz w:val="24"/>
          <w:szCs w:val="24"/>
          <w:lang w:val="lv-LV"/>
        </w:rPr>
        <w:t xml:space="preserve"> </w:t>
      </w:r>
      <w:r w:rsidRPr="00ED328E">
        <w:rPr>
          <w:sz w:val="24"/>
          <w:szCs w:val="24"/>
          <w:lang w:val="lv-LV"/>
        </w:rPr>
        <w:tab/>
        <w:t xml:space="preserve">Ar šo nostāju aizstāj </w:t>
      </w:r>
      <w:r w:rsidRPr="004B6FBF">
        <w:rPr>
          <w:sz w:val="24"/>
          <w:szCs w:val="24"/>
          <w:lang w:val="lv-LV"/>
        </w:rPr>
        <w:t>2024</w:t>
      </w:r>
      <w:r w:rsidRPr="00ED328E">
        <w:rPr>
          <w:sz w:val="24"/>
          <w:szCs w:val="24"/>
          <w:lang w:val="lv-LV"/>
        </w:rPr>
        <w:t xml:space="preserve">. gada </w:t>
      </w:r>
      <w:r w:rsidRPr="004B6FBF">
        <w:rPr>
          <w:sz w:val="24"/>
          <w:szCs w:val="24"/>
          <w:lang w:val="lv-LV"/>
        </w:rPr>
        <w:t>14</w:t>
      </w:r>
      <w:r w:rsidRPr="00ED328E">
        <w:rPr>
          <w:sz w:val="24"/>
          <w:szCs w:val="24"/>
          <w:lang w:val="lv-LV"/>
        </w:rPr>
        <w:t>. novembrī pieņemtos grozījumus (Pieņemtie teksti, P</w:t>
      </w:r>
      <w:r w:rsidRPr="004B6FBF">
        <w:rPr>
          <w:sz w:val="24"/>
          <w:szCs w:val="24"/>
          <w:lang w:val="lv-LV"/>
        </w:rPr>
        <w:t>10</w:t>
      </w:r>
      <w:r w:rsidRPr="00ED328E">
        <w:rPr>
          <w:sz w:val="24"/>
          <w:szCs w:val="24"/>
          <w:lang w:val="lv-LV"/>
        </w:rPr>
        <w:t>_TA(</w:t>
      </w:r>
      <w:r w:rsidRPr="004B6FBF">
        <w:rPr>
          <w:sz w:val="24"/>
          <w:szCs w:val="24"/>
          <w:lang w:val="lv-LV"/>
        </w:rPr>
        <w:t>2024</w:t>
      </w:r>
      <w:r w:rsidRPr="00ED328E">
        <w:rPr>
          <w:sz w:val="24"/>
          <w:szCs w:val="24"/>
          <w:lang w:val="lv-LV"/>
        </w:rPr>
        <w:t>)</w:t>
      </w:r>
      <w:r w:rsidRPr="004B6FBF">
        <w:rPr>
          <w:sz w:val="24"/>
          <w:szCs w:val="24"/>
          <w:lang w:val="lv-LV"/>
        </w:rPr>
        <w:t>0031</w:t>
      </w:r>
      <w:r w:rsidRPr="00ED328E">
        <w:rPr>
          <w:sz w:val="24"/>
          <w:szCs w:val="24"/>
          <w:lang w:val="lv-LV"/>
        </w:rPr>
        <w:t>).</w:t>
      </w:r>
    </w:p>
  </w:footnote>
  <w:footnote w:id="3">
    <w:p w:rsidR="008C48A1" w:rsidRPr="008C48A1" w:rsidRDefault="008C48A1" w:rsidP="008C48A1">
      <w:pPr>
        <w:widowControl w:val="0"/>
        <w:spacing w:before="120" w:after="120" w:line="360" w:lineRule="auto"/>
        <w:jc w:val="both"/>
        <w:rPr>
          <w:lang w:val="lv-LV"/>
        </w:rPr>
      </w:pPr>
      <w:r>
        <w:rPr>
          <w:rStyle w:val="FootnoteReference"/>
        </w:rPr>
        <w:footnoteRef/>
      </w:r>
      <w:r w:rsidRPr="008C48A1">
        <w:rPr>
          <w:lang w:val="fi-FI"/>
        </w:rPr>
        <w:t xml:space="preserve"> </w:t>
      </w:r>
      <w:r>
        <w:rPr>
          <w:lang w:val="lv-LV"/>
        </w:rPr>
        <w:tab/>
      </w:r>
      <w:r w:rsidRPr="00127E5B">
        <w:rPr>
          <w:szCs w:val="24"/>
          <w:lang w:val="fi-FI"/>
        </w:rPr>
        <w:t>O</w:t>
      </w:r>
      <w:r>
        <w:rPr>
          <w:szCs w:val="24"/>
          <w:lang w:val="fi-FI"/>
        </w:rPr>
        <w:t>V</w:t>
      </w:r>
      <w:r w:rsidRPr="00127E5B">
        <w:rPr>
          <w:szCs w:val="24"/>
          <w:lang w:val="fi-FI"/>
        </w:rPr>
        <w:t xml:space="preserve"> L, 2024/3234, 23.12.2024</w:t>
      </w:r>
      <w:r>
        <w:rPr>
          <w:szCs w:val="24"/>
          <w:lang w:val="fi-FI"/>
        </w:rPr>
        <w:t>.</w:t>
      </w:r>
      <w:r w:rsidRPr="00127E5B">
        <w:rPr>
          <w:szCs w:val="24"/>
          <w:lang w:val="fi-FI"/>
        </w:rPr>
        <w:t xml:space="preserve">, ELI: </w:t>
      </w:r>
      <w:hyperlink r:id="rId1" w:history="1">
        <w:r w:rsidRPr="00127E5B">
          <w:rPr>
            <w:rStyle w:val="Hyperlink"/>
            <w:szCs w:val="24"/>
            <w:lang w:val="fi-FI"/>
          </w:rPr>
          <w:t>http://data.europa.eu/eli/reg/2024/3234/oj</w:t>
        </w:r>
      </w:hyperlink>
      <w:r w:rsidRPr="00ED328E">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Default="00183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Default="00183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DD" w:rsidRDefault="00183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E0"/>
    <w:rsid w:val="00013B2A"/>
    <w:rsid w:val="000C2BFE"/>
    <w:rsid w:val="000F27A9"/>
    <w:rsid w:val="000F6208"/>
    <w:rsid w:val="00125CBC"/>
    <w:rsid w:val="00172070"/>
    <w:rsid w:val="001749E0"/>
    <w:rsid w:val="00183247"/>
    <w:rsid w:val="00185E15"/>
    <w:rsid w:val="001D4BBF"/>
    <w:rsid w:val="001D63A8"/>
    <w:rsid w:val="002924A9"/>
    <w:rsid w:val="002A1D4E"/>
    <w:rsid w:val="002B4BCF"/>
    <w:rsid w:val="002F1925"/>
    <w:rsid w:val="00300C61"/>
    <w:rsid w:val="00312A38"/>
    <w:rsid w:val="003202DD"/>
    <w:rsid w:val="003775B9"/>
    <w:rsid w:val="00397B2A"/>
    <w:rsid w:val="003E1189"/>
    <w:rsid w:val="003F4DFE"/>
    <w:rsid w:val="00425111"/>
    <w:rsid w:val="00451C48"/>
    <w:rsid w:val="0047030E"/>
    <w:rsid w:val="004A59BE"/>
    <w:rsid w:val="004B6FBF"/>
    <w:rsid w:val="004E6A17"/>
    <w:rsid w:val="004F2EA7"/>
    <w:rsid w:val="00520780"/>
    <w:rsid w:val="00525ED0"/>
    <w:rsid w:val="00534CAB"/>
    <w:rsid w:val="00547BB1"/>
    <w:rsid w:val="00591365"/>
    <w:rsid w:val="005A2421"/>
    <w:rsid w:val="005B23C9"/>
    <w:rsid w:val="005F0CA1"/>
    <w:rsid w:val="005F35F8"/>
    <w:rsid w:val="00603B14"/>
    <w:rsid w:val="006614EA"/>
    <w:rsid w:val="006656E5"/>
    <w:rsid w:val="00666512"/>
    <w:rsid w:val="00683F78"/>
    <w:rsid w:val="0068638B"/>
    <w:rsid w:val="006A1E82"/>
    <w:rsid w:val="006A7C85"/>
    <w:rsid w:val="006A7CE5"/>
    <w:rsid w:val="006B1646"/>
    <w:rsid w:val="006C18E0"/>
    <w:rsid w:val="006E5420"/>
    <w:rsid w:val="006F135E"/>
    <w:rsid w:val="00751383"/>
    <w:rsid w:val="00757DD5"/>
    <w:rsid w:val="00760EC5"/>
    <w:rsid w:val="007713FD"/>
    <w:rsid w:val="00774A9B"/>
    <w:rsid w:val="007906DB"/>
    <w:rsid w:val="007B16FE"/>
    <w:rsid w:val="007C3388"/>
    <w:rsid w:val="008512F3"/>
    <w:rsid w:val="00857458"/>
    <w:rsid w:val="00873A0F"/>
    <w:rsid w:val="00895FA0"/>
    <w:rsid w:val="008B1C2E"/>
    <w:rsid w:val="008B6178"/>
    <w:rsid w:val="008C48A1"/>
    <w:rsid w:val="008D7C16"/>
    <w:rsid w:val="008E7632"/>
    <w:rsid w:val="008F0108"/>
    <w:rsid w:val="008F7F1C"/>
    <w:rsid w:val="00907FE0"/>
    <w:rsid w:val="009865B7"/>
    <w:rsid w:val="009B7E10"/>
    <w:rsid w:val="009C4014"/>
    <w:rsid w:val="009F28EF"/>
    <w:rsid w:val="00A1739E"/>
    <w:rsid w:val="00A32316"/>
    <w:rsid w:val="00B54C72"/>
    <w:rsid w:val="00B752F6"/>
    <w:rsid w:val="00B85C1E"/>
    <w:rsid w:val="00C15516"/>
    <w:rsid w:val="00C16C81"/>
    <w:rsid w:val="00C57739"/>
    <w:rsid w:val="00C65BE8"/>
    <w:rsid w:val="00CB451F"/>
    <w:rsid w:val="00CC4897"/>
    <w:rsid w:val="00CD23D2"/>
    <w:rsid w:val="00D202A4"/>
    <w:rsid w:val="00D26731"/>
    <w:rsid w:val="00D91669"/>
    <w:rsid w:val="00DF097A"/>
    <w:rsid w:val="00DF53A8"/>
    <w:rsid w:val="00E039BF"/>
    <w:rsid w:val="00E11822"/>
    <w:rsid w:val="00E73B02"/>
    <w:rsid w:val="00E74BF3"/>
    <w:rsid w:val="00E7535F"/>
    <w:rsid w:val="00ED328E"/>
    <w:rsid w:val="00EF3610"/>
    <w:rsid w:val="00F16385"/>
    <w:rsid w:val="00F177A4"/>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62E63"/>
  <w15:chartTrackingRefBased/>
  <w15:docId w15:val="{70639DFE-8F19-4849-9EEF-B0464C6C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aliases w:val="Footnote symbol,Footnote,BVI fnr,(Footnote Reference),Footnote Reference Superscript,SUPERS,Odwolanie przypisu,Odwołanie przypisu,Voetnootverwijzing,Times 10 Point,Exposant 3 Point,Footnote reference number,note TESI,16 Point"/>
    <w:qFormat/>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
    <w:basedOn w:val="Normal"/>
    <w:link w:val="FootnoteTextChar"/>
    <w:qFormat/>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paragraph" w:customStyle="1" w:styleId="Normal12Bold">
    <w:name w:val="Normal12Bold"/>
    <w:basedOn w:val="Normal12"/>
    <w:rsid w:val="00B752F6"/>
    <w:rPr>
      <w:b/>
      <w:snapToGrid/>
      <w:lang w:val="lv-LV" w:eastAsia="lv-LV" w:bidi="lv-LV"/>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
    <w:basedOn w:val="DefaultParagraphFont"/>
    <w:link w:val="FootnoteText"/>
    <w:qFormat/>
    <w:rsid w:val="00B752F6"/>
    <w:rPr>
      <w:sz w:val="22"/>
      <w:lang w:val="fr-FR"/>
    </w:rPr>
  </w:style>
  <w:style w:type="paragraph" w:styleId="BalloonText">
    <w:name w:val="Balloon Text"/>
    <w:basedOn w:val="Normal"/>
    <w:link w:val="BalloonTextChar"/>
    <w:rsid w:val="00F16385"/>
    <w:rPr>
      <w:rFonts w:ascii="Segoe UI" w:hAnsi="Segoe UI" w:cs="Segoe UI"/>
      <w:sz w:val="18"/>
      <w:szCs w:val="18"/>
    </w:rPr>
  </w:style>
  <w:style w:type="character" w:customStyle="1" w:styleId="BalloonTextChar">
    <w:name w:val="Balloon Text Char"/>
    <w:basedOn w:val="DefaultParagraphFont"/>
    <w:link w:val="BalloonText"/>
    <w:rsid w:val="00F16385"/>
    <w:rPr>
      <w:rFonts w:ascii="Segoe UI" w:hAnsi="Segoe UI" w:cs="Segoe UI"/>
      <w:sz w:val="18"/>
      <w:szCs w:val="18"/>
      <w:lang w:val="fr-FR"/>
    </w:rPr>
  </w:style>
  <w:style w:type="character" w:customStyle="1" w:styleId="Hyperlink1">
    <w:name w:val="Hyperlink1"/>
    <w:basedOn w:val="DefaultParagraphFont"/>
    <w:uiPriority w:val="99"/>
    <w:unhideWhenUsed/>
    <w:rsid w:val="004A59BE"/>
    <w:rPr>
      <w:color w:val="0563C1"/>
      <w:u w:val="single"/>
    </w:rPr>
  </w:style>
  <w:style w:type="character" w:styleId="Hyperlink">
    <w:name w:val="Hyperlink"/>
    <w:basedOn w:val="DefaultParagraphFont"/>
    <w:rsid w:val="004A59BE"/>
    <w:rPr>
      <w:color w:val="0563C1" w:themeColor="hyperlink"/>
      <w:u w:val="single"/>
    </w:rPr>
  </w:style>
  <w:style w:type="paragraph" w:customStyle="1" w:styleId="EPFooter2">
    <w:name w:val="EPFooter2"/>
    <w:basedOn w:val="Normal"/>
    <w:next w:val="Normal"/>
    <w:rsid w:val="00A32316"/>
    <w:pPr>
      <w:tabs>
        <w:tab w:val="center" w:pos="4535"/>
        <w:tab w:val="right" w:pos="9921"/>
      </w:tabs>
      <w:ind w:left="-850" w:right="-850"/>
    </w:pPr>
    <w:rPr>
      <w:rFonts w:ascii="Arial" w:hAnsi="Arial" w:cs="Arial"/>
      <w:b/>
      <w:sz w:val="48"/>
      <w:lang w:val="lv-LV"/>
    </w:rPr>
  </w:style>
  <w:style w:type="paragraph" w:customStyle="1" w:styleId="EPFooter">
    <w:name w:val="EPFooter"/>
    <w:basedOn w:val="Normal"/>
    <w:rsid w:val="00A32316"/>
    <w:pPr>
      <w:widowControl w:val="0"/>
      <w:tabs>
        <w:tab w:val="center" w:pos="4535"/>
        <w:tab w:val="right" w:pos="9071"/>
      </w:tabs>
      <w:spacing w:before="240" w:after="240"/>
    </w:pPr>
    <w:rPr>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3234/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31317-6561-4A93-BA9D-B75E0861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1</TotalTime>
  <Pages>4</Pages>
  <Words>525</Words>
  <Characters>3746</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Karina Pesa</dc:creator>
  <cp:keywords/>
  <cp:lastModifiedBy>Karina Pesa</cp:lastModifiedBy>
  <cp:revision>3</cp:revision>
  <cp:lastPrinted>2014-08-07T13:15:00Z</cp:lastPrinted>
  <dcterms:created xsi:type="dcterms:W3CDTF">2025-02-10T15:27:00Z</dcterms:created>
  <dcterms:modified xsi:type="dcterms:W3CDTF">2025-03-11T08:20:00Z</dcterms:modified>
</cp:coreProperties>
</file>