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CB2618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CB2618" w:rsidRDefault="002924DF">
            <w:pPr>
              <w:pStyle w:val="EPName"/>
              <w:rPr>
                <w:lang w:val="sk-SK"/>
              </w:rPr>
            </w:pPr>
            <w:r>
              <w:rPr>
                <w:lang w:val="sk-SK"/>
              </w:rPr>
              <w:t>Európsky parlament</w:t>
            </w:r>
          </w:p>
          <w:p w:rsidR="00CB2618" w:rsidRDefault="002924DF">
            <w:pPr>
              <w:pStyle w:val="EPTerm"/>
              <w:rPr>
                <w:rStyle w:val="HideTWBExt"/>
                <w:vanish w:val="0"/>
                <w:lang w:val="sk-SK"/>
              </w:rPr>
            </w:pPr>
            <w:r>
              <w:rPr>
                <w:lang w:val="sk-SK"/>
              </w:rPr>
              <w:t>2024 - 2029</w:t>
            </w:r>
          </w:p>
        </w:tc>
        <w:tc>
          <w:tcPr>
            <w:tcW w:w="2268" w:type="dxa"/>
            <w:shd w:val="clear" w:color="auto" w:fill="auto"/>
          </w:tcPr>
          <w:p w:rsidR="00CB2618" w:rsidRDefault="002924DF">
            <w:pPr>
              <w:pStyle w:val="EPLogo"/>
              <w:rPr>
                <w:lang w:val="sk-SK"/>
              </w:rPr>
            </w:pPr>
            <w:r>
              <w:rPr>
                <w:noProof/>
                <w:lang w:val="pl-PL" w:eastAsia="pl-PL"/>
              </w:rPr>
              <w:drawing>
                <wp:inline distT="0" distB="0" distL="0" distR="0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2618" w:rsidRDefault="00CB2618">
      <w:pPr>
        <w:pStyle w:val="LineTop"/>
        <w:rPr>
          <w:lang w:val="sk-SK"/>
        </w:rPr>
      </w:pPr>
    </w:p>
    <w:p w:rsidR="00CB2618" w:rsidRDefault="002924DF">
      <w:pPr>
        <w:pStyle w:val="ZSessionDoc"/>
        <w:rPr>
          <w:b/>
          <w:i w:val="0"/>
          <w:lang w:val="sk-SK"/>
        </w:rPr>
      </w:pPr>
      <w:r>
        <w:rPr>
          <w:b/>
          <w:i w:val="0"/>
          <w:lang w:val="sk-SK"/>
        </w:rPr>
        <w:t>PRIJATÉ TEXTY</w:t>
      </w:r>
    </w:p>
    <w:p w:rsidR="00CB2618" w:rsidRDefault="002924DF">
      <w:pPr>
        <w:pStyle w:val="LineBottom"/>
        <w:rPr>
          <w:lang w:val="sk-SK"/>
        </w:rPr>
      </w:pPr>
      <w:r>
        <w:rPr>
          <w:rFonts w:cs="Arial"/>
          <w:i/>
          <w:sz w:val="20"/>
          <w:szCs w:val="22"/>
          <w:lang w:val="sk-SK"/>
        </w:rPr>
        <w:t xml:space="preserve"> </w:t>
      </w:r>
    </w:p>
    <w:p w:rsidR="00CB2618" w:rsidRDefault="002924DF">
      <w:pPr>
        <w:pStyle w:val="ATHeading1"/>
        <w:spacing w:before="480"/>
        <w:rPr>
          <w:lang w:val="sk-SK"/>
        </w:rPr>
      </w:pPr>
      <w:bookmarkStart w:id="0" w:name="TA_Heading"/>
      <w:r>
        <w:rPr>
          <w:lang w:val="sk-SK"/>
        </w:rPr>
        <w:t>P10_TA(2024)</w:t>
      </w:r>
      <w:bookmarkStart w:id="1" w:name="TANumber"/>
      <w:bookmarkEnd w:id="0"/>
      <w:r>
        <w:rPr>
          <w:lang w:val="sk-SK"/>
        </w:rPr>
        <w:t>0058</w:t>
      </w:r>
      <w:bookmarkEnd w:id="1"/>
    </w:p>
    <w:p w:rsidR="00CB2618" w:rsidRDefault="002924DF">
      <w:pPr>
        <w:pStyle w:val="ATHeading2"/>
        <w:rPr>
          <w:lang w:val="sk-SK"/>
        </w:rPr>
      </w:pPr>
      <w:bookmarkStart w:id="2" w:name="title"/>
      <w:r>
        <w:rPr>
          <w:bCs/>
          <w:lang w:val="sk-SK"/>
        </w:rPr>
        <w:t>Nariadenie o odlesňovaní: ustanovenia týkajúce sa dátumu začatia uplatňovania</w:t>
      </w:r>
      <w:bookmarkStart w:id="3" w:name="Etoiles"/>
      <w:bookmarkEnd w:id="2"/>
      <w:bookmarkEnd w:id="3"/>
      <w:r>
        <w:rPr>
          <w:bCs/>
          <w:lang w:val="sk-SK"/>
        </w:rPr>
        <w:t xml:space="preserve"> </w:t>
      </w:r>
    </w:p>
    <w:p w:rsidR="00CB2618" w:rsidRDefault="002924DF">
      <w:pPr>
        <w:rPr>
          <w:i/>
          <w:vanish/>
          <w:lang w:val="sk-SK"/>
        </w:rPr>
      </w:pPr>
      <w:r>
        <w:rPr>
          <w:i/>
          <w:lang w:val="sk-SK"/>
        </w:rPr>
        <w:fldChar w:fldCharType="begin"/>
      </w:r>
      <w:r>
        <w:rPr>
          <w:i/>
          <w:lang w:val="sk-SK"/>
        </w:rPr>
        <w:instrText xml:space="preserve"> TC"</w:instrText>
      </w:r>
      <w:bookmarkStart w:id="4" w:name="DocNumber"/>
      <w:r>
        <w:rPr>
          <w:i/>
          <w:lang w:val="sk-SK"/>
        </w:rPr>
        <w:instrText>(C10-0119/2024 - Spravodajkyňa: Christine Schneider)</w:instrText>
      </w:r>
      <w:bookmarkEnd w:id="4"/>
      <w:r>
        <w:rPr>
          <w:i/>
          <w:lang w:val="sk-SK"/>
        </w:rPr>
        <w:instrText xml:space="preserve">"\l3 \n&gt; \* MERGEFORMAT </w:instrText>
      </w:r>
      <w:r>
        <w:rPr>
          <w:i/>
          <w:lang w:val="sk-SK"/>
        </w:rPr>
        <w:fldChar w:fldCharType="end"/>
      </w:r>
    </w:p>
    <w:p w:rsidR="00CB2618" w:rsidRDefault="002924DF">
      <w:pPr>
        <w:rPr>
          <w:vanish/>
          <w:lang w:val="sk-SK"/>
        </w:rPr>
      </w:pPr>
      <w:bookmarkStart w:id="5" w:name="Commission"/>
      <w:r>
        <w:rPr>
          <w:vanish/>
          <w:lang w:val="sk-SK"/>
        </w:rPr>
        <w:t xml:space="preserve">Výbor pre životné </w:t>
      </w:r>
      <w:r>
        <w:rPr>
          <w:vanish/>
          <w:lang w:val="sk-SK"/>
        </w:rPr>
        <w:t>prostredie, verejné zdravie a bezpečnosť potravín</w:t>
      </w:r>
    </w:p>
    <w:p w:rsidR="00CB2618" w:rsidRDefault="002924DF">
      <w:pPr>
        <w:rPr>
          <w:vanish/>
          <w:lang w:val="sk-SK"/>
        </w:rPr>
      </w:pPr>
      <w:bookmarkStart w:id="6" w:name="PE"/>
      <w:bookmarkEnd w:id="5"/>
      <w:r>
        <w:rPr>
          <w:vanish/>
          <w:lang w:val="sk-SK"/>
        </w:rPr>
        <w:t>PE765.661</w:t>
      </w:r>
      <w:bookmarkEnd w:id="6"/>
    </w:p>
    <w:p w:rsidR="00CB2618" w:rsidRDefault="002924DF">
      <w:pPr>
        <w:pStyle w:val="ATHeading3"/>
        <w:rPr>
          <w:lang w:val="sk-SK"/>
        </w:rPr>
      </w:pPr>
      <w:r>
        <w:rPr>
          <w:lang w:val="sk-SK"/>
        </w:rPr>
        <w:t>Legislatívne uznesenie Európskeho parlamentu zo 17. decembra 2024 o návrhu nariadenia Európskeho parlamentu a Rady, ktorým sa mení nariadenie (EÚ) 2023/1115, pokiaľ ide o ustanovenia týkajúce sa d</w:t>
      </w:r>
      <w:r>
        <w:rPr>
          <w:lang w:val="sk-SK"/>
        </w:rPr>
        <w:t xml:space="preserve">átumu začatia uplatňovania </w:t>
      </w:r>
      <w:bookmarkStart w:id="7" w:name="References"/>
      <w:r>
        <w:rPr>
          <w:lang w:val="sk-SK"/>
        </w:rPr>
        <w:t>(COM(2024)0452 – C10-0119/2024 – 2024/0249(COD))</w:t>
      </w:r>
      <w:bookmarkEnd w:id="7"/>
    </w:p>
    <w:p w:rsidR="00CB2618" w:rsidRDefault="002924DF">
      <w:pPr>
        <w:spacing w:before="120"/>
        <w:rPr>
          <w:b/>
          <w:lang w:val="sk-SK"/>
        </w:rPr>
      </w:pPr>
      <w:r>
        <w:rPr>
          <w:b/>
          <w:lang w:val="sk-SK"/>
        </w:rPr>
        <w:t>(Riadny legislatívny postup: prvé čítanie)</w:t>
      </w:r>
    </w:p>
    <w:p w:rsidR="00CB2618" w:rsidRDefault="002924DF">
      <w:pPr>
        <w:pStyle w:val="Normal12"/>
        <w:spacing w:before="360"/>
        <w:rPr>
          <w:i/>
          <w:szCs w:val="24"/>
          <w:lang w:val="sk-SK"/>
        </w:rPr>
      </w:pPr>
      <w:bookmarkStart w:id="8" w:name="TextBodyBegin"/>
      <w:bookmarkEnd w:id="8"/>
      <w:r>
        <w:rPr>
          <w:i/>
          <w:szCs w:val="24"/>
          <w:lang w:val="sk-SK"/>
        </w:rPr>
        <w:t>Európsky parlament,</w:t>
      </w:r>
    </w:p>
    <w:p w:rsidR="00CB2618" w:rsidRDefault="002924DF">
      <w:pPr>
        <w:pStyle w:val="Normal12"/>
        <w:ind w:left="567" w:hanging="567"/>
        <w:rPr>
          <w:szCs w:val="24"/>
          <w:lang w:val="sk-SK"/>
        </w:rPr>
      </w:pPr>
      <w:r>
        <w:rPr>
          <w:szCs w:val="24"/>
          <w:lang w:val="sk-SK"/>
        </w:rPr>
        <w:t>–</w:t>
      </w:r>
      <w:r>
        <w:rPr>
          <w:szCs w:val="24"/>
          <w:lang w:val="sk-SK"/>
        </w:rPr>
        <w:tab/>
        <w:t>so zreteľom na návrh Komisie pre Európsky parlament a Radu (COM(2024)0452),</w:t>
      </w:r>
    </w:p>
    <w:p w:rsidR="00CB2618" w:rsidRDefault="002924DF">
      <w:pPr>
        <w:pStyle w:val="Normal12"/>
        <w:ind w:left="567" w:hanging="567"/>
        <w:rPr>
          <w:szCs w:val="24"/>
          <w:lang w:val="sk-SK"/>
        </w:rPr>
      </w:pPr>
      <w:r>
        <w:rPr>
          <w:szCs w:val="24"/>
          <w:lang w:val="sk-SK"/>
        </w:rPr>
        <w:t>–</w:t>
      </w:r>
      <w:r>
        <w:rPr>
          <w:szCs w:val="24"/>
          <w:lang w:val="sk-SK"/>
        </w:rPr>
        <w:tab/>
        <w:t xml:space="preserve">so zreteľom na článok 294 ods. 2 </w:t>
      </w:r>
      <w:r>
        <w:rPr>
          <w:szCs w:val="24"/>
          <w:lang w:val="sk-SK"/>
        </w:rPr>
        <w:t>a článok 192 ods. 1 Zmluvy o fungovaní Európskej únie, v súlade s ktorými Komisia predložila návrh Európskemu parlamentu (C10-0119/2024),</w:t>
      </w:r>
    </w:p>
    <w:p w:rsidR="00CB2618" w:rsidRDefault="002924DF">
      <w:pPr>
        <w:pStyle w:val="Normal12"/>
        <w:ind w:left="567" w:hanging="567"/>
        <w:rPr>
          <w:szCs w:val="24"/>
          <w:lang w:val="sk-SK"/>
        </w:rPr>
      </w:pPr>
      <w:r>
        <w:rPr>
          <w:szCs w:val="24"/>
          <w:lang w:val="sk-SK"/>
        </w:rPr>
        <w:t>–</w:t>
      </w:r>
      <w:r>
        <w:rPr>
          <w:szCs w:val="24"/>
          <w:lang w:val="sk-SK"/>
        </w:rPr>
        <w:tab/>
        <w:t>so zreteľom na článok 294 ods. 3 Zmluvy o fungovaní Európskej únie,</w:t>
      </w:r>
    </w:p>
    <w:p w:rsidR="00CB2618" w:rsidRDefault="002924DF">
      <w:pPr>
        <w:pStyle w:val="Normal12"/>
        <w:ind w:left="567" w:hanging="567"/>
        <w:rPr>
          <w:szCs w:val="24"/>
          <w:lang w:val="sk-SK"/>
        </w:rPr>
      </w:pPr>
      <w:r>
        <w:rPr>
          <w:szCs w:val="24"/>
          <w:lang w:val="sk-SK"/>
        </w:rPr>
        <w:t>–</w:t>
      </w:r>
      <w:r>
        <w:rPr>
          <w:szCs w:val="24"/>
          <w:lang w:val="sk-SK"/>
        </w:rPr>
        <w:tab/>
        <w:t xml:space="preserve">so zreteľom na stanovisko Európskeho </w:t>
      </w:r>
      <w:r>
        <w:rPr>
          <w:szCs w:val="24"/>
          <w:lang w:val="sk-SK"/>
        </w:rPr>
        <w:t>hospodárskeho a sociálneho výboru z 23. októbra 2024</w:t>
      </w:r>
      <w:r>
        <w:rPr>
          <w:rStyle w:val="FootnoteReference"/>
          <w:szCs w:val="24"/>
          <w:lang w:val="sk-SK"/>
        </w:rPr>
        <w:footnoteReference w:id="1"/>
      </w:r>
      <w:r>
        <w:rPr>
          <w:szCs w:val="24"/>
          <w:lang w:val="sk-SK"/>
        </w:rPr>
        <w:t>,</w:t>
      </w:r>
    </w:p>
    <w:p w:rsidR="00CB2618" w:rsidRDefault="002924DF">
      <w:pPr>
        <w:pStyle w:val="Normal12"/>
        <w:ind w:left="567" w:hanging="567"/>
        <w:rPr>
          <w:szCs w:val="24"/>
          <w:lang w:val="sk-SK"/>
        </w:rPr>
      </w:pPr>
      <w:r>
        <w:rPr>
          <w:szCs w:val="24"/>
          <w:lang w:val="sk-SK"/>
        </w:rPr>
        <w:t>–</w:t>
      </w:r>
      <w:r>
        <w:rPr>
          <w:szCs w:val="24"/>
          <w:lang w:val="sk-SK"/>
        </w:rPr>
        <w:tab/>
        <w:t>po porade s Výborom regiónov,</w:t>
      </w:r>
    </w:p>
    <w:p w:rsidR="00CB2618" w:rsidRDefault="002924DF">
      <w:pPr>
        <w:pStyle w:val="Normal12"/>
        <w:ind w:left="567" w:hanging="567"/>
        <w:rPr>
          <w:szCs w:val="24"/>
          <w:lang w:val="sk-SK"/>
        </w:rPr>
      </w:pPr>
      <w:r>
        <w:rPr>
          <w:szCs w:val="24"/>
          <w:lang w:val="sk-SK"/>
        </w:rPr>
        <w:t>–</w:t>
      </w:r>
      <w:r>
        <w:rPr>
          <w:szCs w:val="24"/>
          <w:lang w:val="sk-SK"/>
        </w:rPr>
        <w:tab/>
      </w:r>
      <w:r>
        <w:rPr>
          <w:noProof/>
          <w:lang w:val="sk-SK"/>
        </w:rPr>
        <w:t>so zreteľom na predbežnú dohodu schválenú gestorským výborom podľa článku 75 ods. 4 rokovacieho poriadku, a na záväzok zástupcu Rady, vyjadrený v listoch zo 16. októbr</w:t>
      </w:r>
      <w:r>
        <w:rPr>
          <w:noProof/>
          <w:lang w:val="sk-SK"/>
        </w:rPr>
        <w:t>a 2024 a zo 4. decembra 2024, schváliť pozíciu Európskeho parlamentu v súlade s článkom 294 ods. 4 Zmluvy o fungovaní Európskej únie</w:t>
      </w:r>
      <w:r>
        <w:rPr>
          <w:szCs w:val="24"/>
          <w:lang w:val="sk-SK"/>
        </w:rPr>
        <w:t>,</w:t>
      </w:r>
    </w:p>
    <w:p w:rsidR="00CB2618" w:rsidRDefault="002924DF">
      <w:pPr>
        <w:pStyle w:val="Normal12"/>
        <w:ind w:left="567" w:hanging="567"/>
        <w:rPr>
          <w:noProof/>
          <w:szCs w:val="24"/>
          <w:lang w:val="sk-SK"/>
        </w:rPr>
      </w:pPr>
      <w:r>
        <w:rPr>
          <w:szCs w:val="24"/>
          <w:lang w:val="sk-SK"/>
        </w:rPr>
        <w:t>–</w:t>
      </w:r>
      <w:r>
        <w:rPr>
          <w:szCs w:val="24"/>
          <w:lang w:val="sk-SK"/>
        </w:rPr>
        <w:tab/>
      </w:r>
      <w:r>
        <w:rPr>
          <w:noProof/>
          <w:szCs w:val="24"/>
          <w:lang w:val="sk-SK"/>
        </w:rPr>
        <w:t>so zreteľom na články 60 a 170 rokovacieho poriadku,</w:t>
      </w:r>
    </w:p>
    <w:p w:rsidR="00CB2618" w:rsidRDefault="002924DF">
      <w:pPr>
        <w:pStyle w:val="Normal12"/>
        <w:ind w:left="567" w:hanging="567"/>
        <w:rPr>
          <w:szCs w:val="24"/>
          <w:lang w:val="sk-SK"/>
        </w:rPr>
      </w:pPr>
      <w:r>
        <w:rPr>
          <w:szCs w:val="24"/>
          <w:lang w:val="sk-SK"/>
        </w:rPr>
        <w:lastRenderedPageBreak/>
        <w:t>1.</w:t>
      </w:r>
      <w:r>
        <w:rPr>
          <w:szCs w:val="24"/>
          <w:lang w:val="sk-SK"/>
        </w:rPr>
        <w:tab/>
        <w:t>prijíma nasledujúcu pozíciu v prvom čítaní</w:t>
      </w:r>
      <w:r>
        <w:rPr>
          <w:rStyle w:val="FootnoteReference"/>
          <w:szCs w:val="24"/>
          <w:lang w:val="sk-SK"/>
        </w:rPr>
        <w:footnoteReference w:id="2"/>
      </w:r>
      <w:r>
        <w:rPr>
          <w:szCs w:val="24"/>
          <w:lang w:val="sk-SK"/>
        </w:rPr>
        <w:t>;</w:t>
      </w:r>
    </w:p>
    <w:p w:rsidR="00CB2618" w:rsidRDefault="002924DF">
      <w:pPr>
        <w:pStyle w:val="Normal12"/>
        <w:ind w:left="567" w:hanging="567"/>
        <w:rPr>
          <w:szCs w:val="24"/>
          <w:lang w:val="sk-SK"/>
        </w:rPr>
      </w:pPr>
      <w:r>
        <w:rPr>
          <w:szCs w:val="24"/>
          <w:lang w:val="sk-SK"/>
        </w:rPr>
        <w:t>2.</w:t>
      </w:r>
      <w:r>
        <w:rPr>
          <w:szCs w:val="24"/>
          <w:lang w:val="sk-SK"/>
        </w:rPr>
        <w:tab/>
      </w:r>
      <w:r>
        <w:rPr>
          <w:lang w:val="sk-SK"/>
        </w:rPr>
        <w:t>berie na vedomie</w:t>
      </w:r>
      <w:r>
        <w:rPr>
          <w:lang w:val="sk-SK"/>
        </w:rPr>
        <w:t xml:space="preserve"> vyhlásenie Komisie, ktoré je uvedené v prílohe k tomuto uzneseniu;</w:t>
      </w:r>
    </w:p>
    <w:p w:rsidR="00CB2618" w:rsidRDefault="002924DF">
      <w:pPr>
        <w:pStyle w:val="Normal12"/>
        <w:ind w:left="567" w:hanging="567"/>
        <w:rPr>
          <w:szCs w:val="24"/>
          <w:lang w:val="sk-SK"/>
        </w:rPr>
      </w:pPr>
      <w:r>
        <w:rPr>
          <w:szCs w:val="24"/>
          <w:lang w:val="sk-SK"/>
        </w:rPr>
        <w:t>3.</w:t>
      </w:r>
      <w:r>
        <w:rPr>
          <w:szCs w:val="24"/>
          <w:lang w:val="sk-SK"/>
        </w:rPr>
        <w:tab/>
        <w:t>žiada Komisiu, aby mu vec znovu predložila, ak nahrádza, podstatne mení alebo má v úmysle podstatne zmeniť svoj návrh;</w:t>
      </w:r>
    </w:p>
    <w:p w:rsidR="00CB2618" w:rsidRDefault="002924DF">
      <w:pPr>
        <w:pStyle w:val="Normal12"/>
        <w:ind w:left="567" w:hanging="567"/>
        <w:rPr>
          <w:szCs w:val="24"/>
          <w:lang w:val="sk-SK"/>
        </w:rPr>
      </w:pPr>
      <w:r>
        <w:rPr>
          <w:szCs w:val="24"/>
          <w:lang w:val="sk-SK"/>
        </w:rPr>
        <w:t>4.</w:t>
      </w:r>
      <w:r>
        <w:rPr>
          <w:szCs w:val="24"/>
          <w:lang w:val="sk-SK"/>
        </w:rPr>
        <w:tab/>
        <w:t>poveruje svoju predsedníčku, aby postúpila túto pozíciu Rade, K</w:t>
      </w:r>
      <w:r>
        <w:rPr>
          <w:szCs w:val="24"/>
          <w:lang w:val="sk-SK"/>
        </w:rPr>
        <w:t>omisii a národným parlamentom.</w:t>
      </w:r>
    </w:p>
    <w:p w:rsidR="00CB2618" w:rsidRDefault="00CB2618">
      <w:pPr>
        <w:pStyle w:val="Normal12"/>
        <w:ind w:left="567" w:hanging="567"/>
        <w:rPr>
          <w:szCs w:val="24"/>
          <w:lang w:val="sk-SK"/>
        </w:rPr>
        <w:sectPr w:rsidR="00CB2618">
          <w:footerReference w:type="even" r:id="rId9"/>
          <w:footnotePr>
            <w:numRestart w:val="eachPage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:rsidR="00CB2618" w:rsidRDefault="002924DF">
      <w:pPr>
        <w:pStyle w:val="Normal12"/>
        <w:ind w:left="567" w:hanging="567"/>
        <w:rPr>
          <w:b/>
          <w:lang w:val="sk-SK"/>
        </w:rPr>
      </w:pPr>
      <w:r>
        <w:rPr>
          <w:b/>
          <w:lang w:val="sk-SK"/>
        </w:rPr>
        <w:lastRenderedPageBreak/>
        <w:t>P10_TC1-COD(2024)0249</w:t>
      </w:r>
    </w:p>
    <w:p w:rsidR="00CB2618" w:rsidRDefault="002924DF">
      <w:pPr>
        <w:pStyle w:val="Normal12"/>
        <w:rPr>
          <w:rFonts w:eastAsia="Calibri"/>
          <w:b/>
          <w:noProof/>
          <w:szCs w:val="22"/>
          <w:lang w:val="sk-SK"/>
        </w:rPr>
      </w:pPr>
      <w:r>
        <w:rPr>
          <w:b/>
          <w:lang w:val="sk-SK"/>
        </w:rPr>
        <w:t>Pozícia Európskeho parlamentu prijatá v prvom čítaní 17. decembra 2024 na účely prijatia nariadenia E</w:t>
      </w:r>
      <w:r>
        <w:rPr>
          <w:b/>
          <w:lang w:val="sk-SK"/>
        </w:rPr>
        <w:t xml:space="preserve">urópskeho parlamentu a Rady (EÚ) 2024/..., </w:t>
      </w:r>
      <w:r>
        <w:rPr>
          <w:rFonts w:eastAsia="Calibri"/>
          <w:b/>
          <w:noProof/>
          <w:szCs w:val="22"/>
          <w:lang w:val="sk-SK"/>
        </w:rPr>
        <w:t>ktorým sa mení nariadenie (EÚ) 2023/1115, pokiaľ ide o ustanovenia týkajúce sa dátumu začatia uplatňovania</w:t>
      </w:r>
    </w:p>
    <w:p w:rsidR="00CB2618" w:rsidRDefault="00CB2618">
      <w:pPr>
        <w:tabs>
          <w:tab w:val="left" w:pos="4252"/>
        </w:tabs>
        <w:spacing w:line="360" w:lineRule="auto"/>
        <w:rPr>
          <w:rFonts w:eastAsia="Calibri"/>
          <w:i/>
          <w:noProof/>
          <w:szCs w:val="22"/>
          <w:lang w:val="sk-SK"/>
        </w:rPr>
      </w:pPr>
    </w:p>
    <w:p w:rsidR="00CB2618" w:rsidRDefault="002924DF">
      <w:pPr>
        <w:rPr>
          <w:lang w:val="sk-SK"/>
        </w:rPr>
      </w:pPr>
      <w:r>
        <w:rPr>
          <w:i/>
          <w:iCs/>
          <w:lang w:val="sk-SK"/>
        </w:rPr>
        <w:t>(Keďže bola dosiahnutá dohoda medzi Európskym parlamentom a Radou, pozícia Európskeho parlamentu zodpoved</w:t>
      </w:r>
      <w:r>
        <w:rPr>
          <w:i/>
          <w:iCs/>
          <w:lang w:val="sk-SK"/>
        </w:rPr>
        <w:t>á záverečnému legislatívnemu aktu, nariadeniu (EÚ) 2024/3234.)</w:t>
      </w:r>
    </w:p>
    <w:p w:rsidR="00CB2618" w:rsidRDefault="00CB2618">
      <w:pPr>
        <w:tabs>
          <w:tab w:val="left" w:pos="4252"/>
        </w:tabs>
        <w:spacing w:line="360" w:lineRule="auto"/>
        <w:rPr>
          <w:rFonts w:eastAsia="Calibri"/>
          <w:i/>
          <w:noProof/>
          <w:szCs w:val="22"/>
          <w:lang w:val="sk-SK"/>
        </w:rPr>
        <w:sectPr w:rsidR="00CB261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numRestart w:val="eachPage"/>
          </w:footnotePr>
          <w:endnotePr>
            <w:numFmt w:val="decimal"/>
          </w:endnotePr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:rsidR="00CB2618" w:rsidRDefault="002924DF">
      <w:pPr>
        <w:tabs>
          <w:tab w:val="left" w:pos="4252"/>
        </w:tabs>
        <w:spacing w:line="360" w:lineRule="auto"/>
        <w:jc w:val="right"/>
        <w:rPr>
          <w:rFonts w:eastAsia="Calibri"/>
          <w:noProof/>
          <w:szCs w:val="22"/>
          <w:lang w:val="sk-SK"/>
        </w:rPr>
      </w:pPr>
      <w:r>
        <w:rPr>
          <w:rFonts w:eastAsia="Calibri"/>
          <w:noProof/>
          <w:szCs w:val="22"/>
          <w:lang w:val="sk-SK"/>
        </w:rPr>
        <w:lastRenderedPageBreak/>
        <w:t>PRÍLOHA K LEGISLATÍVNEMU UZNESENIU</w:t>
      </w:r>
    </w:p>
    <w:p w:rsidR="00CB2618" w:rsidRDefault="002924DF">
      <w:pPr>
        <w:spacing w:before="120" w:after="120" w:line="360" w:lineRule="auto"/>
        <w:jc w:val="both"/>
        <w:rPr>
          <w:lang w:val="sk-SK"/>
        </w:rPr>
      </w:pPr>
      <w:r>
        <w:rPr>
          <w:b/>
          <w:lang w:val="sk-SK"/>
        </w:rPr>
        <w:t xml:space="preserve">Vyhlásenie Komisie pri príležitosti prijatia nariadenia Európskeho parlamentu a Rady (EÚ) 2024/3234 z 19. decembra 2024, </w:t>
      </w:r>
      <w:r>
        <w:rPr>
          <w:b/>
          <w:lang w:val="sk-SK"/>
        </w:rPr>
        <w:t>ktorým sa mení nariadenie (EÚ) 2023/1115, pokiaľ ide o ustanovenia týkajúce sa dátumu uplatňovania</w:t>
      </w:r>
      <w:r>
        <w:rPr>
          <w:rStyle w:val="FootnoteReference"/>
          <w:b/>
          <w:lang w:val="sk-SK"/>
        </w:rPr>
        <w:footnoteReference w:id="3"/>
      </w:r>
    </w:p>
    <w:p w:rsidR="00CB2618" w:rsidRDefault="002924DF">
      <w:pPr>
        <w:spacing w:before="120" w:after="120" w:line="360" w:lineRule="auto"/>
        <w:jc w:val="both"/>
        <w:rPr>
          <w:lang w:val="sk-SK"/>
        </w:rPr>
      </w:pPr>
      <w:r>
        <w:rPr>
          <w:lang w:val="sk-SK"/>
        </w:rPr>
        <w:t>Komisia je naďalej odhodlaná zmierňovať zaťaženie podnikov znižovaním administratívnych požiadaviek a odstraňovaním zbytočnej byrokratickej záťaže.</w:t>
      </w:r>
    </w:p>
    <w:p w:rsidR="00CB2618" w:rsidRDefault="002924DF">
      <w:pPr>
        <w:spacing w:before="120" w:after="120" w:line="360" w:lineRule="auto"/>
        <w:jc w:val="both"/>
        <w:rPr>
          <w:lang w:val="sk-SK"/>
        </w:rPr>
      </w:pPr>
      <w:r>
        <w:rPr>
          <w:lang w:val="sk-SK"/>
        </w:rPr>
        <w:t>Na dosia</w:t>
      </w:r>
      <w:r>
        <w:rPr>
          <w:lang w:val="sk-SK"/>
        </w:rPr>
        <w:t>hnutie tohto cieľa v súvislosti s nariadením (EÚ) 2023/1115 Komisia poskytne ďalšie objasnenia, preskúma dodatočné zjednodušenia a zefektívni povinnosti týkajúce sa podávania správ a dokumentácie s cieľom obmedziť ich na nevyhnutné minimum v plnom súlade s</w:t>
      </w:r>
      <w:r>
        <w:rPr>
          <w:lang w:val="sk-SK"/>
        </w:rPr>
        <w:t> cieľmi nariadenia. Na tento účel a v záujme vyriešenia týchto otázok uverejní Komisia aktualizované vydanie usmernení a často kladených otázok. Takisto bude naďalej reagovať na spätnú väzbu od zainteresovaných strán a členských štátov a pomáhať obchodníko</w:t>
      </w:r>
      <w:r>
        <w:rPr>
          <w:lang w:val="sk-SK"/>
        </w:rPr>
        <w:t>m a hospodárskym subjektom pri implementácii právnych predpisov, najmä pokiaľ ide o povinnosť predkladať vyhlásenia o náležitej starostlivosti v celom hodnotovom reťazci.</w:t>
      </w:r>
    </w:p>
    <w:p w:rsidR="00CB2618" w:rsidRDefault="002924DF">
      <w:pPr>
        <w:spacing w:before="120" w:after="120" w:line="360" w:lineRule="auto"/>
        <w:jc w:val="both"/>
        <w:rPr>
          <w:lang w:val="sk-SK"/>
        </w:rPr>
      </w:pPr>
      <w:r>
        <w:rPr>
          <w:lang w:val="sk-SK"/>
        </w:rPr>
        <w:t xml:space="preserve">Aby mohli obchodníci a hospodárske subjekty v spolupráci s príslušnými orgánmi plniť </w:t>
      </w:r>
      <w:r>
        <w:rPr>
          <w:lang w:val="sk-SK"/>
        </w:rPr>
        <w:t>požiadavky nariadenia, Komisia kladie prioritu na sprevádzkovanie informačného systému. Referenčná kategorizácia rizík je takisto kľúčom k zabezpečeniu predvídateľnosti uplatňovania nariadenia pre hospodárske subjekty, obchodníkov, producentské krajiny i p</w:t>
      </w:r>
      <w:r>
        <w:rPr>
          <w:lang w:val="sk-SK"/>
        </w:rPr>
        <w:t>ríslušné orgány. Komisia sa dôrazne zaväzuje zabezpečiť, aby príslušný informačný systém aj návrh klasifikácie rizík boli k dispozícii čo najskôr, najneskôr však šesť mesiacov pred začatím uplatňovania nariadenia.</w:t>
      </w:r>
    </w:p>
    <w:p w:rsidR="00CB2618" w:rsidRDefault="002924DF">
      <w:pPr>
        <w:spacing w:before="120" w:after="120" w:line="360" w:lineRule="auto"/>
        <w:jc w:val="both"/>
        <w:rPr>
          <w:lang w:val="sk-SK"/>
        </w:rPr>
      </w:pPr>
      <w:r>
        <w:rPr>
          <w:lang w:val="sk-SK"/>
        </w:rPr>
        <w:t>V kontexte všeobecného preskúmania nariade</w:t>
      </w:r>
      <w:r>
        <w:rPr>
          <w:lang w:val="sk-SK"/>
        </w:rPr>
        <w:t>nia, ktoré sa očakáva najneskôr do 30. júna 2028, Komisia zanalyzuje, v prípade potreby na základe posúdenia vplyvu, dodatočné opatrenia na zjednodušenie a zníženie administratívnej záťaže. Táto analýza bude zahŕňať potrebu a uskutočniteľnosť znížených pož</w:t>
      </w:r>
      <w:r>
        <w:rPr>
          <w:lang w:val="sk-SK"/>
        </w:rPr>
        <w:t>iadaviek v súvislosti so získavaním zdrojov z krajín a ich častí, ktoré dosiahli pozitívne výsledky v súlade s cieľmi nariadenia.</w:t>
      </w:r>
      <w:bookmarkStart w:id="9" w:name="_GoBack"/>
      <w:bookmarkEnd w:id="9"/>
    </w:p>
    <w:sectPr w:rsidR="00CB2618">
      <w:footnotePr>
        <w:numRestart w:val="eachPage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618" w:rsidRDefault="002924DF">
      <w:r>
        <w:separator/>
      </w:r>
    </w:p>
  </w:endnote>
  <w:endnote w:type="continuationSeparator" w:id="0">
    <w:p w:rsidR="00CB2618" w:rsidRDefault="00292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618" w:rsidRDefault="00CB2618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618" w:rsidRDefault="00CB26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618" w:rsidRDefault="00CB261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618" w:rsidRDefault="00CB26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618" w:rsidRDefault="002924DF">
      <w:r>
        <w:separator/>
      </w:r>
    </w:p>
  </w:footnote>
  <w:footnote w:type="continuationSeparator" w:id="0">
    <w:p w:rsidR="00CB2618" w:rsidRDefault="002924DF">
      <w:r>
        <w:continuationSeparator/>
      </w:r>
    </w:p>
  </w:footnote>
  <w:footnote w:id="1">
    <w:p w:rsidR="00CB2618" w:rsidRDefault="002924DF">
      <w:pPr>
        <w:pStyle w:val="FootnoteText"/>
        <w:ind w:left="567" w:hanging="567"/>
        <w:rPr>
          <w:lang w:val="sk-SK"/>
        </w:rPr>
      </w:pPr>
      <w:r>
        <w:rPr>
          <w:rStyle w:val="FootnoteReference"/>
          <w:lang w:val="sk-SK"/>
        </w:rPr>
        <w:footnoteRef/>
      </w:r>
      <w:r>
        <w:rPr>
          <w:lang w:val="sk-SK"/>
        </w:rPr>
        <w:t xml:space="preserve"> </w:t>
      </w:r>
      <w:r>
        <w:rPr>
          <w:lang w:val="sk-SK"/>
        </w:rPr>
        <w:tab/>
      </w:r>
      <w:r>
        <w:rPr>
          <w:sz w:val="24"/>
          <w:szCs w:val="24"/>
          <w:lang w:val="sk-SK"/>
        </w:rPr>
        <w:t>Zatiaľ neuverejnené v úradnom vestníku.</w:t>
      </w:r>
    </w:p>
  </w:footnote>
  <w:footnote w:id="2">
    <w:p w:rsidR="00CB2618" w:rsidRDefault="002924DF">
      <w:pPr>
        <w:pStyle w:val="FootnoteText"/>
        <w:ind w:left="567" w:hanging="567"/>
        <w:rPr>
          <w:sz w:val="24"/>
          <w:szCs w:val="24"/>
          <w:lang w:val="sk-SK"/>
        </w:rPr>
      </w:pPr>
      <w:r>
        <w:rPr>
          <w:rStyle w:val="FootnoteReference"/>
        </w:rPr>
        <w:footnoteRef/>
      </w:r>
      <w:r>
        <w:rPr>
          <w:lang w:val="sk-SK"/>
        </w:rPr>
        <w:t xml:space="preserve"> </w:t>
      </w:r>
      <w:r>
        <w:rPr>
          <w:lang w:val="sk-SK"/>
        </w:rPr>
        <w:tab/>
      </w:r>
      <w:r>
        <w:rPr>
          <w:sz w:val="24"/>
          <w:szCs w:val="24"/>
          <w:lang w:val="sk-SK"/>
        </w:rPr>
        <w:t>Táto pozícia nahrádza pozmeňujúce návrhy prijaté 14. novembra 2024 (Prijaté texty, P10_TA(2024)0031).</w:t>
      </w:r>
    </w:p>
  </w:footnote>
  <w:footnote w:id="3">
    <w:p w:rsidR="002924DF" w:rsidRPr="002924DF" w:rsidRDefault="002924DF" w:rsidP="002924DF">
      <w:pPr>
        <w:pStyle w:val="FootnoteText"/>
        <w:ind w:left="567" w:hanging="567"/>
        <w:rPr>
          <w:lang w:val="lt-LT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t-LT"/>
        </w:rPr>
        <w:tab/>
      </w:r>
      <w:r>
        <w:rPr>
          <w:lang w:val="sk-SK"/>
        </w:rPr>
        <w:t xml:space="preserve">Ú. v. EÚ L, 2024/3234, </w:t>
      </w:r>
      <w:r>
        <w:rPr>
          <w:lang w:val="fi-FI"/>
        </w:rPr>
        <w:t xml:space="preserve">23.12.2024, ELI: </w:t>
      </w:r>
      <w:hyperlink r:id="rId1" w:history="1">
        <w:r>
          <w:rPr>
            <w:rStyle w:val="Hyperlink"/>
            <w:lang w:val="fi-FI"/>
          </w:rPr>
          <w:t>http://data.europa.eu/eli/reg/2024/3234/oj</w:t>
        </w:r>
      </w:hyperlink>
      <w:r>
        <w:rPr>
          <w:lang w:val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618" w:rsidRDefault="00CB26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618" w:rsidRDefault="00CB26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618" w:rsidRDefault="00CB26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activeWritingStyle w:appName="MSWord" w:lang="fr-FR" w:vendorID="9" w:dllVersion="512" w:checkStyle="0"/>
  <w:activeWritingStyle w:appName="MSWord" w:lang="pt-PT" w:vendorID="13" w:dllVersion="513" w:checkStyle="1"/>
  <w:activeWritingStyle w:appName="MSWord" w:lang="pl-PL" w:vendorID="12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618"/>
    <w:rsid w:val="002924DF"/>
    <w:rsid w:val="00CB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DF2F82"/>
  <w15:chartTrackingRefBased/>
  <w15:docId w15:val="{F346300B-F062-4996-87AF-66E23F91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uiPriority w:val="99"/>
    <w:semiHidden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pPr>
      <w:ind w:left="357" w:hanging="357"/>
    </w:pPr>
  </w:style>
  <w:style w:type="character" w:customStyle="1" w:styleId="longtext">
    <w:name w:val="long_text"/>
    <w:rPr>
      <w:rFonts w:cs="Times New Roman"/>
    </w:rPr>
  </w:style>
  <w:style w:type="paragraph" w:customStyle="1" w:styleId="Hanging12">
    <w:name w:val="Hanging12"/>
    <w:basedOn w:val="Normal12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pPr>
      <w:widowControl w:val="0"/>
      <w:jc w:val="right"/>
    </w:pPr>
    <w:rPr>
      <w:lang w:val="en-GB"/>
    </w:rPr>
  </w:style>
  <w:style w:type="paragraph" w:customStyle="1" w:styleId="Institutionquiagit">
    <w:name w:val="Institution qui agit"/>
    <w:basedOn w:val="Normal"/>
    <w:next w:val="Normal"/>
    <w:pPr>
      <w:keepNext/>
      <w:spacing w:before="600" w:after="120"/>
      <w:jc w:val="both"/>
    </w:pPr>
    <w:rPr>
      <w:szCs w:val="24"/>
      <w:lang w:val="en-GB"/>
    </w:rPr>
  </w:style>
  <w:style w:type="paragraph" w:customStyle="1" w:styleId="EPFooter2">
    <w:name w:val="EPFooter2"/>
    <w:basedOn w:val="Normal"/>
    <w:next w:val="Normal"/>
    <w:pPr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  <w:lang w:val="sk-SK"/>
    </w:rPr>
  </w:style>
  <w:style w:type="paragraph" w:customStyle="1" w:styleId="EPFooter">
    <w:name w:val="EPFooter"/>
    <w:basedOn w:val="Normal"/>
    <w:pPr>
      <w:widowControl w:val="0"/>
      <w:tabs>
        <w:tab w:val="center" w:pos="4535"/>
        <w:tab w:val="right" w:pos="9071"/>
      </w:tabs>
      <w:spacing w:before="240" w:after="240"/>
    </w:pPr>
    <w:rPr>
      <w:color w:val="010000"/>
      <w:sz w:val="22"/>
      <w:lang w:val="sk-SK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</w:rPr>
  </w:style>
  <w:style w:type="character" w:customStyle="1" w:styleId="CommentTextChar">
    <w:name w:val="Comment Text Char"/>
    <w:basedOn w:val="DefaultParagraphFont"/>
    <w:link w:val="CommentText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basedOn w:val="CommentTextChar"/>
    <w:link w:val="CommentSubject"/>
    <w:rPr>
      <w:b/>
      <w:bCs/>
      <w:lang w:val="fr-FR"/>
    </w:rPr>
  </w:style>
  <w:style w:type="paragraph" w:styleId="Revision">
    <w:name w:val="Revision"/>
    <w:hidden/>
    <w:uiPriority w:val="99"/>
    <w:semiHidden/>
    <w:rPr>
      <w:sz w:val="24"/>
      <w:lang w:val="fr-FR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  <w:lang w:val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2"/>
      <w:lang w:val="fr-FR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3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reg/2024/3234/oj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F0E2-083B-4413-B6C5-6E30742B0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1</TotalTime>
  <Pages>4</Pages>
  <Words>561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SOLTYSOVA Zuzana</dc:creator>
  <cp:keywords/>
  <cp:lastModifiedBy>BINKEVICIUTE Aurelija</cp:lastModifiedBy>
  <cp:revision>3</cp:revision>
  <cp:lastPrinted>2014-08-07T13:15:00Z</cp:lastPrinted>
  <dcterms:created xsi:type="dcterms:W3CDTF">2025-02-06T10:14:00Z</dcterms:created>
  <dcterms:modified xsi:type="dcterms:W3CDTF">2025-03-10T17:04:00Z</dcterms:modified>
</cp:coreProperties>
</file>