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3E5" w:rsidTr="0010095E">
        <w:trPr>
          <w:trHeight w:hRule="exact" w:val="1418"/>
        </w:trPr>
        <w:tc>
          <w:tcPr>
            <w:tcW w:w="6804" w:type="dxa"/>
            <w:shd w:val="clear" w:color="auto" w:fill="auto"/>
            <w:vAlign w:val="center"/>
          </w:tcPr>
          <w:p w:rsidR="00751A4A" w:rsidRPr="00F373E5" w:rsidRDefault="000352AB" w:rsidP="0010095E">
            <w:pPr>
              <w:pStyle w:val="EPName"/>
            </w:pPr>
            <w:r w:rsidRPr="00F373E5">
              <w:t>Eiropas Parlaments</w:t>
            </w:r>
          </w:p>
          <w:p w:rsidR="00751A4A" w:rsidRPr="00F373E5" w:rsidRDefault="005F1B17" w:rsidP="005F1B17">
            <w:pPr>
              <w:pStyle w:val="EPTerm"/>
              <w:rPr>
                <w:rStyle w:val="HideTWBExt"/>
                <w:noProof w:val="0"/>
                <w:vanish w:val="0"/>
                <w:color w:val="auto"/>
              </w:rPr>
            </w:pPr>
            <w:r w:rsidRPr="002B7BB0">
              <w:t>2024</w:t>
            </w:r>
            <w:r w:rsidR="00817416" w:rsidRPr="00F373E5">
              <w:t>-</w:t>
            </w:r>
            <w:r w:rsidR="00817416" w:rsidRPr="002B7BB0">
              <w:t>202</w:t>
            </w:r>
            <w:r w:rsidRPr="002B7BB0">
              <w:t>9</w:t>
            </w:r>
          </w:p>
        </w:tc>
        <w:tc>
          <w:tcPr>
            <w:tcW w:w="2268" w:type="dxa"/>
            <w:shd w:val="clear" w:color="auto" w:fill="auto"/>
          </w:tcPr>
          <w:p w:rsidR="00751A4A" w:rsidRPr="00F373E5" w:rsidRDefault="00187494" w:rsidP="0010095E">
            <w:pPr>
              <w:pStyle w:val="EPLogo"/>
            </w:pPr>
            <w:r w:rsidRPr="00F373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3E5" w:rsidRDefault="00D058B8" w:rsidP="004C5D52">
      <w:pPr>
        <w:pStyle w:val="LineTop"/>
      </w:pPr>
    </w:p>
    <w:p w:rsidR="00680577" w:rsidRPr="00F373E5" w:rsidRDefault="000352AB" w:rsidP="00680577">
      <w:pPr>
        <w:pStyle w:val="EPBodyTA1"/>
      </w:pPr>
      <w:r w:rsidRPr="00F373E5">
        <w:t>PIEŅEMTIE TEKSTI</w:t>
      </w:r>
    </w:p>
    <w:p w:rsidR="00D058B8" w:rsidRPr="00F373E5" w:rsidRDefault="00D058B8" w:rsidP="00D058B8">
      <w:pPr>
        <w:pStyle w:val="LineBottom"/>
      </w:pPr>
    </w:p>
    <w:p w:rsidR="000352AB" w:rsidRPr="00F373E5" w:rsidRDefault="000352AB" w:rsidP="000352AB">
      <w:pPr>
        <w:pStyle w:val="ATHeading1"/>
      </w:pPr>
      <w:bookmarkStart w:id="0" w:name="TANumber"/>
      <w:r w:rsidRPr="00F373E5">
        <w:t>P</w:t>
      </w:r>
      <w:r w:rsidRPr="002B7BB0">
        <w:t>10</w:t>
      </w:r>
      <w:r w:rsidRPr="00F373E5">
        <w:t>_TA(</w:t>
      </w:r>
      <w:r w:rsidRPr="002B7BB0">
        <w:t>2024</w:t>
      </w:r>
      <w:r w:rsidRPr="00F373E5">
        <w:t>)</w:t>
      </w:r>
      <w:r w:rsidRPr="002B7BB0">
        <w:t>00</w:t>
      </w:r>
      <w:r w:rsidR="00F373E5" w:rsidRPr="002B7BB0">
        <w:t>61</w:t>
      </w:r>
      <w:bookmarkEnd w:id="0"/>
    </w:p>
    <w:p w:rsidR="000352AB" w:rsidRPr="00F373E5" w:rsidRDefault="002E07CB" w:rsidP="002E07CB">
      <w:pPr>
        <w:pStyle w:val="ATHeading2"/>
      </w:pPr>
      <w:bookmarkStart w:id="1" w:name="title"/>
      <w:r w:rsidRPr="00F373E5">
        <w:t>Kategorijai “pārāks” piederīgs meža reproduktīvais materiāls</w:t>
      </w:r>
      <w:bookmarkEnd w:id="1"/>
    </w:p>
    <w:p w:rsidR="000352AB" w:rsidRPr="00F373E5" w:rsidRDefault="000352AB" w:rsidP="000352AB">
      <w:pPr>
        <w:rPr>
          <w:i/>
          <w:vanish/>
        </w:rPr>
      </w:pPr>
      <w:r w:rsidRPr="00F373E5">
        <w:rPr>
          <w:i/>
        </w:rPr>
        <w:fldChar w:fldCharType="begin"/>
      </w:r>
      <w:r w:rsidRPr="00F373E5">
        <w:rPr>
          <w:i/>
        </w:rPr>
        <w:instrText xml:space="preserve"> TC"(</w:instrText>
      </w:r>
      <w:bookmarkStart w:id="2" w:name="DocNumber"/>
      <w:r w:rsidRPr="00F373E5">
        <w:rPr>
          <w:i/>
        </w:rPr>
        <w:instrText>A</w:instrText>
      </w:r>
      <w:r w:rsidRPr="002B7BB0">
        <w:rPr>
          <w:i/>
        </w:rPr>
        <w:instrText>10</w:instrText>
      </w:r>
      <w:r w:rsidRPr="00F373E5">
        <w:rPr>
          <w:i/>
        </w:rPr>
        <w:instrText>-</w:instrText>
      </w:r>
      <w:r w:rsidRPr="002B7BB0">
        <w:rPr>
          <w:i/>
        </w:rPr>
        <w:instrText>0022</w:instrText>
      </w:r>
      <w:r w:rsidRPr="00F373E5">
        <w:rPr>
          <w:i/>
        </w:rPr>
        <w:instrText>/</w:instrText>
      </w:r>
      <w:r w:rsidRPr="002B7BB0">
        <w:rPr>
          <w:i/>
        </w:rPr>
        <w:instrText>2024</w:instrText>
      </w:r>
      <w:bookmarkEnd w:id="2"/>
      <w:r w:rsidRPr="00F373E5">
        <w:rPr>
          <w:i/>
        </w:rPr>
        <w:instrText xml:space="preserve"> - Referente: Veronika Vrecionová)"\l</w:instrText>
      </w:r>
      <w:r w:rsidRPr="002B7BB0">
        <w:rPr>
          <w:i/>
        </w:rPr>
        <w:instrText>3</w:instrText>
      </w:r>
      <w:r w:rsidRPr="00F373E5">
        <w:rPr>
          <w:i/>
        </w:rPr>
        <w:instrText xml:space="preserve"> \n&gt; \* MERGEFORMAT </w:instrText>
      </w:r>
      <w:r w:rsidRPr="00F373E5">
        <w:rPr>
          <w:i/>
        </w:rPr>
        <w:fldChar w:fldCharType="end"/>
      </w:r>
    </w:p>
    <w:p w:rsidR="000352AB" w:rsidRPr="00F373E5" w:rsidRDefault="000352AB" w:rsidP="000352AB">
      <w:pPr>
        <w:rPr>
          <w:vanish/>
        </w:rPr>
      </w:pPr>
      <w:bookmarkStart w:id="3" w:name="Commission"/>
      <w:r w:rsidRPr="00F373E5">
        <w:rPr>
          <w:vanish/>
        </w:rPr>
        <w:t>Lauksaimniecības un lauku attīstības komiteja</w:t>
      </w:r>
      <w:bookmarkEnd w:id="3"/>
    </w:p>
    <w:p w:rsidR="000352AB" w:rsidRPr="00F373E5" w:rsidRDefault="000352AB" w:rsidP="000352AB">
      <w:pPr>
        <w:rPr>
          <w:vanish/>
        </w:rPr>
      </w:pPr>
      <w:bookmarkStart w:id="4" w:name="PE"/>
      <w:r w:rsidRPr="00F373E5">
        <w:rPr>
          <w:vanish/>
        </w:rPr>
        <w:t>PE</w:t>
      </w:r>
      <w:r w:rsidRPr="002B7BB0">
        <w:rPr>
          <w:vanish/>
        </w:rPr>
        <w:t>765</w:t>
      </w:r>
      <w:r w:rsidRPr="00F373E5">
        <w:rPr>
          <w:vanish/>
        </w:rPr>
        <w:t>.</w:t>
      </w:r>
      <w:r w:rsidRPr="002B7BB0">
        <w:rPr>
          <w:vanish/>
        </w:rPr>
        <w:t>340</w:t>
      </w:r>
      <w:bookmarkEnd w:id="4"/>
    </w:p>
    <w:p w:rsidR="000352AB" w:rsidRPr="00F373E5" w:rsidRDefault="000352AB" w:rsidP="000352AB">
      <w:pPr>
        <w:pStyle w:val="ATHeading3"/>
      </w:pPr>
      <w:bookmarkStart w:id="5" w:name="Sujet"/>
      <w:r w:rsidRPr="00F373E5">
        <w:t xml:space="preserve">Eiropas Parlamenta </w:t>
      </w:r>
      <w:r w:rsidRPr="002B7BB0">
        <w:t>2024</w:t>
      </w:r>
      <w:r w:rsidRPr="00F373E5">
        <w:t xml:space="preserve">. gada </w:t>
      </w:r>
      <w:r w:rsidR="002E07CB" w:rsidRPr="002B7BB0">
        <w:t>17</w:t>
      </w:r>
      <w:r w:rsidR="002E07CB" w:rsidRPr="00F373E5">
        <w:t>. decembra</w:t>
      </w:r>
      <w:r w:rsidRPr="00F373E5">
        <w:t xml:space="preserve"> normatīvā rezolūcija par grozīto priekšlikumu Eiropas Parlamenta un Padomes lēmumam, ar ko attiecībā uz kategorijai “pārāks” piederīgu meža reproduktīvo materiālu, tā marķēšanu un par ražošanas apstiprināšanu un kontroli atbildīgo iestāžu nosaukumiem groza Padomes Lēmumu </w:t>
      </w:r>
      <w:r w:rsidRPr="002B7BB0">
        <w:t>2008</w:t>
      </w:r>
      <w:r w:rsidRPr="00F373E5">
        <w:t>/</w:t>
      </w:r>
      <w:r w:rsidRPr="002B7BB0">
        <w:t>971</w:t>
      </w:r>
      <w:r w:rsidRPr="00F373E5">
        <w:t>/EK</w:t>
      </w:r>
      <w:bookmarkEnd w:id="5"/>
      <w:r w:rsidRPr="00F373E5">
        <w:t xml:space="preserve"> </w:t>
      </w:r>
      <w:bookmarkStart w:id="6" w:name="References"/>
      <w:r w:rsidRPr="00F373E5">
        <w:t>(COM(</w:t>
      </w:r>
      <w:r w:rsidRPr="002B7BB0">
        <w:t>2024</w:t>
      </w:r>
      <w:r w:rsidRPr="00F373E5">
        <w:t>)</w:t>
      </w:r>
      <w:r w:rsidRPr="002B7BB0">
        <w:t>0517</w:t>
      </w:r>
      <w:r w:rsidRPr="00F373E5">
        <w:t xml:space="preserve">  – C</w:t>
      </w:r>
      <w:r w:rsidRPr="002B7BB0">
        <w:t>10</w:t>
      </w:r>
      <w:r w:rsidRPr="00F373E5">
        <w:t>-</w:t>
      </w:r>
      <w:r w:rsidRPr="002B7BB0">
        <w:t>0167</w:t>
      </w:r>
      <w:r w:rsidRPr="00F373E5">
        <w:t>/</w:t>
      </w:r>
      <w:r w:rsidRPr="002B7BB0">
        <w:t>2024</w:t>
      </w:r>
      <w:r w:rsidRPr="00F373E5">
        <w:t xml:space="preserve"> – </w:t>
      </w:r>
      <w:r w:rsidRPr="002B7BB0">
        <w:t>2024</w:t>
      </w:r>
      <w:r w:rsidRPr="00F373E5">
        <w:t>/</w:t>
      </w:r>
      <w:r w:rsidRPr="002B7BB0">
        <w:t>0214</w:t>
      </w:r>
      <w:r w:rsidRPr="00F373E5">
        <w:t>(COD))</w:t>
      </w:r>
      <w:bookmarkEnd w:id="6"/>
    </w:p>
    <w:p w:rsidR="006E0B12" w:rsidRPr="00F373E5" w:rsidRDefault="006E0B12" w:rsidP="006E0B12">
      <w:pPr>
        <w:pStyle w:val="NormalBold"/>
      </w:pPr>
      <w:bookmarkStart w:id="7" w:name="TextBodyBegin"/>
      <w:bookmarkEnd w:id="7"/>
      <w:r w:rsidRPr="00F373E5">
        <w:t>(Parastā likumdošanas procedūra: pirmais lasījums)</w:t>
      </w:r>
    </w:p>
    <w:p w:rsidR="006E0B12" w:rsidRPr="00F373E5" w:rsidRDefault="006E0B12" w:rsidP="006E0B12">
      <w:pPr>
        <w:pStyle w:val="EPComma"/>
      </w:pPr>
      <w:r w:rsidRPr="00F373E5">
        <w:rPr>
          <w:i/>
        </w:rPr>
        <w:t>Eiropas Parlaments</w:t>
      </w:r>
      <w:r w:rsidRPr="00F373E5">
        <w:t>,</w:t>
      </w:r>
    </w:p>
    <w:p w:rsidR="006E0B12" w:rsidRPr="00F373E5" w:rsidRDefault="006E0B12" w:rsidP="006E0B12">
      <w:pPr>
        <w:pStyle w:val="NormalHanging12a"/>
      </w:pPr>
      <w:r w:rsidRPr="00F373E5">
        <w:t>–</w:t>
      </w:r>
      <w:r w:rsidRPr="00F373E5">
        <w:tab/>
        <w:t>ņemot vērā grozīto Komisijas priekšlikumu Eiropas Parlamentam un Padomei (COM(</w:t>
      </w:r>
      <w:r w:rsidRPr="002B7BB0">
        <w:t>2024</w:t>
      </w:r>
      <w:r w:rsidRPr="00F373E5">
        <w:t>)</w:t>
      </w:r>
      <w:r w:rsidRPr="002B7BB0">
        <w:t>0517</w:t>
      </w:r>
      <w:r w:rsidRPr="00F373E5">
        <w:t>),</w:t>
      </w:r>
    </w:p>
    <w:p w:rsidR="006E0B12" w:rsidRPr="00F373E5" w:rsidRDefault="006E0B12" w:rsidP="006E0B12">
      <w:pPr>
        <w:pStyle w:val="NormalHanging12a"/>
      </w:pPr>
      <w:r w:rsidRPr="00F373E5">
        <w:t>–</w:t>
      </w:r>
      <w:r w:rsidRPr="00F373E5">
        <w:tab/>
        <w:t xml:space="preserve">ņemot vērā Līguma par Eiropas Savienības darbību </w:t>
      </w:r>
      <w:r w:rsidRPr="002B7BB0">
        <w:t>294</w:t>
      </w:r>
      <w:r w:rsidRPr="00F373E5">
        <w:t xml:space="preserve">. panta </w:t>
      </w:r>
      <w:r w:rsidRPr="002B7BB0">
        <w:t>2</w:t>
      </w:r>
      <w:r w:rsidRPr="00F373E5">
        <w:t xml:space="preserve">. punktu un </w:t>
      </w:r>
      <w:r w:rsidRPr="002B7BB0">
        <w:t>43</w:t>
      </w:r>
      <w:r w:rsidRPr="00F373E5">
        <w:t xml:space="preserve">. panta </w:t>
      </w:r>
      <w:r w:rsidRPr="002B7BB0">
        <w:t>2</w:t>
      </w:r>
      <w:r w:rsidRPr="00F373E5">
        <w:t>. punktu, saskaņā ar kuriem Komisija tam ir iesniegusi priekšlikumu (C</w:t>
      </w:r>
      <w:r w:rsidRPr="002B7BB0">
        <w:t>10</w:t>
      </w:r>
      <w:r w:rsidRPr="00F373E5">
        <w:noBreakHyphen/>
      </w:r>
      <w:r w:rsidRPr="002B7BB0">
        <w:t>0167</w:t>
      </w:r>
      <w:r w:rsidRPr="00F373E5">
        <w:t>/</w:t>
      </w:r>
      <w:r w:rsidRPr="002B7BB0">
        <w:t>2024</w:t>
      </w:r>
      <w:r w:rsidRPr="00F373E5">
        <w:t>),</w:t>
      </w:r>
    </w:p>
    <w:p w:rsidR="006E0B12" w:rsidRPr="00F373E5" w:rsidRDefault="006E0B12" w:rsidP="006E0B12">
      <w:pPr>
        <w:pStyle w:val="NormalHanging12a"/>
      </w:pPr>
      <w:r w:rsidRPr="00F373E5">
        <w:t>–</w:t>
      </w:r>
      <w:r w:rsidRPr="00F373E5">
        <w:tab/>
        <w:t xml:space="preserve">ņemot vērā Līguma par Eiropas Savienības darbību </w:t>
      </w:r>
      <w:r w:rsidRPr="002B7BB0">
        <w:t>294</w:t>
      </w:r>
      <w:r w:rsidRPr="00F373E5">
        <w:t xml:space="preserve">. panta </w:t>
      </w:r>
      <w:r w:rsidRPr="002B7BB0">
        <w:t>3</w:t>
      </w:r>
      <w:r w:rsidRPr="00F373E5">
        <w:t>. punktu,</w:t>
      </w:r>
    </w:p>
    <w:p w:rsidR="006E0B12" w:rsidRPr="00F373E5" w:rsidRDefault="006E0B12" w:rsidP="006E0B12">
      <w:pPr>
        <w:pStyle w:val="NormalHanging12a"/>
      </w:pPr>
      <w:r w:rsidRPr="00F373E5">
        <w:t>–</w:t>
      </w:r>
      <w:r w:rsidRPr="00F373E5">
        <w:tab/>
        <w:t xml:space="preserve">ņemot vērā Eiropas Ekonomikas un sociālo lietu komitejas </w:t>
      </w:r>
      <w:r w:rsidR="002E07CB" w:rsidRPr="002B7BB0">
        <w:t>2024</w:t>
      </w:r>
      <w:r w:rsidR="002E07CB" w:rsidRPr="00F373E5">
        <w:t xml:space="preserve">. gada </w:t>
      </w:r>
      <w:r w:rsidR="002E07CB" w:rsidRPr="002B7BB0">
        <w:t>4</w:t>
      </w:r>
      <w:r w:rsidR="002E07CB" w:rsidRPr="00F373E5">
        <w:t xml:space="preserve">. decembra </w:t>
      </w:r>
      <w:r w:rsidRPr="00F373E5">
        <w:t>atzinumu</w:t>
      </w:r>
      <w:r w:rsidRPr="00F373E5">
        <w:rPr>
          <w:vertAlign w:val="superscript"/>
        </w:rPr>
        <w:footnoteReference w:id="1"/>
      </w:r>
      <w:r w:rsidRPr="00F373E5">
        <w:t>,</w:t>
      </w:r>
    </w:p>
    <w:p w:rsidR="006E0B12" w:rsidRPr="00F373E5" w:rsidRDefault="006E0B12" w:rsidP="006E0B12">
      <w:pPr>
        <w:pStyle w:val="NormalHanging12a"/>
      </w:pPr>
      <w:r w:rsidRPr="00F373E5">
        <w:t>–</w:t>
      </w:r>
      <w:r w:rsidRPr="00F373E5">
        <w:tab/>
        <w:t xml:space="preserve">ņemot vērā Reglamenta </w:t>
      </w:r>
      <w:r w:rsidRPr="002B7BB0">
        <w:t>60</w:t>
      </w:r>
      <w:r w:rsidRPr="00F373E5">
        <w:t>. pantu,</w:t>
      </w:r>
    </w:p>
    <w:p w:rsidR="006E0B12" w:rsidRPr="00F373E5" w:rsidRDefault="006E0B12" w:rsidP="006E0B12">
      <w:pPr>
        <w:pStyle w:val="NormalHanging12a"/>
      </w:pPr>
      <w:r w:rsidRPr="00F373E5">
        <w:t>–</w:t>
      </w:r>
      <w:r w:rsidRPr="00F373E5">
        <w:tab/>
        <w:t>ņemot vērā Lauksaimniecības un lauku attīstības komitejas ziņojumu (A</w:t>
      </w:r>
      <w:r w:rsidRPr="002B7BB0">
        <w:t>10</w:t>
      </w:r>
      <w:r w:rsidRPr="00F373E5">
        <w:noBreakHyphen/>
      </w:r>
      <w:r w:rsidRPr="002B7BB0">
        <w:t>0022</w:t>
      </w:r>
      <w:r w:rsidRPr="00F373E5">
        <w:t>/</w:t>
      </w:r>
      <w:r w:rsidRPr="002B7BB0">
        <w:t>2024</w:t>
      </w:r>
      <w:r w:rsidRPr="00F373E5">
        <w:t>),</w:t>
      </w:r>
    </w:p>
    <w:p w:rsidR="006E0B12" w:rsidRPr="00F373E5" w:rsidRDefault="006E0B12" w:rsidP="006E0B12">
      <w:pPr>
        <w:pStyle w:val="NormalHanging12a"/>
      </w:pPr>
      <w:r w:rsidRPr="002B7BB0">
        <w:t>1</w:t>
      </w:r>
      <w:r w:rsidRPr="00F373E5">
        <w:t>.</w:t>
      </w:r>
      <w:r w:rsidRPr="00F373E5">
        <w:tab/>
        <w:t>pieņem pirmajā lasījumā turpmāk izklāstīto nostāju;</w:t>
      </w:r>
    </w:p>
    <w:p w:rsidR="006E0B12" w:rsidRPr="00F373E5" w:rsidRDefault="006E0B12" w:rsidP="006E0B12">
      <w:pPr>
        <w:pStyle w:val="NormalHanging12a"/>
      </w:pPr>
      <w:r w:rsidRPr="002B7BB0">
        <w:t>2</w:t>
      </w:r>
      <w:r w:rsidRPr="00F373E5">
        <w:t>.</w:t>
      </w:r>
      <w:r w:rsidRPr="00F373E5">
        <w:tab/>
        <w:t>prasa Komisijai priekšlikumu Parlamentam iesniegt vēlreiz, ja tā savu priekšlikumu aizstāj, būtiski groza vai ir paredzējusi to būtiski grozīt;</w:t>
      </w:r>
    </w:p>
    <w:p w:rsidR="000B2514" w:rsidRPr="00F373E5" w:rsidRDefault="006E0B12" w:rsidP="006E0B12">
      <w:pPr>
        <w:pStyle w:val="NormalHanging12a"/>
        <w:sectPr w:rsidR="000B2514" w:rsidRPr="00F373E5" w:rsidSect="00FF3A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2B7BB0">
        <w:t>3</w:t>
      </w:r>
      <w:r w:rsidRPr="00F373E5">
        <w:t>.</w:t>
      </w:r>
      <w:r w:rsidRPr="00F373E5">
        <w:tab/>
        <w:t>uzdod priekšsēdētājai Parlamenta nostāju nosūtīt Padomei un Komisijai, kā arī dalībvalstu parlamentiem.</w:t>
      </w:r>
    </w:p>
    <w:p w:rsidR="000B2514" w:rsidRPr="00F373E5" w:rsidRDefault="000B2514" w:rsidP="000B2514">
      <w:pPr>
        <w:pStyle w:val="Normal12Hanging"/>
        <w:tabs>
          <w:tab w:val="left" w:pos="357"/>
        </w:tabs>
        <w:rPr>
          <w:b/>
        </w:rPr>
      </w:pPr>
      <w:r w:rsidRPr="00F373E5">
        <w:rPr>
          <w:b/>
        </w:rPr>
        <w:lastRenderedPageBreak/>
        <w:t>P</w:t>
      </w:r>
      <w:r w:rsidRPr="002B7BB0">
        <w:rPr>
          <w:b/>
        </w:rPr>
        <w:t>10</w:t>
      </w:r>
      <w:r w:rsidRPr="00F373E5">
        <w:rPr>
          <w:b/>
        </w:rPr>
        <w:t>_TC</w:t>
      </w:r>
      <w:r w:rsidRPr="002B7BB0">
        <w:rPr>
          <w:b/>
        </w:rPr>
        <w:t>1</w:t>
      </w:r>
      <w:r w:rsidRPr="00F373E5">
        <w:rPr>
          <w:b/>
        </w:rPr>
        <w:t>-COD(</w:t>
      </w:r>
      <w:r w:rsidRPr="002B7BB0">
        <w:rPr>
          <w:b/>
        </w:rPr>
        <w:t>2024</w:t>
      </w:r>
      <w:r w:rsidRPr="00F373E5">
        <w:rPr>
          <w:b/>
        </w:rPr>
        <w:t>)</w:t>
      </w:r>
      <w:r w:rsidRPr="002B7BB0">
        <w:rPr>
          <w:b/>
        </w:rPr>
        <w:t>0214</w:t>
      </w:r>
    </w:p>
    <w:p w:rsidR="000B2514" w:rsidRDefault="000B2514" w:rsidP="000B2514">
      <w:pPr>
        <w:pStyle w:val="Normal12Hanging"/>
        <w:ind w:left="0" w:firstLine="0"/>
        <w:rPr>
          <w:b/>
          <w:noProof/>
        </w:rPr>
      </w:pPr>
      <w:r w:rsidRPr="00F373E5">
        <w:rPr>
          <w:b/>
        </w:rPr>
        <w:t xml:space="preserve">Eiropas Parlamenta nostāja, pieņemta pirmajā lasījumā </w:t>
      </w:r>
      <w:r w:rsidRPr="002B7BB0">
        <w:rPr>
          <w:b/>
        </w:rPr>
        <w:t>2024</w:t>
      </w:r>
      <w:r w:rsidRPr="00F373E5">
        <w:rPr>
          <w:b/>
        </w:rPr>
        <w:t xml:space="preserve">. gada </w:t>
      </w:r>
      <w:r w:rsidRPr="002B7BB0">
        <w:rPr>
          <w:b/>
        </w:rPr>
        <w:t>17</w:t>
      </w:r>
      <w:r w:rsidRPr="00F373E5">
        <w:rPr>
          <w:b/>
        </w:rPr>
        <w:t xml:space="preserve">. decembrī, lai pieņemtu Eiropas Parlamenta un Padomes Lēmumu (ES) </w:t>
      </w:r>
      <w:r w:rsidRPr="002B7BB0">
        <w:rPr>
          <w:b/>
        </w:rPr>
        <w:t>2024</w:t>
      </w:r>
      <w:r w:rsidRPr="00F373E5">
        <w:rPr>
          <w:b/>
        </w:rPr>
        <w:t xml:space="preserve">/..., </w:t>
      </w:r>
      <w:r w:rsidRPr="00F373E5">
        <w:rPr>
          <w:b/>
          <w:noProof/>
        </w:rPr>
        <w:t xml:space="preserve">ar ko groza Padomes Lēmumu </w:t>
      </w:r>
      <w:r w:rsidRPr="002B7BB0">
        <w:rPr>
          <w:b/>
          <w:noProof/>
        </w:rPr>
        <w:t>2008</w:t>
      </w:r>
      <w:r w:rsidRPr="00F373E5">
        <w:rPr>
          <w:b/>
          <w:noProof/>
        </w:rPr>
        <w:t>/</w:t>
      </w:r>
      <w:r w:rsidRPr="002B7BB0">
        <w:rPr>
          <w:b/>
          <w:noProof/>
        </w:rPr>
        <w:t>971</w:t>
      </w:r>
      <w:r w:rsidRPr="00F373E5">
        <w:rPr>
          <w:b/>
          <w:noProof/>
        </w:rPr>
        <w:t xml:space="preserve">/EK attiecībā uz kategorijai “pārāks” piederīgu meža reproduktīvo materiālu, tā marķēšanu un par ražošanas apstiprināšanu un kontroli atbildīgo iestāžu nosaukumiem </w:t>
      </w:r>
    </w:p>
    <w:p w:rsidR="00A653D8" w:rsidRPr="00DB0BB1" w:rsidRDefault="00A653D8" w:rsidP="00A653D8">
      <w:pPr>
        <w:spacing w:before="360"/>
        <w:ind w:right="-856"/>
        <w:rPr>
          <w:i/>
        </w:rPr>
      </w:pPr>
      <w:r w:rsidRPr="00FB0770">
        <w:rPr>
          <w:i/>
        </w:rPr>
        <w:t>(Tā kā starp Parlamentu un Padomi tika</w:t>
      </w:r>
      <w:r w:rsidRPr="00DB0BB1">
        <w:rPr>
          <w:i/>
        </w:rPr>
        <w:t xml:space="preserve"> panākta vienošanās, Parlamenta nostāja atbilst galīgajam tiesību aktam Lēmumam </w:t>
      </w:r>
      <w:r w:rsidRPr="00D40C2D">
        <w:rPr>
          <w:i/>
          <w:iCs/>
        </w:rPr>
        <w:t>(E</w:t>
      </w:r>
      <w:r>
        <w:rPr>
          <w:i/>
          <w:iCs/>
        </w:rPr>
        <w:t>S</w:t>
      </w:r>
      <w:r w:rsidRPr="00D40C2D">
        <w:rPr>
          <w:i/>
          <w:iCs/>
        </w:rPr>
        <w:t>)</w:t>
      </w:r>
      <w:r>
        <w:rPr>
          <w:i/>
          <w:iCs/>
        </w:rPr>
        <w:t> </w:t>
      </w:r>
      <w:r w:rsidRPr="00D40C2D">
        <w:rPr>
          <w:i/>
          <w:iCs/>
        </w:rPr>
        <w:t>20</w:t>
      </w:r>
      <w:r>
        <w:rPr>
          <w:i/>
          <w:iCs/>
        </w:rPr>
        <w:t>24</w:t>
      </w:r>
      <w:r w:rsidRPr="00D40C2D">
        <w:rPr>
          <w:i/>
          <w:iCs/>
        </w:rPr>
        <w:t>/</w:t>
      </w:r>
      <w:r>
        <w:rPr>
          <w:i/>
          <w:iCs/>
        </w:rPr>
        <w:t>3244</w:t>
      </w:r>
      <w:r w:rsidRPr="00D40C2D">
        <w:rPr>
          <w:i/>
          <w:iCs/>
          <w:noProof/>
        </w:rPr>
        <w:t>.</w:t>
      </w:r>
      <w:r>
        <w:rPr>
          <w:i/>
          <w:iCs/>
          <w:noProof/>
        </w:rPr>
        <w:t>)</w:t>
      </w:r>
    </w:p>
    <w:p w:rsidR="00A653D8" w:rsidRDefault="00A653D8" w:rsidP="000B2514">
      <w:pPr>
        <w:pStyle w:val="Normal12Hanging"/>
        <w:ind w:left="0" w:firstLine="0"/>
        <w:rPr>
          <w:b/>
          <w:noProof/>
        </w:rPr>
      </w:pPr>
    </w:p>
    <w:p w:rsidR="00A653D8" w:rsidRPr="00F373E5" w:rsidRDefault="00A653D8" w:rsidP="000B2514">
      <w:pPr>
        <w:pStyle w:val="Normal12Hanging"/>
        <w:ind w:left="0" w:firstLine="0"/>
        <w:rPr>
          <w:b/>
          <w:noProof/>
        </w:rPr>
      </w:pPr>
      <w:bookmarkStart w:id="8" w:name="_GoBack"/>
      <w:bookmarkEnd w:id="8"/>
    </w:p>
    <w:sectPr w:rsidR="00A653D8" w:rsidRPr="00F373E5" w:rsidSect="00FF3AA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2AB" w:rsidRPr="00CA6E84" w:rsidRDefault="000352AB">
      <w:r w:rsidRPr="00CA6E84">
        <w:separator/>
      </w:r>
    </w:p>
  </w:endnote>
  <w:endnote w:type="continuationSeparator" w:id="0">
    <w:p w:rsidR="000352AB" w:rsidRPr="00CA6E84" w:rsidRDefault="000352AB">
      <w:r w:rsidRPr="00CA6E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2AB" w:rsidRPr="00CA6E84" w:rsidRDefault="000352AB">
      <w:r w:rsidRPr="00CA6E84">
        <w:separator/>
      </w:r>
    </w:p>
  </w:footnote>
  <w:footnote w:type="continuationSeparator" w:id="0">
    <w:p w:rsidR="000352AB" w:rsidRPr="00CA6E84" w:rsidRDefault="000352AB">
      <w:r w:rsidRPr="00CA6E84">
        <w:continuationSeparator/>
      </w:r>
    </w:p>
  </w:footnote>
  <w:footnote w:id="1">
    <w:p w:rsidR="006E0B12" w:rsidRPr="00CA6E84" w:rsidRDefault="006E0B12" w:rsidP="00CA6E84">
      <w:pPr>
        <w:pStyle w:val="FootnoteText"/>
        <w:ind w:left="567" w:hanging="567"/>
        <w:rPr>
          <w:sz w:val="24"/>
          <w:szCs w:val="24"/>
          <w:lang w:val="lv-LV"/>
        </w:rPr>
      </w:pPr>
      <w:r w:rsidRPr="00CA6E84">
        <w:rPr>
          <w:rStyle w:val="FootnoteReference"/>
          <w:sz w:val="24"/>
          <w:szCs w:val="24"/>
          <w:lang w:val="lv-LV"/>
        </w:rPr>
        <w:footnoteRef/>
      </w:r>
      <w:r w:rsidR="00CA6E84" w:rsidRPr="00CA6E84">
        <w:rPr>
          <w:i/>
          <w:iCs/>
          <w:sz w:val="24"/>
          <w:lang w:val="lv-LV"/>
        </w:rPr>
        <w:t xml:space="preserve"> </w:t>
      </w:r>
      <w:r w:rsidR="00CA6E84" w:rsidRPr="00CA6E84">
        <w:rPr>
          <w:i/>
          <w:iCs/>
          <w:sz w:val="24"/>
          <w:lang w:val="lv-LV"/>
        </w:rPr>
        <w:tab/>
      </w:r>
      <w:r w:rsidRPr="00CA6E84">
        <w:rPr>
          <w:i/>
          <w:iCs/>
          <w:sz w:val="24"/>
          <w:lang w:val="lv-LV"/>
        </w:rPr>
        <w:t>Oficiālajā Vēstnesī</w:t>
      </w:r>
      <w:r w:rsidRPr="00CA6E84">
        <w:rPr>
          <w:sz w:val="24"/>
          <w:lang w:val="lv-LV"/>
        </w:rPr>
        <w:t xml:space="preserve"> vēl nav publicēts.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E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4"/>
    <w:docVar w:name="dvlangue" w:val="LV"/>
    <w:docVar w:name="dvnumam" w:val="0"/>
    <w:docVar w:name="dvpe" w:val="765.340"/>
    <w:docVar w:name="dvrapporteur" w:val="Referente: "/>
    <w:docVar w:name="dvstar" w:val="***I"/>
    <w:docVar w:name="dvtitre" w:val="Eiropas Parlamenta 2024. gada XX. XXX normatīvā rezolūcija par grozīto priekšlikumu Eiropas Parlamenta un Padomes lēmumam, ar ko attiecībā uz kategorijai “pārāks” piederīgu meža reproduktīvo materiālu, tā marķēšanu un par ražošanas apstiprināšanu un kontroli atbildīgo iestāžu nosaukumiem groza Padomes Lēmumu 2008/971/EK(COM(2024)0517  – C10-0167/2024 – 2024/0214(COD))"/>
  </w:docVars>
  <w:rsids>
    <w:rsidRoot w:val="000352AB"/>
    <w:rsid w:val="00002272"/>
    <w:rsid w:val="0002535D"/>
    <w:rsid w:val="000352AB"/>
    <w:rsid w:val="00064002"/>
    <w:rsid w:val="000677B9"/>
    <w:rsid w:val="000831BA"/>
    <w:rsid w:val="000A42CC"/>
    <w:rsid w:val="000B2514"/>
    <w:rsid w:val="000E7DD9"/>
    <w:rsid w:val="0010095E"/>
    <w:rsid w:val="00125B37"/>
    <w:rsid w:val="00187494"/>
    <w:rsid w:val="001F32AE"/>
    <w:rsid w:val="002767FF"/>
    <w:rsid w:val="002B18FE"/>
    <w:rsid w:val="002B5493"/>
    <w:rsid w:val="002B7BB0"/>
    <w:rsid w:val="002E07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B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3D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E8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3E5"/>
    <w:rsid w:val="00F5134D"/>
    <w:rsid w:val="00F74202"/>
    <w:rsid w:val="00F87713"/>
    <w:rsid w:val="00FB4360"/>
    <w:rsid w:val="00FD0C70"/>
    <w:rsid w:val="00FF3A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BDD97"/>
  <w15:chartTrackingRefBased/>
  <w15:docId w15:val="{2A72EF15-4077-4639-B961-700B56D5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0B1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E0B12"/>
    <w:pPr>
      <w:keepNext/>
      <w:spacing w:after="480"/>
      <w:jc w:val="center"/>
    </w:pPr>
    <w:rPr>
      <w:rFonts w:ascii="Arial" w:hAnsi="Arial" w:cs="Arial"/>
      <w:b/>
    </w:rPr>
  </w:style>
  <w:style w:type="paragraph" w:customStyle="1" w:styleId="NormalBold">
    <w:name w:val="NormalBold"/>
    <w:basedOn w:val="Normal"/>
    <w:rsid w:val="006E0B12"/>
    <w:rPr>
      <w:b/>
    </w:rPr>
  </w:style>
  <w:style w:type="paragraph" w:customStyle="1" w:styleId="NormalBold12a">
    <w:name w:val="NormalBold12a"/>
    <w:basedOn w:val="Normal"/>
    <w:rsid w:val="006E0B12"/>
    <w:pPr>
      <w:spacing w:after="240"/>
    </w:pPr>
    <w:rPr>
      <w:b/>
    </w:rPr>
  </w:style>
  <w:style w:type="paragraph" w:customStyle="1" w:styleId="NormalHanging12a">
    <w:name w:val="NormalHanging12a"/>
    <w:basedOn w:val="Normal"/>
    <w:rsid w:val="006E0B12"/>
    <w:pPr>
      <w:spacing w:after="240"/>
      <w:ind w:left="567" w:hanging="567"/>
    </w:pPr>
  </w:style>
  <w:style w:type="paragraph" w:styleId="Header">
    <w:name w:val="header"/>
    <w:basedOn w:val="Normal"/>
    <w:link w:val="HeaderChar"/>
    <w:rsid w:val="006E0B12"/>
    <w:pPr>
      <w:tabs>
        <w:tab w:val="center" w:pos="4513"/>
        <w:tab w:val="right" w:pos="9026"/>
      </w:tabs>
    </w:pPr>
  </w:style>
  <w:style w:type="character" w:customStyle="1" w:styleId="HeaderChar">
    <w:name w:val="Header Char"/>
    <w:basedOn w:val="DefaultParagraphFont"/>
    <w:link w:val="Header"/>
    <w:rsid w:val="006E0B12"/>
    <w:rPr>
      <w:sz w:val="24"/>
      <w:lang w:val="lv-LV"/>
    </w:rPr>
  </w:style>
  <w:style w:type="paragraph" w:customStyle="1" w:styleId="AmNumberTabs">
    <w:name w:val="AmNumberTabs"/>
    <w:basedOn w:val="Normal"/>
    <w:rsid w:val="006E0B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6E0B12"/>
    <w:pPr>
      <w:tabs>
        <w:tab w:val="center" w:pos="4535"/>
        <w:tab w:val="right" w:pos="9071"/>
      </w:tabs>
      <w:spacing w:before="240" w:after="240"/>
    </w:pPr>
    <w:rPr>
      <w:color w:val="010000"/>
      <w:sz w:val="22"/>
    </w:rPr>
  </w:style>
  <w:style w:type="paragraph" w:customStyle="1" w:styleId="EPComma">
    <w:name w:val="EPComma"/>
    <w:basedOn w:val="Normal"/>
    <w:rsid w:val="006E0B12"/>
    <w:pPr>
      <w:spacing w:before="480" w:after="240"/>
    </w:pPr>
  </w:style>
  <w:style w:type="paragraph" w:customStyle="1" w:styleId="Normal24a">
    <w:name w:val="Normal24a"/>
    <w:basedOn w:val="Normal"/>
    <w:rsid w:val="006E0B12"/>
    <w:pPr>
      <w:spacing w:after="480"/>
    </w:pPr>
  </w:style>
  <w:style w:type="paragraph" w:customStyle="1" w:styleId="Footprint12b">
    <w:name w:val="Footprint12b"/>
    <w:basedOn w:val="Normal"/>
    <w:rsid w:val="006E0B12"/>
    <w:pPr>
      <w:spacing w:before="240"/>
    </w:pPr>
    <w:rPr>
      <w:szCs w:val="24"/>
    </w:rPr>
  </w:style>
  <w:style w:type="paragraph" w:customStyle="1" w:styleId="NormalCenter12a">
    <w:name w:val="NormalCenter12a"/>
    <w:basedOn w:val="Normal"/>
    <w:rsid w:val="006E0B12"/>
    <w:pPr>
      <w:spacing w:after="240"/>
      <w:jc w:val="center"/>
    </w:pPr>
    <w:rPr>
      <w:lang w:val="en-GB"/>
    </w:rPr>
  </w:style>
  <w:style w:type="paragraph" w:customStyle="1" w:styleId="AmHeadingConsam">
    <w:name w:val="AmHeadingConsam"/>
    <w:basedOn w:val="Normal"/>
    <w:next w:val="NormalCenter12a"/>
    <w:rsid w:val="006E0B12"/>
    <w:pPr>
      <w:spacing w:before="720" w:after="240"/>
      <w:jc w:val="center"/>
    </w:pPr>
    <w:rPr>
      <w:lang w:val="en-GB"/>
    </w:rPr>
  </w:style>
  <w:style w:type="paragraph" w:customStyle="1" w:styleId="Typedudocument">
    <w:name w:val="Type du document"/>
    <w:basedOn w:val="Normal"/>
    <w:next w:val="Normal"/>
    <w:rsid w:val="006E0B12"/>
    <w:pPr>
      <w:widowControl/>
      <w:spacing w:before="360"/>
      <w:jc w:val="center"/>
    </w:pPr>
    <w:rPr>
      <w:rFonts w:eastAsiaTheme="minorHAnsi"/>
      <w:b/>
      <w:szCs w:val="22"/>
      <w:lang w:val="en-GB" w:eastAsia="en-US"/>
    </w:rPr>
  </w:style>
  <w:style w:type="paragraph" w:customStyle="1" w:styleId="Text1">
    <w:name w:val="Text 1"/>
    <w:basedOn w:val="Normal"/>
    <w:rsid w:val="006E0B12"/>
    <w:pPr>
      <w:widowControl/>
      <w:spacing w:before="120" w:after="120"/>
      <w:ind w:left="850"/>
      <w:jc w:val="both"/>
    </w:pPr>
    <w:rPr>
      <w:rFonts w:eastAsiaTheme="minorHAnsi"/>
      <w:szCs w:val="22"/>
      <w:lang w:eastAsia="en-US"/>
    </w:rPr>
  </w:style>
  <w:style w:type="paragraph" w:customStyle="1" w:styleId="Point0">
    <w:name w:val="Point 0"/>
    <w:basedOn w:val="Normal"/>
    <w:rsid w:val="006E0B12"/>
    <w:pPr>
      <w:widowControl/>
      <w:spacing w:before="120" w:after="120"/>
      <w:ind w:left="850" w:hanging="850"/>
      <w:jc w:val="both"/>
    </w:pPr>
    <w:rPr>
      <w:rFonts w:eastAsiaTheme="minorHAnsi"/>
      <w:szCs w:val="22"/>
      <w:lang w:eastAsia="en-US"/>
    </w:rPr>
  </w:style>
  <w:style w:type="paragraph" w:customStyle="1" w:styleId="Point1">
    <w:name w:val="Point 1"/>
    <w:basedOn w:val="Normal"/>
    <w:rsid w:val="006E0B12"/>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6E0B1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E0B1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E0B1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E0B1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E0B1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E0B12"/>
    <w:pPr>
      <w:widowControl/>
      <w:tabs>
        <w:tab w:val="left" w:pos="4252"/>
      </w:tabs>
    </w:pPr>
    <w:rPr>
      <w:rFonts w:eastAsiaTheme="minorHAnsi"/>
      <w:i/>
      <w:szCs w:val="22"/>
      <w:lang w:eastAsia="en-US"/>
    </w:rPr>
  </w:style>
  <w:style w:type="paragraph" w:customStyle="1" w:styleId="Titrearticle">
    <w:name w:val="Titre article"/>
    <w:basedOn w:val="Normal"/>
    <w:next w:val="Normal"/>
    <w:rsid w:val="006E0B12"/>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6E0B12"/>
    <w:pPr>
      <w:widowControl/>
      <w:spacing w:before="360" w:after="360"/>
      <w:jc w:val="center"/>
    </w:pPr>
    <w:rPr>
      <w:rFonts w:eastAsiaTheme="minorHAnsi"/>
      <w:b/>
      <w:szCs w:val="22"/>
      <w:lang w:eastAsia="en-US"/>
    </w:rPr>
  </w:style>
  <w:style w:type="character" w:customStyle="1" w:styleId="Added">
    <w:name w:val="Added"/>
    <w:basedOn w:val="DefaultParagraphFont"/>
    <w:rsid w:val="006E0B12"/>
    <w:rPr>
      <w:b/>
      <w:u w:val="single"/>
      <w:shd w:val="clear" w:color="auto" w:fill="auto"/>
    </w:rPr>
  </w:style>
  <w:style w:type="character" w:customStyle="1" w:styleId="Deleted">
    <w:name w:val="Deleted"/>
    <w:basedOn w:val="DefaultParagraphFont"/>
    <w:rsid w:val="006E0B12"/>
    <w:rPr>
      <w:strike/>
      <w:dstrike w:val="0"/>
      <w:shd w:val="clear" w:color="auto" w:fill="auto"/>
    </w:rPr>
  </w:style>
  <w:style w:type="paragraph" w:customStyle="1" w:styleId="doc-ti">
    <w:name w:val="doc-ti"/>
    <w:basedOn w:val="Normal"/>
    <w:rsid w:val="006E0B12"/>
    <w:pPr>
      <w:widowControl/>
      <w:spacing w:before="100" w:beforeAutospacing="1" w:after="100" w:afterAutospacing="1"/>
    </w:pPr>
    <w:rPr>
      <w:szCs w:val="24"/>
      <w:lang w:eastAsia="en-IE"/>
    </w:rPr>
  </w:style>
  <w:style w:type="paragraph" w:customStyle="1" w:styleId="ti-tbl">
    <w:name w:val="ti-tbl"/>
    <w:basedOn w:val="Normal"/>
    <w:rsid w:val="006E0B12"/>
    <w:pPr>
      <w:widowControl/>
      <w:spacing w:before="100" w:beforeAutospacing="1" w:after="100" w:afterAutospacing="1"/>
    </w:pPr>
    <w:rPr>
      <w:szCs w:val="24"/>
      <w:lang w:eastAsia="en-IE"/>
    </w:rPr>
  </w:style>
  <w:style w:type="paragraph" w:customStyle="1" w:styleId="Nomal">
    <w:name w:val="Nomal"/>
    <w:basedOn w:val="doc-ti"/>
    <w:rsid w:val="006E0B12"/>
    <w:pPr>
      <w:shd w:val="clear" w:color="auto" w:fill="FFFFFF"/>
      <w:spacing w:before="240" w:beforeAutospacing="0" w:after="120" w:afterAutospacing="0" w:line="312" w:lineRule="atLeast"/>
      <w:ind w:left="360"/>
      <w:jc w:val="center"/>
    </w:pPr>
    <w:rPr>
      <w:b/>
      <w:bCs/>
      <w:color w:val="333333"/>
      <w:sz w:val="27"/>
      <w:szCs w:val="27"/>
    </w:rPr>
  </w:style>
  <w:style w:type="paragraph" w:customStyle="1" w:styleId="Text2">
    <w:name w:val="Text 2"/>
    <w:basedOn w:val="Normal"/>
    <w:rsid w:val="006E0B12"/>
    <w:pPr>
      <w:widowControl/>
      <w:spacing w:before="120" w:after="120"/>
      <w:ind w:left="1417"/>
      <w:jc w:val="both"/>
    </w:pPr>
    <w:rPr>
      <w:rFonts w:eastAsiaTheme="minorHAnsi"/>
      <w:szCs w:val="22"/>
      <w:lang w:eastAsia="en-US"/>
    </w:rPr>
  </w:style>
  <w:style w:type="paragraph" w:customStyle="1" w:styleId="Annexetitre">
    <w:name w:val="Annexe titre"/>
    <w:basedOn w:val="Normal"/>
    <w:next w:val="Normal"/>
    <w:rsid w:val="006E0B12"/>
    <w:pPr>
      <w:widowControl/>
      <w:spacing w:before="120" w:after="120"/>
      <w:jc w:val="center"/>
    </w:pPr>
    <w:rPr>
      <w:rFonts w:eastAsiaTheme="minorHAnsi"/>
      <w:b/>
      <w:szCs w:val="22"/>
      <w:u w:val="single"/>
      <w:lang w:eastAsia="en-US"/>
    </w:rPr>
  </w:style>
  <w:style w:type="character" w:styleId="Hyperlink">
    <w:name w:val="Hyperlink"/>
    <w:basedOn w:val="DefaultParagraphFont"/>
    <w:uiPriority w:val="99"/>
    <w:rsid w:val="006E0B12"/>
    <w:rPr>
      <w:color w:val="0563C1" w:themeColor="hyperlink"/>
      <w:u w:val="single"/>
    </w:rPr>
  </w:style>
  <w:style w:type="paragraph" w:styleId="BalloonText">
    <w:name w:val="Balloon Text"/>
    <w:basedOn w:val="Normal"/>
    <w:link w:val="BalloonTextChar"/>
    <w:rsid w:val="002E07CB"/>
    <w:rPr>
      <w:rFonts w:ascii="Segoe UI" w:hAnsi="Segoe UI" w:cs="Segoe UI"/>
      <w:sz w:val="18"/>
      <w:szCs w:val="18"/>
    </w:rPr>
  </w:style>
  <w:style w:type="character" w:customStyle="1" w:styleId="BalloonTextChar">
    <w:name w:val="Balloon Text Char"/>
    <w:basedOn w:val="DefaultParagraphFont"/>
    <w:link w:val="BalloonText"/>
    <w:rsid w:val="002E07CB"/>
    <w:rPr>
      <w:rFonts w:ascii="Segoe UI" w:hAnsi="Segoe UI" w:cs="Segoe UI"/>
      <w:sz w:val="18"/>
      <w:szCs w:val="18"/>
      <w:lang w:val="lv-LV"/>
    </w:rPr>
  </w:style>
  <w:style w:type="paragraph" w:customStyle="1" w:styleId="Normal12Hanging">
    <w:name w:val="Normal12Hanging"/>
    <w:basedOn w:val="Normal"/>
    <w:link w:val="Normal12HangingChar"/>
    <w:rsid w:val="000B2514"/>
    <w:pPr>
      <w:spacing w:after="240"/>
      <w:ind w:left="357" w:hanging="357"/>
    </w:pPr>
  </w:style>
  <w:style w:type="character" w:customStyle="1" w:styleId="Normal12HangingChar">
    <w:name w:val="Normal12Hanging Char"/>
    <w:basedOn w:val="DefaultParagraphFont"/>
    <w:link w:val="Normal12Hanging"/>
    <w:rsid w:val="000B251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E22ED-9488-4074-8CEA-D70BA90D7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2025-02-10T15:55:00Z</dcterms:created>
  <dcterms:modified xsi:type="dcterms:W3CDTF">2025-02-10T15:55:00Z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P10_TA(2024)0061_</vt:lpwstr>
  </property>
  <property fmtid="{D5CDD505-2E9C-101B-9397-08002B2CF9AE}" pid="4" name="&lt;Type&gt;">
    <vt:lpwstr>RR</vt:lpwstr>
  </property>
</Properties>
</file>