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4D2C" w14:paraId="075790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181025" w14:textId="77777777" w:rsidR="00751A4A" w:rsidRPr="00F04D2C" w:rsidRDefault="00417290" w:rsidP="0010095E">
            <w:pPr>
              <w:pStyle w:val="EPName"/>
            </w:pPr>
            <w:r w:rsidRPr="00F04D2C">
              <w:t>Европейски</w:t>
            </w:r>
            <w:r w:rsidR="00FF43EA" w:rsidRPr="00F04D2C">
              <w:t xml:space="preserve"> парламент</w:t>
            </w:r>
          </w:p>
          <w:p w14:paraId="563019EE" w14:textId="77777777" w:rsidR="00751A4A" w:rsidRPr="00F04D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4D2C">
              <w:t>2024</w:t>
            </w:r>
            <w:r w:rsidR="00417290">
              <w:t> – </w:t>
            </w:r>
            <w:r w:rsidR="00817416" w:rsidRPr="00F04D2C">
              <w:t>202</w:t>
            </w:r>
            <w:r w:rsidRPr="00F04D2C">
              <w:t>9</w:t>
            </w:r>
          </w:p>
        </w:tc>
        <w:tc>
          <w:tcPr>
            <w:tcW w:w="2268" w:type="dxa"/>
            <w:shd w:val="clear" w:color="auto" w:fill="auto"/>
          </w:tcPr>
          <w:p w14:paraId="0E5FAC09" w14:textId="77777777" w:rsidR="00751A4A" w:rsidRPr="00F04D2C" w:rsidRDefault="00187494" w:rsidP="0010095E">
            <w:pPr>
              <w:pStyle w:val="EPLogo"/>
            </w:pPr>
            <w:r w:rsidRPr="00F04D2C">
              <w:rPr>
                <w:noProof/>
                <w:lang w:val="en-GB"/>
              </w:rPr>
              <w:drawing>
                <wp:inline distT="0" distB="0" distL="0" distR="0" wp14:anchorId="3639F657" wp14:editId="68AC40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82BFF" w14:textId="77777777" w:rsidR="00D058B8" w:rsidRPr="00F04D2C" w:rsidRDefault="00D058B8" w:rsidP="004C5D52">
      <w:pPr>
        <w:pStyle w:val="LineTop"/>
      </w:pPr>
    </w:p>
    <w:p w14:paraId="7CCCB4CB" w14:textId="77777777" w:rsidR="00680577" w:rsidRPr="00F04D2C" w:rsidRDefault="00FF43EA" w:rsidP="00680577">
      <w:pPr>
        <w:pStyle w:val="EPBodyTA1"/>
      </w:pPr>
      <w:r w:rsidRPr="00F04D2C">
        <w:t>ПРИЕТИ ТЕКСТОВЕ</w:t>
      </w:r>
    </w:p>
    <w:p w14:paraId="5440C3CF" w14:textId="77777777" w:rsidR="00D058B8" w:rsidRPr="00F04D2C" w:rsidRDefault="00D058B8" w:rsidP="00D058B8">
      <w:pPr>
        <w:pStyle w:val="LineBottom"/>
      </w:pPr>
    </w:p>
    <w:p w14:paraId="53A4C3F9" w14:textId="10A4CAC3" w:rsidR="00FF43EA" w:rsidRPr="00F04D2C" w:rsidRDefault="00FF43EA" w:rsidP="00FF43EA">
      <w:pPr>
        <w:pStyle w:val="ATHeading1"/>
      </w:pPr>
      <w:bookmarkStart w:id="0" w:name="TANumber"/>
      <w:r w:rsidRPr="00F04D2C">
        <w:t>P10_TA(2024)00</w:t>
      </w:r>
      <w:r w:rsidR="00740859">
        <w:rPr>
          <w:lang w:val="en-GB"/>
        </w:rPr>
        <w:t>62</w:t>
      </w:r>
      <w:bookmarkEnd w:id="0"/>
    </w:p>
    <w:p w14:paraId="72FF173F" w14:textId="77777777" w:rsidR="00FF43EA" w:rsidRPr="00F04D2C" w:rsidRDefault="00FF43EA" w:rsidP="00FF43EA">
      <w:pPr>
        <w:pStyle w:val="ATHeading2"/>
      </w:pPr>
      <w:bookmarkStart w:id="1" w:name="title"/>
      <w:r w:rsidRPr="00F04D2C">
        <w:t>Мобилизиране на средства от Европейския фонд за приспособяване към глобализацията: заявление от Белгия — EGF/2024/002 BE/Limburg machinery and paper</w:t>
      </w:r>
      <w:bookmarkEnd w:id="1"/>
    </w:p>
    <w:p w14:paraId="3F2BCC64" w14:textId="77777777" w:rsidR="00FF43EA" w:rsidRPr="00F04D2C" w:rsidRDefault="00FF43EA" w:rsidP="00FF43EA">
      <w:pPr>
        <w:rPr>
          <w:i/>
          <w:vanish/>
        </w:rPr>
      </w:pPr>
      <w:r w:rsidRPr="00F04D2C">
        <w:rPr>
          <w:i/>
        </w:rPr>
        <w:fldChar w:fldCharType="begin"/>
      </w:r>
      <w:r w:rsidRPr="00F04D2C">
        <w:rPr>
          <w:i/>
        </w:rPr>
        <w:instrText xml:space="preserve"> TC"(</w:instrText>
      </w:r>
      <w:bookmarkStart w:id="2" w:name="DocNumber"/>
      <w:r w:rsidRPr="00F04D2C">
        <w:rPr>
          <w:i/>
        </w:rPr>
        <w:instrText>A10-0019/2024</w:instrText>
      </w:r>
      <w:bookmarkEnd w:id="2"/>
      <w:r w:rsidRPr="00F04D2C">
        <w:rPr>
          <w:i/>
        </w:rPr>
        <w:instrText xml:space="preserve"> - Докладчик: Матяж Немец)"\l3 \n&gt; \* MERGEFORMAT </w:instrText>
      </w:r>
      <w:r w:rsidRPr="00F04D2C">
        <w:rPr>
          <w:i/>
        </w:rPr>
        <w:fldChar w:fldCharType="end"/>
      </w:r>
    </w:p>
    <w:p w14:paraId="0E4CDF97" w14:textId="77777777" w:rsidR="00FF43EA" w:rsidRPr="00F04D2C" w:rsidRDefault="00FF43EA" w:rsidP="00FF43EA">
      <w:pPr>
        <w:rPr>
          <w:vanish/>
        </w:rPr>
      </w:pPr>
      <w:bookmarkStart w:id="3" w:name="Commission"/>
      <w:r w:rsidRPr="00F04D2C">
        <w:rPr>
          <w:vanish/>
        </w:rPr>
        <w:t>Комисия по бюджети</w:t>
      </w:r>
      <w:bookmarkEnd w:id="3"/>
    </w:p>
    <w:p w14:paraId="362A4D5E" w14:textId="77777777" w:rsidR="00FF43EA" w:rsidRPr="00F04D2C" w:rsidRDefault="00FF43EA" w:rsidP="00FF43EA">
      <w:pPr>
        <w:rPr>
          <w:vanish/>
        </w:rPr>
      </w:pPr>
      <w:bookmarkStart w:id="4" w:name="PE"/>
      <w:r w:rsidRPr="00F04D2C">
        <w:rPr>
          <w:vanish/>
        </w:rPr>
        <w:t>PE765.241</w:t>
      </w:r>
      <w:bookmarkEnd w:id="4"/>
    </w:p>
    <w:p w14:paraId="0FE6DAC1" w14:textId="732D7234" w:rsidR="00FF43EA" w:rsidRPr="00F04D2C" w:rsidRDefault="00FF43EA" w:rsidP="00FF43EA">
      <w:pPr>
        <w:pStyle w:val="ATHeading3"/>
      </w:pPr>
      <w:bookmarkStart w:id="5" w:name="Sujet"/>
      <w:r w:rsidRPr="00F04D2C">
        <w:t xml:space="preserve">Резолюция на Европейския парламент от </w:t>
      </w:r>
      <w:r w:rsidR="00417290">
        <w:t>17 декември</w:t>
      </w:r>
      <w:r w:rsidR="00417290" w:rsidRPr="00F04D2C">
        <w:t xml:space="preserve"> </w:t>
      </w:r>
      <w:r w:rsidRPr="00F04D2C">
        <w:t>2024 г.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Белгия – EGF/2024/002 BE/Limburg machinery and paper</w:t>
      </w:r>
      <w:bookmarkEnd w:id="5"/>
      <w:r w:rsidRPr="00F04D2C">
        <w:t xml:space="preserve"> </w:t>
      </w:r>
      <w:bookmarkStart w:id="6" w:name="References"/>
      <w:r w:rsidRPr="00F04D2C">
        <w:t>(COM(2024)0370 – C10-0166/2024 – 2024/0286(BUD))</w:t>
      </w:r>
      <w:bookmarkEnd w:id="6"/>
    </w:p>
    <w:p w14:paraId="2662DC28" w14:textId="77777777" w:rsidR="007C4426" w:rsidRPr="00F04D2C" w:rsidRDefault="007C4426" w:rsidP="007C4426">
      <w:pPr>
        <w:pStyle w:val="EPComma"/>
        <w:widowControl/>
        <w:rPr>
          <w:noProof/>
        </w:rPr>
      </w:pPr>
      <w:r w:rsidRPr="00F04D2C">
        <w:rPr>
          <w:i/>
          <w:iCs/>
        </w:rPr>
        <w:t>Европейският парламент</w:t>
      </w:r>
      <w:r w:rsidRPr="00F04D2C">
        <w:t>,</w:t>
      </w:r>
    </w:p>
    <w:p w14:paraId="39A4AD4B" w14:textId="77777777" w:rsidR="007C4426" w:rsidRPr="00F04D2C" w:rsidRDefault="007C4426" w:rsidP="007C4426">
      <w:pPr>
        <w:pStyle w:val="NormalHanging12a"/>
        <w:widowControl/>
        <w:rPr>
          <w:noProof/>
        </w:rPr>
      </w:pPr>
      <w:r w:rsidRPr="00F04D2C">
        <w:t>–</w:t>
      </w:r>
      <w:r w:rsidRPr="00F04D2C">
        <w:tab/>
        <w:t>като взе предвид предложението на Комисията до Европейския парламент и Съвета (COM(2024)0370 – C10</w:t>
      </w:r>
      <w:r w:rsidRPr="00F04D2C">
        <w:noBreakHyphen/>
        <w:t>0166/2024),</w:t>
      </w:r>
    </w:p>
    <w:p w14:paraId="7D98EA03" w14:textId="77777777" w:rsidR="007C4426" w:rsidRPr="00F04D2C" w:rsidRDefault="007C4426" w:rsidP="00417290">
      <w:pPr>
        <w:pStyle w:val="NormalHanging12a"/>
        <w:widowControl/>
      </w:pPr>
      <w:r w:rsidRPr="00F04D2C">
        <w:t>–</w:t>
      </w:r>
      <w:r w:rsidRPr="00F04D2C">
        <w:tab/>
        <w:t>като взе предвид Регламент (EС) 2021/691 на Европейския парламент и на Съвета от 28 април 2021 г. относно Европейския фонд за приспособяване към глобализацията за съкратени работници (ЕФПГ) и за отмяна на Регламент (ЕС) № 1309/2013</w:t>
      </w:r>
      <w:r w:rsidRPr="00F04D2C">
        <w:rPr>
          <w:rStyle w:val="FootnoteReference"/>
          <w:noProof/>
        </w:rPr>
        <w:footnoteReference w:id="1"/>
      </w:r>
      <w:r w:rsidRPr="00F04D2C">
        <w:t xml:space="preserve"> („Регламент за ЕФПГ“),</w:t>
      </w:r>
    </w:p>
    <w:p w14:paraId="6E567823" w14:textId="611748B8" w:rsidR="007C4426" w:rsidRPr="00F04D2C" w:rsidRDefault="007C4426" w:rsidP="00417290">
      <w:pPr>
        <w:pStyle w:val="NormalHanging12a"/>
        <w:widowControl/>
        <w:rPr>
          <w:noProof/>
        </w:rPr>
      </w:pPr>
      <w:r w:rsidRPr="00F04D2C">
        <w:t>–</w:t>
      </w:r>
      <w:r w:rsidRPr="00F04D2C">
        <w:tab/>
        <w:t>като взе предвид Регламент (EC, Евратом) 2020/2093 на Съвета от 17 декември 2020 г. за определяне на многогодишната финансова рамка за годините 2021 – 2027</w:t>
      </w:r>
      <w:r w:rsidRPr="00F04D2C">
        <w:rPr>
          <w:rStyle w:val="FootnoteReference"/>
          <w:noProof/>
        </w:rPr>
        <w:footnoteReference w:id="2"/>
      </w:r>
      <w:r w:rsidRPr="00F04D2C">
        <w:t>, изменен с Регламент (ЕС, Евратом) 2024/765</w:t>
      </w:r>
      <w:r w:rsidR="00FE6A36">
        <w:t xml:space="preserve"> на Съвета</w:t>
      </w:r>
      <w:r w:rsidRPr="00F04D2C">
        <w:rPr>
          <w:rStyle w:val="FootnoteReference"/>
          <w:bdr w:val="none" w:sz="0" w:space="0" w:color="auto" w:frame="1"/>
        </w:rPr>
        <w:footnoteReference w:id="3"/>
      </w:r>
      <w:r w:rsidRPr="00F04D2C">
        <w:t>, и по-специално член 8 от него,</w:t>
      </w:r>
    </w:p>
    <w:p w14:paraId="064BCB15" w14:textId="77777777" w:rsidR="007C4426" w:rsidRPr="00F04D2C" w:rsidRDefault="007C4426" w:rsidP="00417290">
      <w:pPr>
        <w:pStyle w:val="NormalHanging12a"/>
        <w:widowControl/>
        <w:rPr>
          <w:noProof/>
        </w:rPr>
      </w:pPr>
      <w:r w:rsidRPr="00F04D2C">
        <w:t>–</w:t>
      </w:r>
      <w:r w:rsidRPr="00F04D2C">
        <w:tab/>
        <w:t xml:space="preserve">като взе предвид Междуинституционалното споразумение от 16 декември 2020 г. между Европейския парламент, Съвета на Европейския съюз и Европейската комисия относно бюджетната дисциплина, сътрудничеството по бюджетни </w:t>
      </w:r>
      <w:r w:rsidRPr="00F04D2C">
        <w:lastRenderedPageBreak/>
        <w:t>въпроси и доброто финансово управление и относно новите собствени ресурси, включително пътна карта за въвеждането на нови собствени ресурси</w:t>
      </w:r>
      <w:r w:rsidRPr="00F04D2C">
        <w:rPr>
          <w:rStyle w:val="FootnoteReference"/>
          <w:noProof/>
        </w:rPr>
        <w:footnoteReference w:id="4"/>
      </w:r>
      <w:r w:rsidRPr="00F04D2C">
        <w:t>, и по-специално точка 9 от него,</w:t>
      </w:r>
    </w:p>
    <w:p w14:paraId="24BA9B8E" w14:textId="77777777" w:rsidR="007C4426" w:rsidRPr="00F04D2C" w:rsidRDefault="007C4426" w:rsidP="00417290">
      <w:pPr>
        <w:pStyle w:val="NormalHanging12a"/>
        <w:widowControl/>
        <w:rPr>
          <w:noProof/>
        </w:rPr>
      </w:pPr>
      <w:r w:rsidRPr="00F04D2C">
        <w:t>–</w:t>
      </w:r>
      <w:r w:rsidRPr="00F04D2C">
        <w:tab/>
        <w:t>като взе предвид принципите на Европейския стълб на социалните права и целите, определени в плана за действие на Европейския стълб на социалните права,</w:t>
      </w:r>
    </w:p>
    <w:p w14:paraId="25EE4F89" w14:textId="77777777" w:rsidR="007C4426" w:rsidRPr="00F04D2C" w:rsidRDefault="007C4426" w:rsidP="00417290">
      <w:pPr>
        <w:pStyle w:val="NormalHanging12a"/>
        <w:widowControl/>
      </w:pPr>
      <w:r w:rsidRPr="00F04D2C">
        <w:t>–</w:t>
      </w:r>
      <w:r w:rsidRPr="00F04D2C">
        <w:tab/>
        <w:t>като взе предвид писмото на комисията по заетост и социални въпроси,</w:t>
      </w:r>
    </w:p>
    <w:p w14:paraId="426DF00B" w14:textId="77777777" w:rsidR="007C4426" w:rsidRPr="00F04D2C" w:rsidRDefault="007C4426" w:rsidP="00417290">
      <w:pPr>
        <w:pStyle w:val="NormalHanging12a"/>
        <w:widowControl/>
      </w:pPr>
      <w:r w:rsidRPr="00F04D2C">
        <w:t>–</w:t>
      </w:r>
      <w:r w:rsidRPr="00F04D2C">
        <w:tab/>
        <w:t>като взе предвид доклада на комисията по бюджети (A10-0019/2024),</w:t>
      </w:r>
    </w:p>
    <w:p w14:paraId="0E9EB575" w14:textId="77777777" w:rsidR="007C4426" w:rsidRPr="00F04D2C" w:rsidRDefault="007C4426" w:rsidP="00417290">
      <w:pPr>
        <w:pStyle w:val="NormalHanging12a"/>
        <w:widowControl/>
      </w:pPr>
      <w:r w:rsidRPr="00F04D2C">
        <w:t>А.</w:t>
      </w:r>
      <w:r w:rsidRPr="00F04D2C">
        <w:tab/>
        <w:t>като има предвид, че Съюзът създаде законодателни и бюджетни инструменти, за да осигури допълнителна подкрепа за работници, които са засегнати от последиците от големи структурни промени в моделите на световната търговия или от последиците на световната финансова и икономическа криза, както и за да подпомогне тяхната реинтеграция на пазара на труда; като има предвид, че тази помощ се предоставя чрез финансова подкрепа за работниците и дружествата, за които те са работили;</w:t>
      </w:r>
    </w:p>
    <w:p w14:paraId="79A40CB6" w14:textId="77777777" w:rsidR="007C4426" w:rsidRPr="00F04D2C" w:rsidRDefault="007C4426" w:rsidP="00417290">
      <w:pPr>
        <w:pStyle w:val="NormalHanging12a"/>
        <w:widowControl/>
      </w:pPr>
      <w:r w:rsidRPr="00F04D2C">
        <w:t>Б.</w:t>
      </w:r>
      <w:r w:rsidRPr="00F04D2C">
        <w:tab/>
        <w:t>като има предвид, че Белгия подаде заявление EGF/2024/002 BE/Limburg machinery and paper за финансов принос от Европейския фонд за приспособяване към глобализацията (ЕФПГ) вследствие на 681 съкращения</w:t>
      </w:r>
      <w:r w:rsidRPr="00F04D2C">
        <w:rPr>
          <w:rStyle w:val="FootnoteReference"/>
        </w:rPr>
        <w:footnoteReference w:id="5"/>
      </w:r>
      <w:r w:rsidRPr="00F04D2C">
        <w:t xml:space="preserve"> в икономическия сектор, класифициран в разделение 17 („Производство на хартия, картон и изделия от хартия и картон“) и в разделение 28 („Производство на машини и оборудване, с общо и специално предназначение“) по NACE Rev. 2 в регион Provincie Limburg (провинция Лимбург) в Белгия в рамките на референтния период за заявлението от 31 декември 2023 г. до 30 април 2024 г.;</w:t>
      </w:r>
    </w:p>
    <w:p w14:paraId="25889FB3" w14:textId="77777777" w:rsidR="007C4426" w:rsidRPr="00F04D2C" w:rsidRDefault="007C4426" w:rsidP="00417290">
      <w:pPr>
        <w:pStyle w:val="NormalHanging12a"/>
        <w:widowControl/>
      </w:pPr>
      <w:r w:rsidRPr="00F04D2C">
        <w:t>В.</w:t>
      </w:r>
      <w:r w:rsidRPr="00F04D2C">
        <w:tab/>
        <w:t xml:space="preserve">като има предвид, че заявлението се отнася до 567 съкратени работници в дружеството Sappi Lanaken NV (хартия) и 114 </w:t>
      </w:r>
      <w:r w:rsidR="00AA2353" w:rsidRPr="00F04D2C">
        <w:t xml:space="preserve">съкратени </w:t>
      </w:r>
      <w:r w:rsidRPr="00F04D2C">
        <w:t xml:space="preserve">работници в дружеството Purmo Group Belgium NV (машини); </w:t>
      </w:r>
    </w:p>
    <w:p w14:paraId="056359FE" w14:textId="77777777" w:rsidR="007C4426" w:rsidRPr="00F04D2C" w:rsidRDefault="007C4426" w:rsidP="00417290">
      <w:pPr>
        <w:pStyle w:val="NormalHanging12a"/>
        <w:widowControl/>
      </w:pPr>
      <w:r w:rsidRPr="00F04D2C">
        <w:t>Г.</w:t>
      </w:r>
      <w:r w:rsidRPr="00F04D2C">
        <w:tab/>
        <w:t>като има предвид, че заявлението се основава на критериите за намеса по член 4, параграф 2, буква в) от Регламента за ЕФПГ, съгласно който е необходимо за референтен период от четири месеца да са били съкратени най-малко 200 работници в предприятия, които извършват дейност в един и същ или в различни икономически сектори и които са разположени в един и същ регион;</w:t>
      </w:r>
    </w:p>
    <w:p w14:paraId="4F800F15" w14:textId="77777777" w:rsidR="007C4426" w:rsidRPr="00F04D2C" w:rsidRDefault="007C4426" w:rsidP="00417290">
      <w:pPr>
        <w:pStyle w:val="NormalHanging12a"/>
        <w:widowControl/>
      </w:pPr>
      <w:r w:rsidRPr="00F04D2C">
        <w:t>Д.</w:t>
      </w:r>
      <w:r w:rsidRPr="00F04D2C">
        <w:tab/>
        <w:t>като има предвид, че пандемията от COVID-19 и руската агресивна война срещу Украйна доведоха до намаляване на икономическата конкурентоспособност и оказват отрицателно въздействие върху икономическия растеж в Белгия;</w:t>
      </w:r>
    </w:p>
    <w:p w14:paraId="7ECF801A" w14:textId="77777777" w:rsidR="007C4426" w:rsidRPr="00F04D2C" w:rsidRDefault="007C4426" w:rsidP="00417290">
      <w:pPr>
        <w:pStyle w:val="NormalHanging12a"/>
        <w:widowControl/>
        <w:rPr>
          <w:rFonts w:eastAsia="Calibri"/>
          <w:szCs w:val="22"/>
        </w:rPr>
      </w:pPr>
      <w:r w:rsidRPr="00F04D2C">
        <w:t>Е.</w:t>
      </w:r>
      <w:r w:rsidRPr="00F04D2C">
        <w:tab/>
        <w:t xml:space="preserve">като има предвид, че дружеството Sappi Lanaken е специализирано в производството на грундирана хартия без дървесина (woodfree coated paper (WCP)); като има предвид, че намаляващото търсене на графични продукти в резултат на повишената цифровизация доведе до нарастващ свръхкапацитет на европейската промишленост за грундирана хартия без дървесина; като има предвид, че производството в Sappi Lanaken не е могло да бъде пренасочено към </w:t>
      </w:r>
      <w:r w:rsidRPr="00F04D2C">
        <w:lastRenderedPageBreak/>
        <w:t xml:space="preserve">други хартиени продукти, които са по-търсени, без големи инвестиции, и че поради това Sappi Group реши да спре производството в Ланакен и да закрие завода, тъй като не е намерен подходящ купувач поради структурен свръхкапацитет в промишлеността; </w:t>
      </w:r>
    </w:p>
    <w:p w14:paraId="79725FBA" w14:textId="77777777" w:rsidR="007C4426" w:rsidRPr="00F04D2C" w:rsidRDefault="007C4426" w:rsidP="00417290">
      <w:pPr>
        <w:pStyle w:val="NormalHanging12a"/>
        <w:widowControl/>
        <w:rPr>
          <w:noProof/>
        </w:rPr>
      </w:pPr>
      <w:r w:rsidRPr="00F04D2C">
        <w:t>Ж.</w:t>
      </w:r>
      <w:r w:rsidRPr="00F04D2C">
        <w:tab/>
        <w:t xml:space="preserve">като има предвид, че производственият обем от панелни радиатори на Purmo Group постоянно намалява през периода 2018 – 2023 г. – от 820 000 единици през 2018 г. на 320 000 през 2023 г. (-60%); като има предвид, че когато се сравняват производствените разходи на различните заводи на Purmo Group в Европа, обектът в Зонховен е в неблагоприятно положение, тъй като разходите му са със 17% до 35% по-високи; като има предвид, че Purmo Group реши да спре производството на 50-милиметрови панелни радиатори в завода си в Зонховен и да затвори съответната производствена линия;  като има предвид, че вследствие на неочакваната ситуация по отношение на наличността и цените на газа, произтичаща от руската агресивна война срещу Украйна, и законодателството на Съюза, благоприятстващо нискотемпературните отоплителни системи в замяна на панелните радиатори, възстановяването на търсенето е малко вероятно, тъй като пазарът на панелни радиатори все повече ще бъде ограничен до подмяна на използваните единици; </w:t>
      </w:r>
    </w:p>
    <w:p w14:paraId="33CF4D32" w14:textId="77777777" w:rsidR="007C4426" w:rsidRPr="00F04D2C" w:rsidRDefault="007C4426" w:rsidP="00417290">
      <w:pPr>
        <w:pStyle w:val="NormalHanging12a"/>
        <w:widowControl/>
      </w:pPr>
      <w:r w:rsidRPr="00F04D2C">
        <w:t>З.</w:t>
      </w:r>
      <w:r w:rsidRPr="00F04D2C">
        <w:tab/>
        <w:t xml:space="preserve">като има предвид, че двете дружества, в съответствие с белгийското законодателство, са следвали задължителната процедура за информиране и консултиране на представителите на работниците и са създали звено по заетостта, чиято цел е да предоставя услуги по пренасочване на работниците, съкратени чрез колективни съкращения; </w:t>
      </w:r>
    </w:p>
    <w:p w14:paraId="32D13CEC" w14:textId="77777777" w:rsidR="007C4426" w:rsidRPr="00F04D2C" w:rsidRDefault="007C4426" w:rsidP="00417290">
      <w:pPr>
        <w:pStyle w:val="NormalHanging12a"/>
        <w:widowControl/>
      </w:pPr>
      <w:r w:rsidRPr="00F04D2C">
        <w:t>И.</w:t>
      </w:r>
      <w:r w:rsidRPr="00F04D2C">
        <w:tab/>
        <w:t>като има предвид, че финансовият принос от ЕФПГ следва да бъде насочен главно към активни мерки на политиката на пазара на труда и персонализирани услуги, целящи бързото реинтегриране на бенефициерите на достойни и устойчиви работни места във или извън първоначалния сектор на тяхната дейност и същевременното им подготвяне за една по-екологична и по-цифровизирана европейска икономика;</w:t>
      </w:r>
    </w:p>
    <w:p w14:paraId="201B07B2" w14:textId="0ED954A5" w:rsidR="007C4426" w:rsidRPr="00F04D2C" w:rsidRDefault="007C4426" w:rsidP="00417290">
      <w:pPr>
        <w:pStyle w:val="NormalHanging12a"/>
        <w:widowControl/>
      </w:pPr>
      <w:r w:rsidRPr="00F04D2C">
        <w:t>Й.</w:t>
      </w:r>
      <w:r w:rsidRPr="00F04D2C">
        <w:tab/>
        <w:t>като има предвид, че ЕФПГ не надхвърля максимален годишен размер от 30 милиона евро (по цени от 2018 г.), както е посочено в член 8 от Регламент (ЕС, Евратом) 2020/2093 на Съвета, изменен с Регламент (ЕС, Евратом) 2024/765</w:t>
      </w:r>
      <w:r w:rsidR="00FE6A36" w:rsidRPr="00F04D2C">
        <w:t xml:space="preserve"> на Съвета</w:t>
      </w:r>
      <w:r w:rsidRPr="00F04D2C">
        <w:t>;</w:t>
      </w:r>
    </w:p>
    <w:p w14:paraId="480308F6" w14:textId="77777777" w:rsidR="007C4426" w:rsidRPr="00F04D2C" w:rsidRDefault="007C4426" w:rsidP="00417290">
      <w:pPr>
        <w:pStyle w:val="NormalHanging12a"/>
        <w:widowControl/>
      </w:pPr>
      <w:r w:rsidRPr="00F04D2C">
        <w:t>1.</w:t>
      </w:r>
      <w:r w:rsidRPr="00F04D2C">
        <w:tab/>
        <w:t>изразява съгласие с Комисията, че условията по член 4, параграф 2, буква в) от Регламента за ЕФПГ са изпълнени и че Белгия има право на финансов принос в размер на 704 135 EUR съгласно посочения регламент, което съставлява 60% от общите разходи в размер на 1 173 559 EUR, като те включват разходи за персонализирани услуги в размер на 1 126 559 EUR и разходи за дейности по подготовка, управление, информация и публичност, контрол и докладване в размер на 47 000 EUR;</w:t>
      </w:r>
    </w:p>
    <w:p w14:paraId="377BA247" w14:textId="77777777" w:rsidR="007C4426" w:rsidRPr="00F04D2C" w:rsidRDefault="007C4426" w:rsidP="00417290">
      <w:pPr>
        <w:pStyle w:val="NormalHanging12a"/>
        <w:widowControl/>
      </w:pPr>
      <w:r w:rsidRPr="00F04D2C">
        <w:t>2.</w:t>
      </w:r>
      <w:r w:rsidRPr="00F04D2C">
        <w:tab/>
        <w:t xml:space="preserve">отбелязва, че белгийските органи са подали заявлението на 19 юли 2024 г. и че след като Белгия е предоставила допълнителна информация, Комисията е приключила оценката си на 5 ноември 2024 г. и е уведомила Парламента за това на същия ден; </w:t>
      </w:r>
    </w:p>
    <w:p w14:paraId="1D0D60A0" w14:textId="77777777" w:rsidR="007C4426" w:rsidRPr="00F04D2C" w:rsidRDefault="007C4426" w:rsidP="00417290">
      <w:pPr>
        <w:pStyle w:val="NormalHanging12a"/>
        <w:widowControl/>
      </w:pPr>
      <w:r w:rsidRPr="00F04D2C">
        <w:lastRenderedPageBreak/>
        <w:t>3.</w:t>
      </w:r>
      <w:r w:rsidRPr="00F04D2C">
        <w:tab/>
        <w:t xml:space="preserve">отбелязва, че заявлението се отнася до 567 съкратени работници в дружеството Sappi Lanaken и 114 </w:t>
      </w:r>
      <w:r w:rsidR="00AA2353" w:rsidRPr="00F04D2C">
        <w:t xml:space="preserve">съкратени </w:t>
      </w:r>
      <w:r w:rsidRPr="00F04D2C">
        <w:t>работници в дружеството Purmo Group Belgium;</w:t>
      </w:r>
      <w:r w:rsidRPr="00F04D2C">
        <w:rPr>
          <w:color w:val="000000"/>
        </w:rPr>
        <w:t xml:space="preserve"> отбелязва освен това, че общо 632 работници ще бъдат бенефициери от целевата група, почти само мъже;</w:t>
      </w:r>
    </w:p>
    <w:p w14:paraId="2540A402" w14:textId="77777777" w:rsidR="007C4426" w:rsidRPr="00F04D2C" w:rsidRDefault="007C4426" w:rsidP="00417290">
      <w:pPr>
        <w:pStyle w:val="NormalHanging12a"/>
        <w:widowControl/>
      </w:pPr>
      <w:r w:rsidRPr="00F04D2C">
        <w:t>4.</w:t>
      </w:r>
      <w:r w:rsidRPr="00F04D2C">
        <w:tab/>
        <w:t>подчертава, че пазарите на труда на Ланакен и Зонховен са в неблагоприятно положение в сравнение с Лимбург като цяло или с Фландрия, като съотношението на работещото население към наличните работни места е значително по-ниско, отколкото в Лимбург като цяло или във Фландрия; подчертава, че броят на наличните работни места в промишлеността в Лимбург е намалял с 15% през 2023 г.;</w:t>
      </w:r>
    </w:p>
    <w:p w14:paraId="3BE097F3" w14:textId="77777777" w:rsidR="007C4426" w:rsidRPr="00F04D2C" w:rsidRDefault="007C4426" w:rsidP="00417290">
      <w:pPr>
        <w:pStyle w:val="NormalHanging12a"/>
        <w:widowControl/>
      </w:pPr>
      <w:r w:rsidRPr="00F04D2C">
        <w:t>5.</w:t>
      </w:r>
      <w:r w:rsidRPr="00F04D2C">
        <w:tab/>
        <w:t xml:space="preserve">посочва, че профилите на съкратените работници, една трета от които са на възраст 55 години или повече, а 30% са с ниска степен на образование, водят до сериозни пречки на пазара на труда; подчертава, че като се има предвид низходящата тенденция по отношение на свободните работни места и тяхното географско разпределение, работниците ще се нуждаят от допълнителна съобразена с нуждите подкрепа, за да им се помогне да осъществят успешно прехода към заетост; </w:t>
      </w:r>
    </w:p>
    <w:p w14:paraId="32321A19" w14:textId="77777777" w:rsidR="007C4426" w:rsidRPr="00F04D2C" w:rsidRDefault="007C4426" w:rsidP="00417290">
      <w:pPr>
        <w:pStyle w:val="NormalHanging12a"/>
        <w:widowControl/>
      </w:pPr>
      <w:r w:rsidRPr="00F04D2C">
        <w:t>6.</w:t>
      </w:r>
      <w:r w:rsidRPr="00F04D2C">
        <w:tab/>
        <w:t>припомня, че белгийските органи следва да посочват произхода и да гарантират видимостта на финансирането от Съюза, а така също и да подчертават добавената стойност на интервенцията на Съюза, като осигуряват последователна, ефективна и целенасочена информация за различни видове публика, включително целенасочена информация за бенефициерите, местните и регионалните органи, социалните партньори, медиите и обществеността;</w:t>
      </w:r>
    </w:p>
    <w:p w14:paraId="471FFC3C" w14:textId="77777777" w:rsidR="007C4426" w:rsidRPr="00F04D2C" w:rsidRDefault="007C4426" w:rsidP="00417290">
      <w:pPr>
        <w:pStyle w:val="NormalHanging12a"/>
        <w:widowControl/>
      </w:pPr>
      <w:r w:rsidRPr="00F04D2C">
        <w:t>7.</w:t>
      </w:r>
      <w:r w:rsidRPr="00F04D2C">
        <w:tab/>
        <w:t>счита, че е социална отговорност на Съюза и държавите членки да предоставят на засегнатите работници възможност да получат необходимите квалификации за бъдеща заетост, като се има предвид, че цифровият и екологичният преход оказват значително въздействие върху техните сектори, като същевременно водят до намаляване на търсенето; приветства факта, че съгласуваният пакет от персонализирани услуги е изготвен от Белгия в консултация с бенефициерите от целевата група, техните представители и социалните партньори;</w:t>
      </w:r>
    </w:p>
    <w:p w14:paraId="311C6AC1" w14:textId="77777777" w:rsidR="007C4426" w:rsidRPr="00F04D2C" w:rsidRDefault="007C4426" w:rsidP="00417290">
      <w:pPr>
        <w:pStyle w:val="NormalHanging12a"/>
        <w:widowControl/>
      </w:pPr>
      <w:r w:rsidRPr="00F04D2C">
        <w:t>8.</w:t>
      </w:r>
      <w:r w:rsidRPr="00F04D2C">
        <w:tab/>
        <w:t>подчертава, че предоставяната от ЕФПГ подкрепа трябва да бъде включена в по-широка стратегия за засегнатите работници и региона на всички политически равнища, включително чрез подкрепа за съответните инструменти за финансиране на Съюза, с цел да се гарантира, че никой няма да бъде изоставен в цифровия и климатичния преход;</w:t>
      </w:r>
    </w:p>
    <w:p w14:paraId="2A38499A" w14:textId="77777777" w:rsidR="007C4426" w:rsidRPr="00F04D2C" w:rsidRDefault="007C4426" w:rsidP="00417290">
      <w:pPr>
        <w:pStyle w:val="NormalHanging12a"/>
        <w:widowControl/>
      </w:pPr>
      <w:r w:rsidRPr="00F04D2C">
        <w:t>9.</w:t>
      </w:r>
      <w:r w:rsidRPr="00F04D2C">
        <w:tab/>
        <w:t>припомня, че персонализираните услуги, които се предвижда да бъдат предоставени на работниците, включват следните действия: съветник по социална интервенция, насоки, консултации и професионална ориентация, подкрепа за активно търсене на работа, обучение, преквалификация и професионално обучение, включително обучение в областта на цифровите умения, както и обучение на работното място;</w:t>
      </w:r>
    </w:p>
    <w:p w14:paraId="4C6C6A78" w14:textId="77777777" w:rsidR="007C4426" w:rsidRPr="00F04D2C" w:rsidRDefault="007C4426" w:rsidP="00417290">
      <w:pPr>
        <w:pStyle w:val="NormalHanging12a"/>
        <w:widowControl/>
      </w:pPr>
      <w:r w:rsidRPr="00F04D2C">
        <w:t>10.</w:t>
      </w:r>
      <w:r w:rsidRPr="00F04D2C">
        <w:tab/>
        <w:t xml:space="preserve">отбелязва, че Белгия е започнала да предоставя персонализирани услуги на бенефициерите от целевата група на 26 декември 2023 г. и че следователно периодът на допустимост за предоставяне на финансов принос от ЕФПГ ще бъде </w:t>
      </w:r>
      <w:r w:rsidRPr="00F04D2C">
        <w:lastRenderedPageBreak/>
        <w:t>от тази дата до 24 месеца след датата на влизане в сила на решението за финансиране;</w:t>
      </w:r>
    </w:p>
    <w:p w14:paraId="763D490B" w14:textId="77777777" w:rsidR="007C4426" w:rsidRPr="00F04D2C" w:rsidRDefault="007C4426" w:rsidP="00417290">
      <w:pPr>
        <w:pStyle w:val="NormalHanging12a"/>
        <w:widowControl/>
        <w:rPr>
          <w:sz w:val="23"/>
          <w:szCs w:val="23"/>
        </w:rPr>
      </w:pPr>
      <w:r w:rsidRPr="00F04D2C">
        <w:t>11.</w:t>
      </w:r>
      <w:r w:rsidRPr="00F04D2C">
        <w:tab/>
        <w:t>отбелязва, че Белгия е започнала да извършва административни разходи по прилагането на ЕФПГ на 20 ноември 2023 г. и че следователно тези разходи ще бъдат допустими за финансов принос от ЕФПГ от тази дата до 31 месеца след датата на влизане в сила на решението за финансиране;</w:t>
      </w:r>
    </w:p>
    <w:p w14:paraId="282827D4" w14:textId="77777777" w:rsidR="007C4426" w:rsidRPr="00F04D2C" w:rsidRDefault="007C4426" w:rsidP="00417290">
      <w:pPr>
        <w:pStyle w:val="NormalHanging12a"/>
        <w:widowControl/>
      </w:pPr>
      <w:r w:rsidRPr="00F04D2C">
        <w:t>12.</w:t>
      </w:r>
      <w:r w:rsidRPr="00F04D2C">
        <w:tab/>
        <w:t>подчертава, че белгийските органи са потвърдили, че принципите на равно третиране и недискриминация ще бъдат спазвани при достъпа до предложените действия и тяхното изпълнение, както и че няма да бъде допуснато дублиране на финансирането;</w:t>
      </w:r>
    </w:p>
    <w:p w14:paraId="278CBB2C" w14:textId="77777777" w:rsidR="007C4426" w:rsidRPr="00F04D2C" w:rsidRDefault="007C4426" w:rsidP="00417290">
      <w:pPr>
        <w:pStyle w:val="NormalHanging12a"/>
        <w:widowControl/>
      </w:pPr>
      <w:r w:rsidRPr="00F04D2C">
        <w:t>13.</w:t>
      </w:r>
      <w:r w:rsidRPr="00F04D2C">
        <w:tab/>
        <w:t>заявява отново, че помощта от ЕФПГ не трябва да замества действията, които са задължение на предприятията по силата на националното законодателство или на колективни трудови договори, нито каквито и да е обезщетения или права на съкратените работници, за да се гарантира, че предоставените финансови средства са с изцяло допълващ характер; припомня, че държавите членки, които кандидатстват за подкрепа от ЕФПГ, трябва да гарантират, че са спазени изискванията, определени в националното законодателство и в законодателството на Съюза относно колективните съкращения, и че съответното дружество е предприело необходимите действия по отношение на своите работници;</w:t>
      </w:r>
    </w:p>
    <w:p w14:paraId="5CF54194" w14:textId="77777777" w:rsidR="007C4426" w:rsidRPr="00F04D2C" w:rsidRDefault="007C4426" w:rsidP="00417290">
      <w:pPr>
        <w:pStyle w:val="NormalHanging12a"/>
        <w:widowControl/>
      </w:pPr>
      <w:r w:rsidRPr="00F04D2C">
        <w:t>14.</w:t>
      </w:r>
      <w:r w:rsidRPr="00F04D2C">
        <w:tab/>
        <w:t>призовава белгийските органи и другите държави членки да предприемат превантивни мерки по проактивен начин с цел адаптиране на промишлеността към глобализацията и към технологичните и екологичните промени и защита на работниците от загубата на работни места и други отрицателни последици от глобализацията;</w:t>
      </w:r>
    </w:p>
    <w:p w14:paraId="47E1A641" w14:textId="77777777" w:rsidR="007C4426" w:rsidRPr="00F04D2C" w:rsidRDefault="007C4426" w:rsidP="00417290">
      <w:pPr>
        <w:pStyle w:val="NormalHanging12a"/>
        <w:widowControl/>
      </w:pPr>
      <w:r w:rsidRPr="00F04D2C">
        <w:t>15.</w:t>
      </w:r>
      <w:r w:rsidRPr="00F04D2C">
        <w:tab/>
        <w:t>одобрява приложеното към настоящата резолюция решение;</w:t>
      </w:r>
    </w:p>
    <w:p w14:paraId="36B3DD23" w14:textId="77777777" w:rsidR="007C4426" w:rsidRPr="00F04D2C" w:rsidRDefault="007C4426" w:rsidP="00417290">
      <w:pPr>
        <w:pStyle w:val="NormalHanging12a"/>
        <w:widowControl/>
      </w:pPr>
      <w:r w:rsidRPr="00F04D2C">
        <w:t>16.</w:t>
      </w:r>
      <w:r w:rsidRPr="00F04D2C">
        <w:tab/>
        <w:t xml:space="preserve">възлага на своя председател да подпише настоящото решение заедно с председателя на Съвета и да осигури публикуването му в </w:t>
      </w:r>
      <w:r w:rsidRPr="00F04D2C">
        <w:rPr>
          <w:i/>
          <w:iCs/>
        </w:rPr>
        <w:t>Официален вестник на Европейския съюз</w:t>
      </w:r>
      <w:r w:rsidRPr="00F04D2C">
        <w:t>;</w:t>
      </w:r>
    </w:p>
    <w:p w14:paraId="2D37532B" w14:textId="77777777" w:rsidR="007C4426" w:rsidRPr="00F04D2C" w:rsidRDefault="007C4426" w:rsidP="00417290">
      <w:pPr>
        <w:pStyle w:val="NormalHanging12a"/>
        <w:widowControl/>
      </w:pPr>
      <w:r w:rsidRPr="00F04D2C">
        <w:t>17.</w:t>
      </w:r>
      <w:r w:rsidRPr="00F04D2C">
        <w:tab/>
        <w:t>възлага на своя председател да предаде настоящата резолюция, включително и приложението към нея, съответно на Съвета и на Комисията.</w:t>
      </w:r>
    </w:p>
    <w:p w14:paraId="3E7E6F17" w14:textId="77777777" w:rsidR="007C4426" w:rsidRPr="00F04D2C" w:rsidRDefault="007C4426" w:rsidP="00417290">
      <w:pPr>
        <w:pStyle w:val="NormalHanging12a"/>
        <w:widowControl/>
        <w:rPr>
          <w:szCs w:val="24"/>
        </w:rPr>
      </w:pPr>
      <w:r w:rsidRPr="00F04D2C">
        <w:br w:type="page"/>
      </w:r>
    </w:p>
    <w:p w14:paraId="1378905D" w14:textId="36F62AF5" w:rsidR="00AA2353" w:rsidRPr="00FB1DFB" w:rsidRDefault="007C4426" w:rsidP="00FB1DFB">
      <w:pPr>
        <w:pStyle w:val="PageHeading"/>
        <w:widowControl/>
        <w:rPr>
          <w:rFonts w:ascii="Times New Roman" w:hAnsi="Times New Roman" w:cs="Times New Roman"/>
        </w:rPr>
      </w:pPr>
      <w:bookmarkStart w:id="7" w:name="_Toc183706149"/>
      <w:r w:rsidRPr="00FB1DFB">
        <w:rPr>
          <w:rFonts w:ascii="Times New Roman" w:hAnsi="Times New Roman" w:cs="Times New Roman"/>
        </w:rPr>
        <w:lastRenderedPageBreak/>
        <w:t>ПРИЛОЖЕНИЕ</w:t>
      </w:r>
    </w:p>
    <w:p w14:paraId="1346EC72" w14:textId="77777777" w:rsidR="007C4426" w:rsidRPr="00F04D2C" w:rsidRDefault="007C4426" w:rsidP="007C4426">
      <w:pPr>
        <w:pStyle w:val="PageHeading"/>
        <w:widowControl/>
        <w:rPr>
          <w:noProof/>
        </w:rPr>
      </w:pPr>
      <w:r w:rsidRPr="00FB1DFB">
        <w:rPr>
          <w:rFonts w:ascii="Times New Roman" w:hAnsi="Times New Roman" w:cs="Times New Roman"/>
        </w:rPr>
        <w:t>РЕШЕНИЕ НА ЕВРОПЕЙСКИЯ ПАРЛАМЕНТ И НА СЪВЕТА</w:t>
      </w:r>
      <w:bookmarkEnd w:id="7"/>
    </w:p>
    <w:p w14:paraId="22E98EC8" w14:textId="6AD60982" w:rsidR="007C4426" w:rsidRPr="00F04D2C" w:rsidRDefault="007C4426" w:rsidP="007C4426">
      <w:pPr>
        <w:pStyle w:val="NormalBold24a"/>
        <w:widowControl/>
        <w:jc w:val="center"/>
        <w:rPr>
          <w:color w:val="000000"/>
          <w:sz w:val="20"/>
        </w:rPr>
      </w:pPr>
      <w:r w:rsidRPr="00F04D2C">
        <w:t>за мобилизиране на средства от Европейския фонд за приспособяване към глобализацията за съкратени работници във връзка със заявление от Белгия (EGF/2024/002 BE/Limburg machinery and paper)</w:t>
      </w:r>
    </w:p>
    <w:p w14:paraId="3001201E" w14:textId="3697017A" w:rsidR="00E365E1" w:rsidRPr="00F04D2C" w:rsidRDefault="00FB1DFB" w:rsidP="00FB1DFB">
      <w:pPr>
        <w:pStyle w:val="Institutionquiagit"/>
        <w:tabs>
          <w:tab w:val="left" w:pos="567"/>
          <w:tab w:val="left" w:pos="1134"/>
        </w:tabs>
        <w:jc w:val="left"/>
      </w:pPr>
      <w:r w:rsidRPr="0051470D">
        <w:rPr>
          <w:i/>
          <w:szCs w:val="24"/>
          <w:lang w:eastAsia="de-DE"/>
        </w:rPr>
        <w:t>(Текстът на това приложение не е възпроизведен тук, тъй като той съответства на окончателния а</w:t>
      </w:r>
      <w:r w:rsidRPr="00FB1DFB">
        <w:rPr>
          <w:i/>
          <w:szCs w:val="24"/>
          <w:lang w:eastAsia="de-DE"/>
        </w:rPr>
        <w:t xml:space="preserve">кт, Решение </w:t>
      </w:r>
      <w:r w:rsidRPr="00FB1DFB">
        <w:rPr>
          <w:i/>
          <w:szCs w:val="24"/>
          <w:lang w:val="lt-LT" w:eastAsia="de-DE"/>
        </w:rPr>
        <w:t>(</w:t>
      </w:r>
      <w:r w:rsidRPr="00FB1DFB">
        <w:rPr>
          <w:i/>
          <w:szCs w:val="24"/>
          <w:lang w:eastAsia="de-DE"/>
        </w:rPr>
        <w:t>ЕС</w:t>
      </w:r>
      <w:r w:rsidRPr="00FB1DFB">
        <w:rPr>
          <w:i/>
          <w:szCs w:val="24"/>
          <w:lang w:val="lt-LT" w:eastAsia="de-DE"/>
        </w:rPr>
        <w:t xml:space="preserve">) </w:t>
      </w:r>
      <w:r w:rsidRPr="00FB1DFB">
        <w:rPr>
          <w:i/>
          <w:iCs/>
          <w:szCs w:val="24"/>
        </w:rPr>
        <w:t>2025/47</w:t>
      </w:r>
      <w:r w:rsidRPr="00FB1DFB">
        <w:rPr>
          <w:i/>
          <w:szCs w:val="24"/>
          <w:lang w:eastAsia="de-DE"/>
        </w:rPr>
        <w:t>.)</w:t>
      </w:r>
      <w:bookmarkStart w:id="8" w:name="_GoBack"/>
      <w:bookmarkEnd w:id="8"/>
    </w:p>
    <w:sectPr w:rsidR="00E365E1" w:rsidRPr="00F04D2C" w:rsidSect="00F04D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1A3B6" w14:textId="77777777" w:rsidR="00FF43EA" w:rsidRPr="00F04D2C" w:rsidRDefault="00FF43EA">
      <w:r w:rsidRPr="00F04D2C">
        <w:separator/>
      </w:r>
    </w:p>
  </w:endnote>
  <w:endnote w:type="continuationSeparator" w:id="0">
    <w:p w14:paraId="3A5E5073" w14:textId="77777777" w:rsidR="00FF43EA" w:rsidRPr="00F04D2C" w:rsidRDefault="00FF43EA">
      <w:r w:rsidRPr="00F04D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5FF40" w14:textId="77777777" w:rsidR="00064002" w:rsidRPr="00F04D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7F1AC" w14:textId="77777777" w:rsidR="00064002" w:rsidRPr="00F04D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74A6C" w14:textId="77777777" w:rsidR="00064002" w:rsidRPr="00F04D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271D2" w14:textId="77777777" w:rsidR="00FF43EA" w:rsidRPr="00F04D2C" w:rsidRDefault="00FF43EA">
      <w:r w:rsidRPr="00F04D2C">
        <w:separator/>
      </w:r>
    </w:p>
  </w:footnote>
  <w:footnote w:type="continuationSeparator" w:id="0">
    <w:p w14:paraId="17C43D8F" w14:textId="77777777" w:rsidR="00FF43EA" w:rsidRPr="00F04D2C" w:rsidRDefault="00FF43EA">
      <w:r w:rsidRPr="00F04D2C">
        <w:continuationSeparator/>
      </w:r>
    </w:p>
  </w:footnote>
  <w:footnote w:id="1">
    <w:p w14:paraId="77CEC3FC" w14:textId="77777777" w:rsidR="007C4426" w:rsidRPr="00F04D2C" w:rsidRDefault="007C4426" w:rsidP="00F04D2C">
      <w:pPr>
        <w:pStyle w:val="FootnoteText"/>
        <w:ind w:left="567" w:hanging="567"/>
        <w:rPr>
          <w:sz w:val="24"/>
          <w:lang w:val="bg-BG"/>
        </w:rPr>
      </w:pPr>
      <w:r w:rsidRPr="00F04D2C">
        <w:rPr>
          <w:rStyle w:val="FootnoteReference"/>
          <w:sz w:val="24"/>
          <w:lang w:val="bg-BG"/>
        </w:rPr>
        <w:footnoteRef/>
      </w:r>
      <w:r w:rsidR="00F04D2C" w:rsidRPr="00F04D2C">
        <w:rPr>
          <w:sz w:val="24"/>
          <w:lang w:val="bg-BG"/>
        </w:rPr>
        <w:t xml:space="preserve"> </w:t>
      </w:r>
      <w:r w:rsidR="00F04D2C" w:rsidRPr="00F04D2C">
        <w:rPr>
          <w:sz w:val="24"/>
          <w:lang w:val="bg-BG"/>
        </w:rPr>
        <w:tab/>
      </w:r>
      <w:r w:rsidRPr="00F04D2C">
        <w:rPr>
          <w:sz w:val="24"/>
          <w:lang w:val="bg-BG"/>
        </w:rPr>
        <w:t xml:space="preserve">ОВ L 153, 3.5.2021 г., стр. 48, </w:t>
      </w:r>
      <w:r w:rsidR="00AA2353" w:rsidRPr="009826BE">
        <w:rPr>
          <w:sz w:val="24"/>
          <w:lang w:val="fi-FI"/>
        </w:rPr>
        <w:t xml:space="preserve">ELI: </w:t>
      </w:r>
      <w:hyperlink r:id="rId1" w:history="1">
        <w:r w:rsidR="00AA2353" w:rsidRPr="00F93689">
          <w:rPr>
            <w:rStyle w:val="Hyperlink"/>
            <w:sz w:val="24"/>
            <w:lang w:val="bg-BG"/>
          </w:rPr>
          <w:t>http://data.europa.eu/eli/reg/2021/691/oj</w:t>
        </w:r>
      </w:hyperlink>
      <w:r w:rsidRPr="00F04D2C">
        <w:rPr>
          <w:sz w:val="24"/>
          <w:lang w:val="bg-BG"/>
        </w:rPr>
        <w:t>.</w:t>
      </w:r>
    </w:p>
  </w:footnote>
  <w:footnote w:id="2">
    <w:p w14:paraId="52419AD3" w14:textId="77777777" w:rsidR="007C4426" w:rsidRPr="00F04D2C" w:rsidRDefault="007C4426" w:rsidP="00F04D2C">
      <w:pPr>
        <w:pStyle w:val="FootnoteText"/>
        <w:ind w:left="567" w:hanging="567"/>
        <w:rPr>
          <w:sz w:val="24"/>
          <w:lang w:val="bg-BG"/>
        </w:rPr>
      </w:pPr>
      <w:r w:rsidRPr="00F04D2C">
        <w:rPr>
          <w:rStyle w:val="FootnoteReference"/>
          <w:sz w:val="24"/>
          <w:lang w:val="bg-BG"/>
        </w:rPr>
        <w:footnoteRef/>
      </w:r>
      <w:r w:rsidR="00F04D2C" w:rsidRPr="00F04D2C">
        <w:rPr>
          <w:sz w:val="24"/>
          <w:lang w:val="bg-BG"/>
        </w:rPr>
        <w:t xml:space="preserve"> </w:t>
      </w:r>
      <w:r w:rsidR="00F04D2C" w:rsidRPr="00F04D2C">
        <w:rPr>
          <w:sz w:val="24"/>
          <w:lang w:val="bg-BG"/>
        </w:rPr>
        <w:tab/>
      </w:r>
      <w:r w:rsidRPr="00F04D2C">
        <w:rPr>
          <w:sz w:val="24"/>
          <w:lang w:val="bg-BG"/>
        </w:rPr>
        <w:t xml:space="preserve">ОВ L 433 I, 22.12.2020 г., стр. 11, ELI: </w:t>
      </w:r>
      <w:hyperlink r:id="rId2" w:history="1">
        <w:r w:rsidR="00AA2353" w:rsidRPr="00F93689">
          <w:rPr>
            <w:rStyle w:val="Hyperlink"/>
            <w:sz w:val="24"/>
            <w:lang w:val="bg-BG"/>
          </w:rPr>
          <w:t>http://data.europa.eu/eli/reg/2020/2093/oj</w:t>
        </w:r>
      </w:hyperlink>
      <w:r w:rsidRPr="00F04D2C">
        <w:rPr>
          <w:sz w:val="24"/>
          <w:lang w:val="bg-BG"/>
        </w:rPr>
        <w:t>.</w:t>
      </w:r>
    </w:p>
  </w:footnote>
  <w:footnote w:id="3">
    <w:p w14:paraId="39DD694B" w14:textId="77777777" w:rsidR="007C4426" w:rsidRPr="00F04D2C" w:rsidRDefault="007C4426" w:rsidP="00F04D2C">
      <w:pPr>
        <w:pStyle w:val="FootnoteText"/>
        <w:ind w:left="567" w:hanging="567"/>
        <w:rPr>
          <w:sz w:val="24"/>
          <w:lang w:val="bg-BG"/>
        </w:rPr>
      </w:pPr>
      <w:r w:rsidRPr="00F04D2C">
        <w:rPr>
          <w:rStyle w:val="FootnoteReference"/>
          <w:sz w:val="24"/>
          <w:lang w:val="bg-BG"/>
        </w:rPr>
        <w:footnoteRef/>
      </w:r>
      <w:r w:rsidR="00F04D2C" w:rsidRPr="00F04D2C">
        <w:rPr>
          <w:sz w:val="24"/>
          <w:shd w:val="clear" w:color="auto" w:fill="FFFFFF"/>
          <w:lang w:val="bg-BG"/>
        </w:rPr>
        <w:t xml:space="preserve"> </w:t>
      </w:r>
      <w:r w:rsidR="00F04D2C" w:rsidRPr="00F04D2C">
        <w:rPr>
          <w:sz w:val="24"/>
          <w:shd w:val="clear" w:color="auto" w:fill="FFFFFF"/>
          <w:lang w:val="bg-BG"/>
        </w:rPr>
        <w:tab/>
      </w:r>
      <w:r w:rsidRPr="00F04D2C">
        <w:rPr>
          <w:sz w:val="24"/>
          <w:shd w:val="clear" w:color="auto" w:fill="FFFFFF"/>
          <w:lang w:val="bg-BG"/>
        </w:rPr>
        <w:t>Регламент (ЕС, Евратом) 2024/765 на Съвета от 29 февруари 2024 г. за изменение на Регламент (EC, Евратом) 2020/2093 за определяне на многогодишната финансова рамка за годините 2021 – 2027 (</w:t>
      </w:r>
      <w:r w:rsidRPr="00F04D2C">
        <w:rPr>
          <w:sz w:val="24"/>
          <w:lang w:val="bg-BG"/>
        </w:rPr>
        <w:t xml:space="preserve">ОВ L, 2024/765, 29.2.2024 г., </w:t>
      </w:r>
      <w:r w:rsidRPr="00417290">
        <w:rPr>
          <w:rStyle w:val="Emphasis"/>
          <w:i w:val="0"/>
          <w:sz w:val="24"/>
          <w:shd w:val="clear" w:color="auto" w:fill="FFFFFF"/>
          <w:lang w:val="bg-BG"/>
        </w:rPr>
        <w:t xml:space="preserve">ELI: </w:t>
      </w:r>
      <w:hyperlink r:id="rId3" w:history="1">
        <w:r w:rsidR="00AA2353" w:rsidRPr="00F93689">
          <w:rPr>
            <w:rStyle w:val="Hyperlink"/>
            <w:sz w:val="24"/>
            <w:shd w:val="clear" w:color="auto" w:fill="FFFFFF"/>
            <w:lang w:val="bg-BG"/>
          </w:rPr>
          <w:t>http://data.europa.eu/eli/reg/2024/765/oj</w:t>
        </w:r>
      </w:hyperlink>
      <w:r w:rsidRPr="00417290">
        <w:rPr>
          <w:rStyle w:val="Emphasis"/>
          <w:i w:val="0"/>
          <w:sz w:val="24"/>
          <w:shd w:val="clear" w:color="auto" w:fill="FFFFFF"/>
          <w:lang w:val="bg-BG"/>
        </w:rPr>
        <w:t>)</w:t>
      </w:r>
      <w:r w:rsidRPr="00F04D2C">
        <w:rPr>
          <w:rStyle w:val="Emphasis"/>
          <w:sz w:val="24"/>
          <w:shd w:val="clear" w:color="auto" w:fill="FFFFFF"/>
          <w:lang w:val="bg-BG"/>
        </w:rPr>
        <w:t>.</w:t>
      </w:r>
    </w:p>
  </w:footnote>
  <w:footnote w:id="4">
    <w:p w14:paraId="7E1D3783" w14:textId="77777777" w:rsidR="007C4426" w:rsidRPr="00F04D2C" w:rsidRDefault="007C4426" w:rsidP="00F04D2C">
      <w:pPr>
        <w:pStyle w:val="FootnoteText"/>
        <w:ind w:left="567" w:hanging="567"/>
        <w:rPr>
          <w:sz w:val="24"/>
          <w:lang w:val="bg-BG"/>
        </w:rPr>
      </w:pPr>
      <w:r w:rsidRPr="00F04D2C">
        <w:rPr>
          <w:rStyle w:val="FootnoteReference"/>
          <w:sz w:val="24"/>
          <w:lang w:val="bg-BG"/>
        </w:rPr>
        <w:footnoteRef/>
      </w:r>
      <w:r w:rsidR="00F04D2C" w:rsidRPr="00F04D2C">
        <w:rPr>
          <w:sz w:val="24"/>
          <w:lang w:val="bg-BG"/>
        </w:rPr>
        <w:t xml:space="preserve"> </w:t>
      </w:r>
      <w:r w:rsidR="00F04D2C" w:rsidRPr="00F04D2C">
        <w:rPr>
          <w:sz w:val="24"/>
          <w:lang w:val="bg-BG"/>
        </w:rPr>
        <w:tab/>
      </w:r>
      <w:r w:rsidRPr="00F04D2C">
        <w:rPr>
          <w:sz w:val="24"/>
          <w:lang w:val="bg-BG"/>
        </w:rPr>
        <w:t xml:space="preserve">ОВ L 433 I, 22.12.2020 г., стр. 28, ELI: </w:t>
      </w:r>
      <w:hyperlink r:id="rId4" w:history="1">
        <w:r w:rsidR="00AA2353" w:rsidRPr="00F93689"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F04D2C">
        <w:rPr>
          <w:sz w:val="24"/>
          <w:lang w:val="bg-BG"/>
        </w:rPr>
        <w:t>.</w:t>
      </w:r>
    </w:p>
  </w:footnote>
  <w:footnote w:id="5">
    <w:p w14:paraId="41E7918E" w14:textId="77777777" w:rsidR="007C4426" w:rsidRPr="00F04D2C" w:rsidRDefault="007C4426" w:rsidP="00F04D2C">
      <w:pPr>
        <w:pStyle w:val="FootnoteText"/>
        <w:ind w:left="567" w:hanging="567"/>
        <w:rPr>
          <w:sz w:val="24"/>
          <w:lang w:val="bg-BG"/>
        </w:rPr>
      </w:pPr>
      <w:r w:rsidRPr="00F04D2C">
        <w:rPr>
          <w:rStyle w:val="FootnoteReference"/>
          <w:sz w:val="24"/>
          <w:lang w:val="bg-BG"/>
        </w:rPr>
        <w:footnoteRef/>
      </w:r>
      <w:r w:rsidR="00F04D2C" w:rsidRPr="00F04D2C">
        <w:rPr>
          <w:sz w:val="24"/>
          <w:lang w:val="bg-BG"/>
        </w:rPr>
        <w:t xml:space="preserve"> </w:t>
      </w:r>
      <w:r w:rsidR="00F04D2C" w:rsidRPr="00F04D2C">
        <w:rPr>
          <w:sz w:val="24"/>
          <w:lang w:val="bg-BG"/>
        </w:rPr>
        <w:tab/>
      </w:r>
      <w:r w:rsidRPr="00F04D2C">
        <w:rPr>
          <w:sz w:val="24"/>
          <w:lang w:val="bg-BG"/>
        </w:rPr>
        <w:t>По смисъла на член 3 от Регламента за ЕФПГ.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104C4" w14:textId="77777777" w:rsidR="00064002" w:rsidRPr="00F04D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E473F" w14:textId="77777777" w:rsidR="00064002" w:rsidRPr="00F04D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DB6C3" w14:textId="77777777" w:rsidR="00064002" w:rsidRPr="00F04D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9/2024"/>
    <w:docVar w:name="dvlangue" w:val="BG"/>
    <w:docVar w:name="dvnumam" w:val="0"/>
    <w:docVar w:name="dvpe" w:val="765.241"/>
    <w:docVar w:name="dvrapporteur" w:val="Докладчик: "/>
    <w:docVar w:name="dvtitre" w:val="Резолюция на Европейския парламент от ... 2024 г.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Белгия – EGF/2024/002 BE/Limburg machinery and paper(COM(2024)0370 – C10-0166/2024 – 2024/0286(BUD))"/>
  </w:docVars>
  <w:rsids>
    <w:rsidRoot w:val="00FF43E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36D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7290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0859"/>
    <w:rsid w:val="00747932"/>
    <w:rsid w:val="00751A4A"/>
    <w:rsid w:val="00756632"/>
    <w:rsid w:val="00762C74"/>
    <w:rsid w:val="00786EC0"/>
    <w:rsid w:val="007C442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235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4D2C"/>
    <w:rsid w:val="00F075DC"/>
    <w:rsid w:val="00F149E9"/>
    <w:rsid w:val="00F5134D"/>
    <w:rsid w:val="00F74202"/>
    <w:rsid w:val="00F87713"/>
    <w:rsid w:val="00FB1DFB"/>
    <w:rsid w:val="00FB4360"/>
    <w:rsid w:val="00FD0C70"/>
    <w:rsid w:val="00FE6A36"/>
    <w:rsid w:val="00FF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DA8248"/>
  <w15:chartTrackingRefBased/>
  <w15:docId w15:val="{84A33AAC-2E3A-4F5D-8F12-334909300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link w:val="PageHeadingChar"/>
    <w:rsid w:val="007C442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7C4426"/>
    <w:pPr>
      <w:spacing w:after="240"/>
      <w:ind w:left="567" w:hanging="567"/>
    </w:pPr>
  </w:style>
  <w:style w:type="paragraph" w:customStyle="1" w:styleId="NormalBold24a">
    <w:name w:val="NormalBold24a"/>
    <w:basedOn w:val="Normal"/>
    <w:rsid w:val="007C4426"/>
    <w:pPr>
      <w:spacing w:after="480"/>
    </w:pPr>
    <w:rPr>
      <w:b/>
      <w:bCs/>
    </w:rPr>
  </w:style>
  <w:style w:type="paragraph" w:customStyle="1" w:styleId="EPComma">
    <w:name w:val="EPComma"/>
    <w:basedOn w:val="Normal"/>
    <w:rsid w:val="007C4426"/>
    <w:pPr>
      <w:spacing w:before="480" w:after="240"/>
    </w:pPr>
  </w:style>
  <w:style w:type="character" w:styleId="Hyperlink">
    <w:name w:val="Hyperlink"/>
    <w:basedOn w:val="DefaultParagraphFont"/>
    <w:rsid w:val="007C442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C4426"/>
    <w:rPr>
      <w:sz w:val="24"/>
      <w:lang w:val="bg-BG"/>
    </w:rPr>
  </w:style>
  <w:style w:type="character" w:styleId="Emphasis">
    <w:name w:val="Emphasis"/>
    <w:basedOn w:val="DefaultParagraphFont"/>
    <w:uiPriority w:val="20"/>
    <w:qFormat/>
    <w:rsid w:val="007C4426"/>
    <w:rPr>
      <w:i/>
      <w:iCs/>
    </w:rPr>
  </w:style>
  <w:style w:type="paragraph" w:customStyle="1" w:styleId="Institutionquisigne">
    <w:name w:val="Institution qui signe"/>
    <w:basedOn w:val="Normal"/>
    <w:next w:val="Normal"/>
    <w:rsid w:val="007C442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C442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C442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C442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C442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C4426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7C4426"/>
    <w:rPr>
      <w:rFonts w:ascii="Arial" w:hAnsi="Arial" w:cs="Arial"/>
      <w:b/>
      <w:sz w:val="24"/>
      <w:lang w:val="bg-BG"/>
    </w:rPr>
  </w:style>
  <w:style w:type="paragraph" w:customStyle="1" w:styleId="Personnequisigne">
    <w:name w:val="Personne qui signe"/>
    <w:basedOn w:val="Normal"/>
    <w:next w:val="Institutionquisigne"/>
    <w:rsid w:val="007C4426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AA23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2353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AA23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235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2353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AA23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2353"/>
    <w:rPr>
      <w:b/>
      <w:bCs/>
      <w:lang w:val="bg-BG"/>
    </w:rPr>
  </w:style>
  <w:style w:type="character" w:styleId="FollowedHyperlink">
    <w:name w:val="FollowedHyperlink"/>
    <w:basedOn w:val="DefaultParagraphFont"/>
    <w:rsid w:val="001936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8438F-6195-4640-A066-FD0DB3B11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1839</Words>
  <Characters>10661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2025-02-04T16:29:00Z</dcterms:created>
  <dcterms:modified xsi:type="dcterms:W3CDTF">2025-02-04T16:29:00Z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P10_TA(2024)0062_</vt:lpwstr>
  </property>
  <property fmtid="{D5CDD505-2E9C-101B-9397-08002B2CF9AE}" pid="4" name="&lt;Type&gt;">
    <vt:lpwstr>RR</vt:lpwstr>
  </property>
</Properties>
</file>