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2764" w14:paraId="6F8358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232CE6" w14:textId="77777777" w:rsidR="00751A4A" w:rsidRPr="00162764" w:rsidRDefault="00377D63" w:rsidP="0010095E">
            <w:pPr>
              <w:pStyle w:val="EPName"/>
            </w:pPr>
            <w:r w:rsidRPr="00162764">
              <w:t>Evropský parlament</w:t>
            </w:r>
          </w:p>
          <w:p w14:paraId="007E2516" w14:textId="77777777" w:rsidR="00751A4A" w:rsidRPr="001627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2764">
              <w:t>2024</w:t>
            </w:r>
            <w:r w:rsidR="00817416" w:rsidRPr="00162764">
              <w:t>-202</w:t>
            </w:r>
            <w:r w:rsidRPr="00162764">
              <w:t>9</w:t>
            </w:r>
          </w:p>
        </w:tc>
        <w:tc>
          <w:tcPr>
            <w:tcW w:w="2268" w:type="dxa"/>
            <w:shd w:val="clear" w:color="auto" w:fill="auto"/>
          </w:tcPr>
          <w:p w14:paraId="026172F2" w14:textId="77777777" w:rsidR="00751A4A" w:rsidRPr="00162764" w:rsidRDefault="00187494" w:rsidP="0010095E">
            <w:pPr>
              <w:pStyle w:val="EPLogo"/>
            </w:pPr>
            <w:r w:rsidRPr="00162764">
              <w:rPr>
                <w:noProof/>
                <w:lang w:val="en-GB"/>
              </w:rPr>
              <w:drawing>
                <wp:inline distT="0" distB="0" distL="0" distR="0" wp14:anchorId="4450BC29" wp14:editId="684F51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FA24FC" w14:textId="77777777" w:rsidR="00D058B8" w:rsidRPr="00162764" w:rsidRDefault="00D058B8" w:rsidP="004C5D52">
      <w:pPr>
        <w:pStyle w:val="LineTop"/>
      </w:pPr>
    </w:p>
    <w:p w14:paraId="4369A9E5" w14:textId="77777777" w:rsidR="00680577" w:rsidRPr="00162764" w:rsidRDefault="00377D63" w:rsidP="00680577">
      <w:pPr>
        <w:pStyle w:val="EPBodyTA1"/>
      </w:pPr>
      <w:r w:rsidRPr="00162764">
        <w:t>PŘIJATÉ TEXTY</w:t>
      </w:r>
    </w:p>
    <w:p w14:paraId="47A78192" w14:textId="77777777" w:rsidR="00D058B8" w:rsidRPr="00162764" w:rsidRDefault="00D058B8" w:rsidP="00D058B8">
      <w:pPr>
        <w:pStyle w:val="LineBottom"/>
      </w:pPr>
    </w:p>
    <w:p w14:paraId="00228D8B" w14:textId="3D187A90" w:rsidR="00377D63" w:rsidRPr="00162764" w:rsidRDefault="00377D63" w:rsidP="00377D63">
      <w:pPr>
        <w:pStyle w:val="ATHeading1"/>
      </w:pPr>
      <w:bookmarkStart w:id="0" w:name="TANumber"/>
      <w:r w:rsidRPr="00162764">
        <w:t>P10_TA(2024)00</w:t>
      </w:r>
      <w:r w:rsidR="00455399">
        <w:t>62</w:t>
      </w:r>
      <w:bookmarkEnd w:id="0"/>
    </w:p>
    <w:p w14:paraId="489CB642" w14:textId="77777777" w:rsidR="00377D63" w:rsidRPr="00162764" w:rsidRDefault="00377D63" w:rsidP="00377D63">
      <w:pPr>
        <w:pStyle w:val="ATHeading2"/>
      </w:pPr>
      <w:bookmarkStart w:id="1" w:name="title"/>
      <w:r w:rsidRPr="00162764">
        <w:t>Uvolnění prostředků z Evropského fondu pro přizpůsobení se globalizaci: žádost EGF/2024/002 BE/Limburg machinery and paper – Belgie</w:t>
      </w:r>
      <w:bookmarkEnd w:id="1"/>
    </w:p>
    <w:p w14:paraId="3F08D4A0" w14:textId="77777777" w:rsidR="00377D63" w:rsidRPr="00162764" w:rsidRDefault="00377D63" w:rsidP="00377D63">
      <w:pPr>
        <w:rPr>
          <w:i/>
          <w:vanish/>
        </w:rPr>
      </w:pPr>
      <w:r w:rsidRPr="00162764">
        <w:rPr>
          <w:i/>
        </w:rPr>
        <w:fldChar w:fldCharType="begin"/>
      </w:r>
      <w:r w:rsidRPr="00162764">
        <w:rPr>
          <w:i/>
        </w:rPr>
        <w:instrText xml:space="preserve"> TC"(</w:instrText>
      </w:r>
      <w:bookmarkStart w:id="2" w:name="DocNumber"/>
      <w:r w:rsidRPr="00162764">
        <w:rPr>
          <w:i/>
        </w:rPr>
        <w:instrText>A10-0019/2024</w:instrText>
      </w:r>
      <w:bookmarkEnd w:id="2"/>
      <w:r w:rsidRPr="00162764">
        <w:rPr>
          <w:i/>
        </w:rPr>
        <w:instrText xml:space="preserve"> - Zpravodaj: Matjaž Nemec)"\l3 \n&gt; \* MERGEFORMAT </w:instrText>
      </w:r>
      <w:r w:rsidRPr="00162764">
        <w:rPr>
          <w:i/>
        </w:rPr>
        <w:fldChar w:fldCharType="end"/>
      </w:r>
    </w:p>
    <w:p w14:paraId="50D1CD66" w14:textId="77777777" w:rsidR="00377D63" w:rsidRPr="00162764" w:rsidRDefault="00377D63" w:rsidP="00377D63">
      <w:pPr>
        <w:rPr>
          <w:vanish/>
        </w:rPr>
      </w:pPr>
      <w:bookmarkStart w:id="3" w:name="Commission"/>
      <w:r w:rsidRPr="00162764">
        <w:rPr>
          <w:vanish/>
        </w:rPr>
        <w:t>Rozpočtový výbor</w:t>
      </w:r>
      <w:bookmarkEnd w:id="3"/>
    </w:p>
    <w:p w14:paraId="1BC1A2A4" w14:textId="77777777" w:rsidR="00377D63" w:rsidRPr="00162764" w:rsidRDefault="00377D63" w:rsidP="00377D63">
      <w:pPr>
        <w:rPr>
          <w:vanish/>
        </w:rPr>
      </w:pPr>
      <w:bookmarkStart w:id="4" w:name="PE"/>
      <w:r w:rsidRPr="00162764">
        <w:rPr>
          <w:vanish/>
        </w:rPr>
        <w:t>PE765.241</w:t>
      </w:r>
      <w:bookmarkEnd w:id="4"/>
    </w:p>
    <w:p w14:paraId="6E892639" w14:textId="77777777" w:rsidR="00377D63" w:rsidRPr="00162764" w:rsidRDefault="00377D63" w:rsidP="00377D63">
      <w:pPr>
        <w:pStyle w:val="ATHeading3"/>
      </w:pPr>
      <w:bookmarkStart w:id="5" w:name="Sujet"/>
      <w:r w:rsidRPr="00162764">
        <w:t>Usnesení Evropského parlamentu ze dne 17. prosince 2024 o návrhu rozhodnutí Evropského parlamentu a Rady o uvolnění prostředků z Evropského fondu pro přizpůsobení se globalizaci na pomoc propuštěným pracovníkům na základě žádosti Belgie – EGF/2024/002 BE/Limburg machinery and paper</w:t>
      </w:r>
      <w:bookmarkEnd w:id="5"/>
      <w:r w:rsidRPr="00162764">
        <w:t xml:space="preserve"> </w:t>
      </w:r>
      <w:bookmarkStart w:id="6" w:name="References"/>
      <w:r w:rsidRPr="00162764">
        <w:t>(COM(2024)0370 – C10-0166/2024 – 2024/0286(BUD))</w:t>
      </w:r>
      <w:bookmarkEnd w:id="6"/>
    </w:p>
    <w:p w14:paraId="1E8C3ED6" w14:textId="77777777" w:rsidR="004D582F" w:rsidRPr="00162764" w:rsidRDefault="004D582F" w:rsidP="004D582F">
      <w:pPr>
        <w:pStyle w:val="EPComma"/>
        <w:rPr>
          <w:noProof/>
        </w:rPr>
      </w:pPr>
      <w:r w:rsidRPr="00162764">
        <w:rPr>
          <w:i/>
        </w:rPr>
        <w:t>Evropský parlament</w:t>
      </w:r>
      <w:r w:rsidRPr="00162764">
        <w:t>,</w:t>
      </w:r>
    </w:p>
    <w:p w14:paraId="05536167" w14:textId="77777777" w:rsidR="004D582F" w:rsidRPr="00162764" w:rsidRDefault="004D582F" w:rsidP="00162764">
      <w:pPr>
        <w:pStyle w:val="NormalHanging12a"/>
        <w:rPr>
          <w:noProof/>
        </w:rPr>
      </w:pPr>
      <w:r w:rsidRPr="00162764">
        <w:t>–</w:t>
      </w:r>
      <w:r w:rsidRPr="00162764">
        <w:tab/>
        <w:t>s ohledem na návrh Komise předložený Evropskému parlamentu a Radě (COM(2024)0370 – C10</w:t>
      </w:r>
      <w:r w:rsidRPr="00162764">
        <w:noBreakHyphen/>
        <w:t>0166/2024),</w:t>
      </w:r>
    </w:p>
    <w:p w14:paraId="6ACC4EBC" w14:textId="015C110E" w:rsidR="004D582F" w:rsidRPr="00162764" w:rsidRDefault="004D582F" w:rsidP="00455399">
      <w:pPr>
        <w:pStyle w:val="NormalHanging12a"/>
      </w:pPr>
      <w:r w:rsidRPr="00162764">
        <w:t>–</w:t>
      </w:r>
      <w:r w:rsidRPr="00162764">
        <w:tab/>
        <w:t>s ohledem na nařízení Evropského parlamentu a Rady (EU) 2021/691 ze dne 28. dubna 2021 o Evropském fondu pro přizpůsobení se globalizaci na pomoc propuštěným pracovníkům (EFG) a o zrušení nařízení (EU) č. 1309/2013</w:t>
      </w:r>
      <w:r w:rsidRPr="00162764">
        <w:rPr>
          <w:rStyle w:val="FootnoteReference"/>
          <w:noProof/>
        </w:rPr>
        <w:footnoteReference w:id="1"/>
      </w:r>
      <w:r w:rsidRPr="00162764">
        <w:t xml:space="preserve"> (</w:t>
      </w:r>
      <w:r w:rsidR="004A63A8">
        <w:t xml:space="preserve">dále jen </w:t>
      </w:r>
      <w:r w:rsidRPr="00162764">
        <w:t>„nařízení o EFG“),</w:t>
      </w:r>
    </w:p>
    <w:p w14:paraId="3AF5637B" w14:textId="57F0701F" w:rsidR="004D582F" w:rsidRPr="00162764" w:rsidRDefault="004D582F" w:rsidP="00455399">
      <w:pPr>
        <w:pStyle w:val="NormalHanging12a"/>
        <w:rPr>
          <w:noProof/>
        </w:rPr>
      </w:pPr>
      <w:r w:rsidRPr="00162764">
        <w:t>–</w:t>
      </w:r>
      <w:r w:rsidRPr="00162764">
        <w:tab/>
        <w:t>s ohledem na nařízení Rady (EU, Euratom) 2020/2093 ze dne 17. prosince 2020, kterým se stanoví víceletý finanční rámec na období 2021–2027</w:t>
      </w:r>
      <w:r w:rsidRPr="00162764">
        <w:rPr>
          <w:rStyle w:val="FootnoteReference"/>
          <w:noProof/>
        </w:rPr>
        <w:footnoteReference w:id="2"/>
      </w:r>
      <w:r w:rsidRPr="00162764">
        <w:t xml:space="preserve"> ve znění nařízení</w:t>
      </w:r>
      <w:r w:rsidR="00991C0B">
        <w:t xml:space="preserve"> Rady</w:t>
      </w:r>
      <w:r w:rsidRPr="00162764">
        <w:t xml:space="preserve"> (EU, Euratom) 2024/765</w:t>
      </w:r>
      <w:r w:rsidRPr="00162764">
        <w:rPr>
          <w:rStyle w:val="FootnoteReference"/>
          <w:bdr w:val="none" w:sz="0" w:space="0" w:color="auto" w:frame="1"/>
        </w:rPr>
        <w:footnoteReference w:id="3"/>
      </w:r>
      <w:r w:rsidRPr="00162764">
        <w:t>, a zejména na článek 8 tohoto nařízení,</w:t>
      </w:r>
    </w:p>
    <w:p w14:paraId="72F62FC9" w14:textId="77777777" w:rsidR="004D582F" w:rsidRPr="00162764" w:rsidRDefault="004D582F" w:rsidP="00455399">
      <w:pPr>
        <w:pStyle w:val="NormalHanging12a"/>
        <w:rPr>
          <w:noProof/>
        </w:rPr>
      </w:pPr>
      <w:r w:rsidRPr="00162764">
        <w:t>–</w:t>
      </w:r>
      <w:r w:rsidRPr="00162764">
        <w:tab/>
        <w:t>s ohledem na 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162764">
        <w:rPr>
          <w:rStyle w:val="FootnoteReference"/>
          <w:noProof/>
        </w:rPr>
        <w:footnoteReference w:id="4"/>
      </w:r>
      <w:r w:rsidRPr="00162764">
        <w:t>, a zejména na článek 9 této dohody,</w:t>
      </w:r>
    </w:p>
    <w:p w14:paraId="69942482" w14:textId="77777777" w:rsidR="004D582F" w:rsidRPr="00162764" w:rsidRDefault="004D582F" w:rsidP="00455399">
      <w:pPr>
        <w:pStyle w:val="NormalHanging12a"/>
        <w:rPr>
          <w:noProof/>
        </w:rPr>
      </w:pPr>
      <w:r w:rsidRPr="00162764">
        <w:lastRenderedPageBreak/>
        <w:t>–</w:t>
      </w:r>
      <w:r w:rsidRPr="00162764">
        <w:tab/>
        <w:t>s ohledem na zásady evropského pilíře sociálních práv a na cíle stanovené v akčním plánu pro evropský pilíř sociálních práv,</w:t>
      </w:r>
    </w:p>
    <w:p w14:paraId="73497E0B" w14:textId="77777777" w:rsidR="004D582F" w:rsidRPr="00162764" w:rsidRDefault="004D582F" w:rsidP="00455399">
      <w:pPr>
        <w:pStyle w:val="NormalHanging12a"/>
      </w:pPr>
      <w:r w:rsidRPr="00162764">
        <w:t>–</w:t>
      </w:r>
      <w:r w:rsidRPr="00162764">
        <w:tab/>
        <w:t>s ohledem na dopis Výboru pro zaměstnanost a sociální věci,</w:t>
      </w:r>
    </w:p>
    <w:p w14:paraId="65755EA2" w14:textId="77777777" w:rsidR="004D582F" w:rsidRPr="00162764" w:rsidRDefault="004D582F" w:rsidP="00455399">
      <w:pPr>
        <w:pStyle w:val="NormalHanging12a"/>
      </w:pPr>
      <w:r w:rsidRPr="00162764">
        <w:t>–</w:t>
      </w:r>
      <w:r w:rsidRPr="00162764">
        <w:tab/>
        <w:t>s ohledem na zprávu Rozpočtového výboru (A10-0019/2024),</w:t>
      </w:r>
    </w:p>
    <w:p w14:paraId="62BC69C1" w14:textId="77777777" w:rsidR="004D582F" w:rsidRPr="00162764" w:rsidRDefault="004D582F" w:rsidP="00455399">
      <w:pPr>
        <w:pStyle w:val="NormalHanging12a"/>
      </w:pPr>
      <w:r w:rsidRPr="00162764">
        <w:t>A.</w:t>
      </w:r>
      <w:r w:rsidRPr="00162764">
        <w:tab/>
        <w:t>vzhledem k tomu, že Unie vytvořila legislativní a rozpočtové nástroje, aby mohla poskytovat dodatečnou podporu pracovníkům, kteří jsou postiženi důsledky významných změn ve struktuře světového obchodu nebo důsledky celosvětové finanční a hospodářské krize, a pomáhat jim při opětovném začlenění na trh práce; vzhledem k tomu, že tato pomoc je poskytována v podobě finanční podpory pracovníkům a podnikům, pro které pracovali;</w:t>
      </w:r>
    </w:p>
    <w:p w14:paraId="71320972" w14:textId="77777777" w:rsidR="004D582F" w:rsidRPr="00162764" w:rsidRDefault="004D582F" w:rsidP="00455399">
      <w:pPr>
        <w:pStyle w:val="NormalHanging12a"/>
      </w:pPr>
      <w:r w:rsidRPr="00162764">
        <w:t>B.</w:t>
      </w:r>
      <w:r w:rsidRPr="00162764">
        <w:tab/>
        <w:t>vzhledem k tomu, že Belgie předložila žádost EGF/2024/002 BE/Limburg machinery and paper o finanční příspěvek z Evropského fondu pro přizpůsobení se globalizaci (EFG) v souvislosti s propuštěním 681 pracovníků</w:t>
      </w:r>
      <w:r w:rsidRPr="00162764">
        <w:rPr>
          <w:rStyle w:val="FootnoteReference"/>
        </w:rPr>
        <w:footnoteReference w:id="5"/>
      </w:r>
      <w:r w:rsidRPr="00162764">
        <w:t xml:space="preserve"> v provincii Limburg v hospodářském odvětví, které je v rámci klasifikace NACE Revize 2 řazeno do oddílu 17 (Výroba papíru a výrobků z papíru) a oddílu 28 (Výroba strojů a zařízení) v rámci referenčního období pro podání žádosti od 31. prosince 2023 do 30. dubna 2024;</w:t>
      </w:r>
    </w:p>
    <w:p w14:paraId="27A14FAE" w14:textId="1165B852" w:rsidR="004D582F" w:rsidRPr="00162764" w:rsidRDefault="004D582F" w:rsidP="00455399">
      <w:pPr>
        <w:pStyle w:val="NormalHanging12a"/>
      </w:pPr>
      <w:r w:rsidRPr="00162764">
        <w:t>C.</w:t>
      </w:r>
      <w:r w:rsidRPr="00162764">
        <w:tab/>
        <w:t xml:space="preserve">vzhledem k tomu, že žádost se týká 567 pracovníků propuštěných ve společnosti Sappi Lanaken NV (papír) a 114 pracovníků </w:t>
      </w:r>
      <w:r w:rsidR="002B1EDB" w:rsidRPr="00162764">
        <w:t xml:space="preserve">propuštěných </w:t>
      </w:r>
      <w:r w:rsidRPr="00162764">
        <w:t xml:space="preserve">ve společnosti Purmo Group Belgium NV (strojní zařízení); </w:t>
      </w:r>
    </w:p>
    <w:p w14:paraId="727A8406" w14:textId="77777777" w:rsidR="004D582F" w:rsidRPr="00162764" w:rsidRDefault="004D582F" w:rsidP="00455399">
      <w:pPr>
        <w:pStyle w:val="NormalHanging12a"/>
      </w:pPr>
      <w:r w:rsidRPr="00162764">
        <w:t>D.</w:t>
      </w:r>
      <w:r w:rsidRPr="00162764">
        <w:tab/>
        <w:t>vzhledem k tomu, že žádost byla podána na základě kritérií pro pomoc stanovených v čl. 4 odst. 2 písm. c) nařízení o EFG, v němž se stanoví, že během referenčního období čtyř měsíců musí být v podnicích působících ve stejných nebo v různých hospodářských odvětvích a nacházejících se ve stejném regionu propuštěno nejméně 200 zaměstnanců;</w:t>
      </w:r>
    </w:p>
    <w:p w14:paraId="6127D4C3" w14:textId="77777777" w:rsidR="004D582F" w:rsidRPr="00162764" w:rsidRDefault="004D582F" w:rsidP="00455399">
      <w:pPr>
        <w:pStyle w:val="NormalHanging12a"/>
      </w:pPr>
      <w:r w:rsidRPr="00162764">
        <w:t>E.</w:t>
      </w:r>
      <w:r w:rsidRPr="00162764">
        <w:tab/>
        <w:t>vzhledem k tomu, že v důsledku pandemie COVID-19 a ruské útočné války proti Ukrajině se v Belgii snížila hospodářská konkurenceschopnost a zpomalil se hospodářský růst;</w:t>
      </w:r>
    </w:p>
    <w:p w14:paraId="501A1CF9" w14:textId="77777777" w:rsidR="004D582F" w:rsidRPr="00162764" w:rsidRDefault="004D582F" w:rsidP="00455399">
      <w:pPr>
        <w:pStyle w:val="NormalHanging12a"/>
        <w:rPr>
          <w:rFonts w:eastAsia="Calibri"/>
          <w:szCs w:val="22"/>
        </w:rPr>
      </w:pPr>
      <w:r w:rsidRPr="00162764">
        <w:t>F.</w:t>
      </w:r>
      <w:r w:rsidRPr="00162764">
        <w:tab/>
        <w:t xml:space="preserve">vzhledem k tomu, že společnost Sappi Lanaken se specializovala na výrobu bezdřevého natíraného papíru (WCP); vzhledem k tomu, že klesající poptávka po grafických produktech v důsledku zvýšené digitalizace vedla v evropském odvětví WCP k rostoucí nadměrné kapacitě; vzhledem k tomu, že výrobu v podniku Sappi Lanaken nebylo možné přeorientovat na jiné výrobky z papíru s větší poptávkou bez velkých investic, a skupina Sappi se proto rozhodla zastavit výrobu v Lanakenu a uzavřít závod, neboť se nepodařilo nalézt žádného vhodného kupujícího z důvodu nadměrné strukturální kapacity v tomto odvětví; </w:t>
      </w:r>
    </w:p>
    <w:p w14:paraId="14D65806" w14:textId="0DA95407" w:rsidR="004D582F" w:rsidRPr="00162764" w:rsidRDefault="004D582F" w:rsidP="00455399">
      <w:pPr>
        <w:pStyle w:val="NormalHanging12a"/>
        <w:rPr>
          <w:noProof/>
        </w:rPr>
      </w:pPr>
      <w:r w:rsidRPr="00162764">
        <w:t>G.</w:t>
      </w:r>
      <w:r w:rsidRPr="00162764">
        <w:tab/>
        <w:t xml:space="preserve">vzhledem k tomu, že objem výroby skupiny Purmo v období 2018–2023 trvale klesal, a to z 820 000 jednotek v roce 2018 na 320 000 v roce 2023 (-60 %); vzhledem k tomu, že ze srovnání výrobních nákladů jednotlivých závodů skupiny Purmo v Evropě vyplývá, že závod v Zonhovenu je znevýhodněn, neboť jeho náklady jsou o 17 % až 35 % vyšší; vzhledem k tomu, že skupina Purmo se rozhodla zastavit ve svém závodě v Zonhovenu výrobu deskových radiátorů o průměru 50 mm a uzavřít příslušnou </w:t>
      </w:r>
      <w:r w:rsidRPr="00162764">
        <w:lastRenderedPageBreak/>
        <w:t xml:space="preserve">výrobní linku; vzhledem k tomu, že v důsledku neočekávané situace, pokud jde o dostupnost a ceny plynu v důsledku ruské útočné války proti Ukrajině, a právních předpisů Unie zvýhodňujících nízkoteplotní systémy vytápění na úkor deskových radiátorů, je obnovení poptávky nepravděpodobné, neboť trh s deskovými radiátory se bude čím dál více omezovat na výměnu používaných jednotek; </w:t>
      </w:r>
    </w:p>
    <w:p w14:paraId="7DFB904E" w14:textId="77777777" w:rsidR="004D582F" w:rsidRPr="00162764" w:rsidRDefault="004D582F" w:rsidP="00455399">
      <w:pPr>
        <w:pStyle w:val="NormalHanging12a"/>
      </w:pPr>
      <w:r w:rsidRPr="00162764">
        <w:t>H.</w:t>
      </w:r>
      <w:r w:rsidRPr="00162764">
        <w:tab/>
        <w:t xml:space="preserve">vzhledem k tomu, že obě společnosti se v souladu s belgickými právními předpisy řídily povinným postupem informování zástupců zaměstnanců a konzultací s nimi a zřídily oddělení pro zaměstnanost, jehož cílem je poskytovat zaměstnancům propuštěným v rámci hromadného propouštění služby outplacementu; </w:t>
      </w:r>
    </w:p>
    <w:p w14:paraId="36DBEE08" w14:textId="77777777" w:rsidR="004D582F" w:rsidRPr="00162764" w:rsidRDefault="004D582F" w:rsidP="00455399">
      <w:pPr>
        <w:pStyle w:val="NormalHanging12a"/>
      </w:pPr>
      <w:r w:rsidRPr="00162764">
        <w:t>I.</w:t>
      </w:r>
      <w:r w:rsidRPr="00162764">
        <w:tab/>
        <w:t>vzhledem k tomu, že finanční příspěvky z fondu EFG by měly primárně směřovat na aktivní opatření politiky trhu práce a individualizované služby, jejichž cílem je rychle začlenit příjemce pomoci do důstojného a udržitelného zaměstnání v původním nebo jiném odvětví činnosti a zároveň je připravit na ekologičtější a více digitalizované evropské hospodářství;</w:t>
      </w:r>
    </w:p>
    <w:p w14:paraId="2E477FC0" w14:textId="35F8F062" w:rsidR="004D582F" w:rsidRPr="00162764" w:rsidRDefault="004D582F" w:rsidP="00455399">
      <w:pPr>
        <w:pStyle w:val="NormalHanging12a"/>
      </w:pPr>
      <w:r w:rsidRPr="00162764">
        <w:t>J.</w:t>
      </w:r>
      <w:r w:rsidRPr="00162764">
        <w:tab/>
        <w:t>vzhledem k tomu, že EFG nepřekročí maximální roční částku 30 milionů EUR (v cenách roku 2018), jak je stanoveno v článku 8 nařízení Rady (EU, Euratom) 2020/2093 ve znění nařízení</w:t>
      </w:r>
      <w:r w:rsidR="00991C0B">
        <w:t xml:space="preserve"> Rady</w:t>
      </w:r>
      <w:r w:rsidRPr="00162764">
        <w:t xml:space="preserve"> (EU, Euratom) 2024/765;</w:t>
      </w:r>
    </w:p>
    <w:p w14:paraId="07FCB03C" w14:textId="77777777" w:rsidR="004D582F" w:rsidRPr="00162764" w:rsidRDefault="004D582F" w:rsidP="00455399">
      <w:pPr>
        <w:pStyle w:val="NormalHanging12a"/>
      </w:pPr>
      <w:r w:rsidRPr="00162764">
        <w:t>1.</w:t>
      </w:r>
      <w:r w:rsidRPr="00162764">
        <w:tab/>
        <w:t>souhlasí s Komisí, že podmínky stanovené v čl. 4 odst. 2 písm. c) nařízení o EFG byly splněny, a Belgie má proto podle uvedeného nařízení nárok na finanční příspěvek ve výši 704 135 EUR, což představuje 60 % celkových nákladů, které činí 1 173 559 EUR a zahrnují výdaje na individualizované služby ve výši 1 126 559 EUR a výdaje na přípravné, řídící, informační a propagační, kontrolní a vykazovací činnosti ve výši 47 000 EUR;</w:t>
      </w:r>
    </w:p>
    <w:p w14:paraId="0401AC37" w14:textId="77777777" w:rsidR="004D582F" w:rsidRPr="00162764" w:rsidRDefault="004D582F" w:rsidP="00455399">
      <w:pPr>
        <w:pStyle w:val="NormalHanging12a"/>
      </w:pPr>
      <w:r w:rsidRPr="00162764">
        <w:t>2.</w:t>
      </w:r>
      <w:r w:rsidRPr="00162764">
        <w:tab/>
        <w:t xml:space="preserve">konstatuje, že belgické orgány podaly žádost dne 19. července 2024 a že poté, co Belgie poskytla další informace, dokončila Komise dne 5. listopadu 2024 posouzení a tentýž den o tom informovala Parlament; </w:t>
      </w:r>
    </w:p>
    <w:p w14:paraId="4F387938" w14:textId="048A4956" w:rsidR="004D582F" w:rsidRPr="00162764" w:rsidRDefault="004D582F" w:rsidP="00455399">
      <w:pPr>
        <w:pStyle w:val="NormalHanging12a"/>
      </w:pPr>
      <w:r w:rsidRPr="00162764">
        <w:t>3.</w:t>
      </w:r>
      <w:r w:rsidRPr="00162764">
        <w:tab/>
        <w:t xml:space="preserve">konstatuje, že žádost se týká 567 pracovníků propuštěných ve společnosti Sappi Lanaken a 114 pracovníků </w:t>
      </w:r>
      <w:r w:rsidR="00CD6674" w:rsidRPr="00162764">
        <w:t xml:space="preserve">propuštěných </w:t>
      </w:r>
      <w:r w:rsidRPr="00162764">
        <w:t>ve společnosti Purmo Group Belgium;</w:t>
      </w:r>
      <w:r w:rsidRPr="00162764">
        <w:rPr>
          <w:color w:val="000000"/>
        </w:rPr>
        <w:t xml:space="preserve"> dále konstatuje, že cílovými příjemci bude celkem 632 pracovníků, téměř výhradně mužů;</w:t>
      </w:r>
    </w:p>
    <w:p w14:paraId="448F3EDF" w14:textId="77777777" w:rsidR="004D582F" w:rsidRPr="00162764" w:rsidRDefault="004D582F" w:rsidP="00455399">
      <w:pPr>
        <w:pStyle w:val="NormalHanging12a"/>
      </w:pPr>
      <w:r w:rsidRPr="00162764">
        <w:t>4.</w:t>
      </w:r>
      <w:r w:rsidRPr="00162764">
        <w:tab/>
        <w:t>zdůrazňuje, že trhy práce v Lanakenu a Zonhovenu jsou ve srovnání s Limburgem jako celkem nebo Vlámskem znevýhodněny, neboť poměr ekonomicky aktivního obyvatelstva k dostupným pracovním místům je výrazně nižší; poukazuje na to, počet pracovních míst v průmyslu dostupných v Limburgu se v roce 2023 snížil o 15 %.</w:t>
      </w:r>
    </w:p>
    <w:p w14:paraId="466BCF92" w14:textId="77777777" w:rsidR="004D582F" w:rsidRPr="00162764" w:rsidRDefault="004D582F" w:rsidP="00455399">
      <w:pPr>
        <w:pStyle w:val="NormalHanging12a"/>
      </w:pPr>
      <w:r w:rsidRPr="00162764">
        <w:t>5.</w:t>
      </w:r>
      <w:r w:rsidRPr="00162764">
        <w:tab/>
        <w:t xml:space="preserve">zdůrazňuje, že profil propuštěných pracovníků, z nichž třetina je ve věku 55 let nebo více a 30 % má nízké vzdělání, s sebou nese závažné překážky na trhu práce; zdůrazňuje, že s ohledem na úbytek volných pracovních míst a jejich zeměpisné rozložení budou pracovníci potřebovat dodatečnou individualizovanou podporu, která jim pomůže při přechodu do zaměstnání; </w:t>
      </w:r>
    </w:p>
    <w:p w14:paraId="3106F6B9" w14:textId="77777777" w:rsidR="004D582F" w:rsidRPr="00162764" w:rsidRDefault="004D582F" w:rsidP="00455399">
      <w:pPr>
        <w:pStyle w:val="NormalHanging12a"/>
      </w:pPr>
      <w:r w:rsidRPr="00162764">
        <w:t>6.</w:t>
      </w:r>
      <w:r w:rsidRPr="00162764">
        <w:tab/>
        <w:t>připomíná, že belgické orgány musí uvést původ těchto finančních prostředků, zviditelnit financování z prostředků Unie a zdůraznit přidanou hodnotu Unie tím, že poskytnou koherentní a efektivní informace různým cílovým skupinám, včetně příjemců pomoci, místních a regionálních orgánů, sociálních partnerů, sdělovacích prostředků a veřejnosti;</w:t>
      </w:r>
    </w:p>
    <w:p w14:paraId="7333D326" w14:textId="77777777" w:rsidR="004D582F" w:rsidRPr="00162764" w:rsidRDefault="004D582F" w:rsidP="00455399">
      <w:pPr>
        <w:pStyle w:val="NormalHanging12a"/>
      </w:pPr>
      <w:r w:rsidRPr="00162764">
        <w:lastRenderedPageBreak/>
        <w:t>7.</w:t>
      </w:r>
      <w:r w:rsidRPr="00162764">
        <w:tab/>
        <w:t>domnívá se, že vzhledem k tomu, že digitální a ekologická transformace má významný dopad na odvětví dotčených pracovníků a zároveň vede ke snížení poptávky, je sociální odpovědností Unie a členských států poskytnout jim možnost k získání nezbytné kvalifikace pro budoucí zaměstnání; oceňuje skutečnost, že koordinovaný balík individualizovaných služeb byl vypracován Belgií po konzultaci s cílovými příjemci, jejich zástupci a sociálními partnery;</w:t>
      </w:r>
    </w:p>
    <w:p w14:paraId="26383EA2" w14:textId="77777777" w:rsidR="004D582F" w:rsidRPr="00162764" w:rsidRDefault="004D582F" w:rsidP="00455399">
      <w:pPr>
        <w:pStyle w:val="NormalHanging12a"/>
      </w:pPr>
      <w:r w:rsidRPr="00162764">
        <w:t>8.</w:t>
      </w:r>
      <w:r w:rsidRPr="00162764">
        <w:tab/>
        <w:t>zdůrazňuje, že podpora poskytovaná z EFG musí být začleněna do širší strategie pro postižené pracovníky a region na všech politických úrovních, včetně podpory příslušných nástrojů financování Unie, s cílem zajistit, aby nikdo nezůstal při digitální a klimatické transformaci opomenut;</w:t>
      </w:r>
    </w:p>
    <w:p w14:paraId="56C7A0FF" w14:textId="77777777" w:rsidR="004D582F" w:rsidRPr="00162764" w:rsidRDefault="004D582F" w:rsidP="00455399">
      <w:pPr>
        <w:pStyle w:val="NormalHanging12a"/>
      </w:pPr>
      <w:r w:rsidRPr="00162764">
        <w:t>9.</w:t>
      </w:r>
      <w:r w:rsidRPr="00162764">
        <w:tab/>
        <w:t>připomíná, že pracovníkům mají být poskytnuty tyto individualizované služby: sociální poradenství, poradenství, mentorování a profesní orientace, aktivní podpora při hledání zaměstnání, odborná příprava, rekvalifikace a odborné vzdělávání, včetně kurzů digitálních dovedností, jakož i odborná příprava na pracovišti;</w:t>
      </w:r>
    </w:p>
    <w:p w14:paraId="43782FCD" w14:textId="77777777" w:rsidR="004D582F" w:rsidRPr="00162764" w:rsidRDefault="004D582F" w:rsidP="00455399">
      <w:pPr>
        <w:pStyle w:val="NormalHanging12a"/>
      </w:pPr>
      <w:r w:rsidRPr="00162764">
        <w:t>10.</w:t>
      </w:r>
      <w:r w:rsidRPr="00162764">
        <w:tab/>
        <w:t>konstatuje, že Belgie začala poskytovat individualizované služby cílovým příjemcům dne 26. prosince 2023 a že období způsobilosti pro finanční příspěvek z EFG tudíž trvá od uvedeného data po dobu 24 měsíců ode dne vstupu rozhodnutí o financování v platnost;</w:t>
      </w:r>
    </w:p>
    <w:p w14:paraId="74CEAB27" w14:textId="77777777" w:rsidR="004D582F" w:rsidRPr="00162764" w:rsidRDefault="004D582F" w:rsidP="00455399">
      <w:pPr>
        <w:pStyle w:val="NormalHanging12a"/>
        <w:rPr>
          <w:sz w:val="23"/>
          <w:szCs w:val="23"/>
        </w:rPr>
      </w:pPr>
      <w:r w:rsidRPr="00162764">
        <w:t>11.</w:t>
      </w:r>
      <w:r w:rsidRPr="00162764">
        <w:tab/>
        <w:t>konstatuje, že Belgii začaly vznikat administrativní výdaje spojené s prováděním EFG dne 20. listopadu 2023 a že tyto výdaje jsou proto způsobilé pro finanční příspěvek z EFG od uvedeného data po dobu 31 měsíců ode dne vstupu rozhodnutí o financování v platnost;</w:t>
      </w:r>
    </w:p>
    <w:p w14:paraId="3788F5A6" w14:textId="77777777" w:rsidR="004D582F" w:rsidRPr="00162764" w:rsidRDefault="004D582F" w:rsidP="00455399">
      <w:pPr>
        <w:pStyle w:val="NormalHanging12a"/>
      </w:pPr>
      <w:r w:rsidRPr="00162764">
        <w:t>12.</w:t>
      </w:r>
      <w:r w:rsidRPr="00162764">
        <w:tab/>
        <w:t>zdůrazňuje, že belgické orgány potvrdily, že při přístupu k navrhovaným opatřením a jejich provádění budou dodržovány zásady rovného zacházení a nediskriminace a že bude zabráněno jakémukoli dvojímu financování;</w:t>
      </w:r>
    </w:p>
    <w:p w14:paraId="1C44AC29" w14:textId="77777777" w:rsidR="004D582F" w:rsidRPr="00162764" w:rsidRDefault="004D582F" w:rsidP="00455399">
      <w:pPr>
        <w:pStyle w:val="NormalHanging12a"/>
      </w:pPr>
      <w:r w:rsidRPr="00162764">
        <w:t>13.</w:t>
      </w:r>
      <w:r w:rsidRPr="00162764">
        <w:tab/>
        <w:t>opakuje, že pomoc z EFG nesmí nahrazovat opatření, za něž jsou na základě vnitrostátních právních předpisů nebo kolektivních smluv odpovědné podniky, ani příspěvky nebo práva propuštěných pracovníků, aby byla plně zajištěna doplňkovost přidělené pomoci; připomíná, že členské státy, které žádají o finanční podporu z EFG, musí zajistit, aby byly dodrženy požadavky týkající se hromadného propouštění stanovené ve vnitrostátním a unijním právu a aby se dotčená společnost o své pracovníky náležitě postarala;</w:t>
      </w:r>
    </w:p>
    <w:p w14:paraId="118D65FB" w14:textId="77777777" w:rsidR="004D582F" w:rsidRPr="00162764" w:rsidRDefault="004D582F" w:rsidP="00455399">
      <w:pPr>
        <w:pStyle w:val="NormalHanging12a"/>
      </w:pPr>
      <w:r w:rsidRPr="00162764">
        <w:t>14.</w:t>
      </w:r>
      <w:r w:rsidRPr="00162764">
        <w:tab/>
        <w:t>vyzývá belgické orgány a ostatní členské státy, aby aktivně přijaly preventivní opatření s cílem přizpůsobit průmysl globalizaci a technologickým a environmentálním změnám a ochránit pracovníky před ztrátou zaměstnání a dalšími negativními dopady globalizace;</w:t>
      </w:r>
    </w:p>
    <w:p w14:paraId="788E13CA" w14:textId="77777777" w:rsidR="004D582F" w:rsidRPr="00162764" w:rsidRDefault="004D582F" w:rsidP="00455399">
      <w:pPr>
        <w:pStyle w:val="NormalHanging12a"/>
      </w:pPr>
      <w:r w:rsidRPr="00162764">
        <w:t>15.</w:t>
      </w:r>
      <w:r w:rsidRPr="00162764">
        <w:tab/>
        <w:t>schvaluje rozhodnutí uvedené v příloze k tomuto usnesení;</w:t>
      </w:r>
    </w:p>
    <w:p w14:paraId="7D9A22C4" w14:textId="77777777" w:rsidR="004D582F" w:rsidRPr="00162764" w:rsidRDefault="004D582F" w:rsidP="00455399">
      <w:pPr>
        <w:pStyle w:val="NormalHanging12a"/>
      </w:pPr>
      <w:r w:rsidRPr="00162764">
        <w:t>16.</w:t>
      </w:r>
      <w:r w:rsidRPr="00162764">
        <w:tab/>
        <w:t>pověřuje svou předsedkyni, aby podepsala toto rozhodnutí společně s předsedou Rady a aby zajistila jeho zveřejnění v </w:t>
      </w:r>
      <w:r w:rsidRPr="00162764">
        <w:rPr>
          <w:i/>
          <w:iCs/>
        </w:rPr>
        <w:t>Úředním věstníku Evropské unie</w:t>
      </w:r>
      <w:r w:rsidRPr="00162764">
        <w:t>;</w:t>
      </w:r>
    </w:p>
    <w:p w14:paraId="1D34B91C" w14:textId="77777777" w:rsidR="004D582F" w:rsidRPr="00162764" w:rsidRDefault="004D582F" w:rsidP="00455399">
      <w:pPr>
        <w:pStyle w:val="NormalHanging12a"/>
      </w:pPr>
      <w:r w:rsidRPr="00162764">
        <w:t>17.</w:t>
      </w:r>
      <w:r w:rsidRPr="00162764">
        <w:tab/>
        <w:t>pověřuje svou předsedkyni, aby předala toto usnesení, včetně přílohy, Radě a Komisi.</w:t>
      </w:r>
    </w:p>
    <w:p w14:paraId="0AAE1D0D" w14:textId="77777777" w:rsidR="004D582F" w:rsidRPr="00162764" w:rsidRDefault="004D582F" w:rsidP="004D582F">
      <w:pPr>
        <w:pStyle w:val="NormalHanging12a"/>
        <w:rPr>
          <w:noProof/>
        </w:rPr>
      </w:pPr>
    </w:p>
    <w:p w14:paraId="549D1FD6" w14:textId="77777777" w:rsidR="004D582F" w:rsidRPr="00162764" w:rsidRDefault="004D582F" w:rsidP="004D582F">
      <w:pPr>
        <w:pStyle w:val="PageHeading"/>
        <w:rPr>
          <w:noProof/>
        </w:rPr>
        <w:sectPr w:rsidR="004D582F" w:rsidRPr="00162764" w:rsidSect="0022252E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E4414E" w14:textId="34094D16" w:rsidR="008E198F" w:rsidRPr="00E35A5A" w:rsidRDefault="004D582F" w:rsidP="009C64A0">
      <w:pPr>
        <w:pStyle w:val="PageHeading"/>
        <w:rPr>
          <w:rFonts w:ascii="Times New Roman" w:hAnsi="Times New Roman" w:cs="Times New Roman"/>
        </w:rPr>
      </w:pPr>
      <w:bookmarkStart w:id="7" w:name="_Toc181803868"/>
      <w:bookmarkStart w:id="8" w:name="_Toc183775074"/>
      <w:r w:rsidRPr="00E35A5A">
        <w:rPr>
          <w:rFonts w:ascii="Times New Roman" w:hAnsi="Times New Roman" w:cs="Times New Roman"/>
        </w:rPr>
        <w:lastRenderedPageBreak/>
        <w:t>PŘÍLOHA</w:t>
      </w:r>
    </w:p>
    <w:p w14:paraId="2ADB43B6" w14:textId="352CE1EE" w:rsidR="004D582F" w:rsidRPr="00E35A5A" w:rsidRDefault="004D582F" w:rsidP="004D582F">
      <w:pPr>
        <w:pStyle w:val="PageHeading"/>
        <w:rPr>
          <w:rFonts w:ascii="Times New Roman" w:hAnsi="Times New Roman" w:cs="Times New Roman"/>
          <w:noProof/>
        </w:rPr>
      </w:pPr>
      <w:r w:rsidRPr="00E35A5A">
        <w:rPr>
          <w:rFonts w:ascii="Times New Roman" w:hAnsi="Times New Roman" w:cs="Times New Roman"/>
        </w:rPr>
        <w:t>ROZHODNUTÍ EVROPSKÉHO PARLAMENTU A RADY</w:t>
      </w:r>
      <w:bookmarkEnd w:id="7"/>
      <w:bookmarkEnd w:id="8"/>
    </w:p>
    <w:p w14:paraId="38C17755" w14:textId="63F712B9" w:rsidR="004D582F" w:rsidRPr="00E35A5A" w:rsidRDefault="004D582F" w:rsidP="009C64A0">
      <w:pPr>
        <w:pStyle w:val="NormalBold24a"/>
        <w:jc w:val="center"/>
      </w:pPr>
      <w:r w:rsidRPr="00E35A5A">
        <w:t>o uvolnění prostředků z Evropského fondu pro přizpůsobení se globalizaci na pomoc propuštěným pracovníkům na základě žádosti Belgie</w:t>
      </w:r>
      <w:r w:rsidR="00E35A5A">
        <w:t xml:space="preserve"> </w:t>
      </w:r>
      <w:r w:rsidR="00E35A5A" w:rsidRPr="000620A7">
        <w:t xml:space="preserve">– </w:t>
      </w:r>
      <w:r w:rsidRPr="00E35A5A">
        <w:t>EGF/2024/002 BE/Limburg machinery and paper</w:t>
      </w:r>
      <w:bookmarkStart w:id="9" w:name="_GoBack"/>
      <w:bookmarkEnd w:id="9"/>
    </w:p>
    <w:p w14:paraId="2904C4ED" w14:textId="5662DFC1" w:rsidR="009C64A0" w:rsidRPr="00E35A5A" w:rsidRDefault="009C64A0" w:rsidP="009C64A0">
      <w:pPr>
        <w:pStyle w:val="NormalBold24a"/>
        <w:rPr>
          <w:b w:val="0"/>
        </w:rPr>
      </w:pPr>
      <w:r w:rsidRPr="00E35A5A">
        <w:rPr>
          <w:b w:val="0"/>
          <w:i/>
        </w:rPr>
        <w:t xml:space="preserve">(Vzhledem k tomu, že bylo dosaženo dohody mezi Parlamentem a Radou, postoj Parlamentu odpovídá konečnému znění legislativního aktu, </w:t>
      </w:r>
      <w:r w:rsidRPr="00E35A5A">
        <w:rPr>
          <w:b w:val="0"/>
          <w:i/>
        </w:rPr>
        <w:t>rozhodnutí</w:t>
      </w:r>
      <w:r w:rsidRPr="00E35A5A">
        <w:rPr>
          <w:b w:val="0"/>
          <w:i/>
        </w:rPr>
        <w:t xml:space="preserve"> (EU) 202</w:t>
      </w:r>
      <w:r w:rsidRPr="00E35A5A">
        <w:rPr>
          <w:b w:val="0"/>
          <w:i/>
        </w:rPr>
        <w:t>5</w:t>
      </w:r>
      <w:r w:rsidRPr="00E35A5A">
        <w:rPr>
          <w:b w:val="0"/>
          <w:i/>
        </w:rPr>
        <w:t>/</w:t>
      </w:r>
      <w:r w:rsidRPr="00E35A5A">
        <w:rPr>
          <w:b w:val="0"/>
          <w:i/>
        </w:rPr>
        <w:t>47</w:t>
      </w:r>
      <w:r w:rsidRPr="00E35A5A">
        <w:rPr>
          <w:b w:val="0"/>
          <w:i/>
        </w:rPr>
        <w:t>.)</w:t>
      </w:r>
    </w:p>
    <w:sectPr w:rsidR="009C64A0" w:rsidRPr="00E35A5A" w:rsidSect="0022252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377C1" w14:textId="77777777" w:rsidR="00377D63" w:rsidRPr="0022252E" w:rsidRDefault="00377D63">
      <w:r w:rsidRPr="0022252E">
        <w:separator/>
      </w:r>
    </w:p>
  </w:endnote>
  <w:endnote w:type="continuationSeparator" w:id="0">
    <w:p w14:paraId="3346EE36" w14:textId="77777777" w:rsidR="00377D63" w:rsidRPr="0022252E" w:rsidRDefault="00377D63">
      <w:r w:rsidRPr="002225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ECD74" w14:textId="77777777" w:rsidR="004D582F" w:rsidRPr="0022252E" w:rsidRDefault="004D582F" w:rsidP="00400071">
    <w:pPr>
      <w:pStyle w:val="EPFooter"/>
    </w:pPr>
    <w:r w:rsidRPr="0022252E">
      <w:t>PE</w:t>
    </w:r>
    <w:r w:rsidRPr="0022252E">
      <w:rPr>
        <w:rStyle w:val="HideTWBExt"/>
      </w:rPr>
      <w:t>&lt;NoPE&gt;</w:t>
    </w:r>
    <w:r w:rsidRPr="0022252E">
      <w:t>765.241</w:t>
    </w:r>
    <w:r w:rsidRPr="0022252E">
      <w:rPr>
        <w:rStyle w:val="HideTWBExt"/>
      </w:rPr>
      <w:t>&lt;/NoPE&gt;&lt;Version&gt;</w:t>
    </w:r>
    <w:r w:rsidRPr="0022252E">
      <w:t>v03-00</w:t>
    </w:r>
    <w:r w:rsidRPr="0022252E">
      <w:rPr>
        <w:rStyle w:val="HideTWBExt"/>
      </w:rPr>
      <w:t>&lt;/Version&gt;</w:t>
    </w:r>
    <w:r w:rsidRPr="0022252E">
      <w:tab/>
    </w:r>
    <w:r w:rsidRPr="0022252E">
      <w:fldChar w:fldCharType="begin"/>
    </w:r>
    <w:r w:rsidRPr="0022252E">
      <w:instrText xml:space="preserve"> PAGE  \* MERGEFORMAT </w:instrText>
    </w:r>
    <w:r w:rsidRPr="0022252E">
      <w:fldChar w:fldCharType="separate"/>
    </w:r>
    <w:r w:rsidR="0022252E" w:rsidRPr="0022252E">
      <w:rPr>
        <w:noProof/>
      </w:rPr>
      <w:t>2</w:t>
    </w:r>
    <w:r w:rsidRPr="0022252E">
      <w:fldChar w:fldCharType="end"/>
    </w:r>
    <w:r w:rsidRPr="0022252E">
      <w:t>/</w:t>
    </w:r>
    <w:r w:rsidR="00E35A5A">
      <w:fldChar w:fldCharType="begin"/>
    </w:r>
    <w:r w:rsidR="00E35A5A">
      <w:instrText xml:space="preserve"> NUMPAGES  \* MERGEFORMAT </w:instrText>
    </w:r>
    <w:r w:rsidR="00E35A5A">
      <w:fldChar w:fldCharType="separate"/>
    </w:r>
    <w:r w:rsidR="0022252E" w:rsidRPr="0022252E">
      <w:rPr>
        <w:noProof/>
      </w:rPr>
      <w:t>4</w:t>
    </w:r>
    <w:r w:rsidR="00E35A5A">
      <w:rPr>
        <w:noProof/>
      </w:rPr>
      <w:fldChar w:fldCharType="end"/>
    </w:r>
    <w:r w:rsidRPr="0022252E">
      <w:tab/>
    </w:r>
    <w:r w:rsidRPr="0022252E">
      <w:rPr>
        <w:rStyle w:val="HideTWBExt"/>
      </w:rPr>
      <w:t>&lt;PathFdR&gt;</w:t>
    </w:r>
    <w:r w:rsidRPr="0022252E">
      <w:t>RR\1310799CS.docx</w:t>
    </w:r>
    <w:r w:rsidRPr="0022252E">
      <w:rPr>
        <w:rStyle w:val="HideTWBExt"/>
      </w:rPr>
      <w:t>&lt;/PathFdR&gt;</w:t>
    </w:r>
  </w:p>
  <w:p w14:paraId="018CAFBD" w14:textId="77777777" w:rsidR="004D582F" w:rsidRPr="0022252E" w:rsidRDefault="004D582F" w:rsidP="00400071">
    <w:pPr>
      <w:pStyle w:val="EPFooter2"/>
    </w:pPr>
    <w:r w:rsidRPr="0022252E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0009B" w14:textId="77777777" w:rsidR="004D582F" w:rsidRPr="00162764" w:rsidRDefault="004D582F" w:rsidP="004553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364E5" w14:textId="77777777" w:rsidR="004D582F" w:rsidRPr="0022252E" w:rsidRDefault="004D582F" w:rsidP="00400071">
    <w:pPr>
      <w:pStyle w:val="EPFooter"/>
    </w:pPr>
    <w:r w:rsidRPr="0022252E">
      <w:rPr>
        <w:rStyle w:val="HideTWBExt"/>
      </w:rPr>
      <w:t>&lt;PathFdR&gt;</w:t>
    </w:r>
    <w:r w:rsidRPr="0022252E">
      <w:t>RR\1310799CS.docx</w:t>
    </w:r>
    <w:r w:rsidRPr="0022252E">
      <w:rPr>
        <w:rStyle w:val="HideTWBExt"/>
      </w:rPr>
      <w:t>&lt;/PathFdR&gt;</w:t>
    </w:r>
    <w:r w:rsidRPr="0022252E">
      <w:tab/>
    </w:r>
    <w:r w:rsidRPr="0022252E">
      <w:tab/>
      <w:t>PE</w:t>
    </w:r>
    <w:r w:rsidRPr="0022252E">
      <w:rPr>
        <w:rStyle w:val="HideTWBExt"/>
      </w:rPr>
      <w:t>&lt;NoPE&gt;</w:t>
    </w:r>
    <w:r w:rsidRPr="0022252E">
      <w:t>765.241</w:t>
    </w:r>
    <w:r w:rsidRPr="0022252E">
      <w:rPr>
        <w:rStyle w:val="HideTWBExt"/>
      </w:rPr>
      <w:t>&lt;/NoPE&gt;&lt;Version&gt;</w:t>
    </w:r>
    <w:r w:rsidRPr="0022252E">
      <w:t>v03-00</w:t>
    </w:r>
    <w:r w:rsidRPr="0022252E">
      <w:rPr>
        <w:rStyle w:val="HideTWBExt"/>
      </w:rPr>
      <w:t>&lt;/Version&gt;</w:t>
    </w:r>
  </w:p>
  <w:p w14:paraId="32629835" w14:textId="77777777" w:rsidR="004D582F" w:rsidRPr="0022252E" w:rsidRDefault="004D582F" w:rsidP="00400071">
    <w:pPr>
      <w:pStyle w:val="EPFooter2"/>
    </w:pPr>
    <w:r w:rsidRPr="0022252E">
      <w:t>CS</w:t>
    </w:r>
    <w:r w:rsidRPr="0022252E">
      <w:tab/>
    </w:r>
    <w:r w:rsidRPr="0022252E">
      <w:rPr>
        <w:b w:val="0"/>
        <w:i/>
        <w:color w:val="C0C0C0"/>
        <w:sz w:val="22"/>
      </w:rPr>
      <w:t>Jednotná v rozmanitosti</w:t>
    </w:r>
    <w:r w:rsidRPr="0022252E"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C23EE" w14:textId="77777777" w:rsidR="00064002" w:rsidRPr="0022252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10486" w14:textId="77777777" w:rsidR="00064002" w:rsidRPr="0022252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4C351" w14:textId="77777777" w:rsidR="00064002" w:rsidRPr="002225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D63ED" w14:textId="77777777" w:rsidR="00377D63" w:rsidRPr="0022252E" w:rsidRDefault="00377D63">
      <w:r w:rsidRPr="0022252E">
        <w:separator/>
      </w:r>
    </w:p>
  </w:footnote>
  <w:footnote w:type="continuationSeparator" w:id="0">
    <w:p w14:paraId="362E4072" w14:textId="77777777" w:rsidR="00377D63" w:rsidRPr="0022252E" w:rsidRDefault="00377D63">
      <w:r w:rsidRPr="0022252E">
        <w:continuationSeparator/>
      </w:r>
    </w:p>
  </w:footnote>
  <w:footnote w:id="1">
    <w:p w14:paraId="05752A5D" w14:textId="3C6671FD" w:rsidR="004D582F" w:rsidRPr="009C64A0" w:rsidRDefault="004D582F" w:rsidP="0022252E">
      <w:pPr>
        <w:pStyle w:val="FootnoteText"/>
        <w:ind w:left="567" w:hanging="567"/>
        <w:rPr>
          <w:color w:val="000000" w:themeColor="text1"/>
          <w:sz w:val="24"/>
          <w:szCs w:val="24"/>
          <w:lang w:val="cs-CZ"/>
        </w:rPr>
      </w:pPr>
      <w:r w:rsidRPr="009C64A0">
        <w:rPr>
          <w:rStyle w:val="FootnoteReference"/>
          <w:color w:val="000000" w:themeColor="text1"/>
          <w:sz w:val="24"/>
          <w:szCs w:val="24"/>
          <w:lang w:val="cs-CZ"/>
        </w:rPr>
        <w:footnoteRef/>
      </w:r>
      <w:r w:rsidR="0022252E" w:rsidRPr="009C64A0">
        <w:rPr>
          <w:color w:val="000000" w:themeColor="text1"/>
          <w:sz w:val="24"/>
          <w:szCs w:val="24"/>
          <w:lang w:val="cs-CZ"/>
        </w:rPr>
        <w:t xml:space="preserve"> </w:t>
      </w:r>
      <w:r w:rsidR="0022252E" w:rsidRPr="009C64A0">
        <w:rPr>
          <w:color w:val="000000" w:themeColor="text1"/>
          <w:sz w:val="24"/>
          <w:szCs w:val="24"/>
          <w:lang w:val="cs-CZ"/>
        </w:rPr>
        <w:tab/>
      </w:r>
      <w:r w:rsidRPr="009C64A0">
        <w:rPr>
          <w:color w:val="000000" w:themeColor="text1"/>
          <w:sz w:val="24"/>
          <w:szCs w:val="24"/>
          <w:lang w:val="cs-CZ"/>
        </w:rPr>
        <w:t xml:space="preserve">Úř. věst. L 153, 3.5.2021, s. 48, </w:t>
      </w:r>
      <w:hyperlink r:id="rId1" w:history="1">
        <w:r w:rsidRPr="009C64A0">
          <w:rPr>
            <w:rStyle w:val="Hyperlink"/>
            <w:sz w:val="24"/>
            <w:szCs w:val="24"/>
            <w:lang w:val="cs-CZ"/>
          </w:rPr>
          <w:t>http://data.europa.eu/eli/reg/2021/691/oj</w:t>
        </w:r>
      </w:hyperlink>
      <w:r w:rsidRPr="009C64A0">
        <w:rPr>
          <w:color w:val="000000" w:themeColor="text1"/>
          <w:sz w:val="24"/>
          <w:szCs w:val="24"/>
          <w:lang w:val="cs-CZ"/>
        </w:rPr>
        <w:t>.</w:t>
      </w:r>
    </w:p>
  </w:footnote>
  <w:footnote w:id="2">
    <w:p w14:paraId="7AE6E2DC" w14:textId="0867003D" w:rsidR="004D582F" w:rsidRPr="009C64A0" w:rsidRDefault="004D582F" w:rsidP="0022252E">
      <w:pPr>
        <w:pStyle w:val="FootnoteText"/>
        <w:ind w:left="567" w:hanging="567"/>
        <w:rPr>
          <w:color w:val="000000" w:themeColor="text1"/>
          <w:sz w:val="24"/>
          <w:szCs w:val="24"/>
          <w:lang w:val="cs-CZ"/>
        </w:rPr>
      </w:pPr>
      <w:r w:rsidRPr="009C64A0">
        <w:rPr>
          <w:rStyle w:val="FootnoteReference"/>
          <w:color w:val="000000" w:themeColor="text1"/>
          <w:sz w:val="24"/>
          <w:szCs w:val="24"/>
          <w:lang w:val="cs-CZ"/>
        </w:rPr>
        <w:footnoteRef/>
      </w:r>
      <w:r w:rsidR="0022252E" w:rsidRPr="009C64A0">
        <w:rPr>
          <w:color w:val="000000" w:themeColor="text1"/>
          <w:sz w:val="24"/>
          <w:szCs w:val="24"/>
          <w:lang w:val="cs-CZ"/>
        </w:rPr>
        <w:t xml:space="preserve"> </w:t>
      </w:r>
      <w:r w:rsidR="0022252E" w:rsidRPr="009C64A0">
        <w:rPr>
          <w:color w:val="000000" w:themeColor="text1"/>
          <w:sz w:val="24"/>
          <w:szCs w:val="24"/>
          <w:lang w:val="cs-CZ"/>
        </w:rPr>
        <w:tab/>
      </w:r>
      <w:r w:rsidRPr="009C64A0">
        <w:rPr>
          <w:color w:val="000000" w:themeColor="text1"/>
          <w:sz w:val="24"/>
          <w:szCs w:val="24"/>
          <w:lang w:val="cs-CZ"/>
        </w:rPr>
        <w:t xml:space="preserve">Úř. věst. L 433 I, 22.12.2020, s. 11, ELI: </w:t>
      </w:r>
      <w:hyperlink r:id="rId2" w:history="1">
        <w:r w:rsidRPr="009C64A0">
          <w:rPr>
            <w:rStyle w:val="Hyperlink"/>
            <w:sz w:val="24"/>
            <w:szCs w:val="24"/>
            <w:lang w:val="fi-FI"/>
          </w:rPr>
          <w:t>https://eur-lex.europa.eu/eli/reg/2020/2093/oj</w:t>
        </w:r>
      </w:hyperlink>
      <w:r w:rsidRPr="009C64A0">
        <w:rPr>
          <w:color w:val="000000" w:themeColor="text1"/>
          <w:sz w:val="24"/>
          <w:szCs w:val="24"/>
          <w:lang w:val="cs-CZ"/>
        </w:rPr>
        <w:t>.</w:t>
      </w:r>
    </w:p>
  </w:footnote>
  <w:footnote w:id="3">
    <w:p w14:paraId="069A1127" w14:textId="5CB52F58" w:rsidR="004D582F" w:rsidRPr="009C64A0" w:rsidRDefault="004D582F" w:rsidP="0022252E">
      <w:pPr>
        <w:pStyle w:val="FootnoteText"/>
        <w:ind w:left="567" w:hanging="567"/>
        <w:rPr>
          <w:color w:val="000000" w:themeColor="text1"/>
          <w:sz w:val="24"/>
          <w:szCs w:val="24"/>
          <w:lang w:val="cs-CZ"/>
        </w:rPr>
      </w:pPr>
      <w:r w:rsidRPr="009C64A0">
        <w:rPr>
          <w:rStyle w:val="FootnoteReference"/>
          <w:color w:val="000000" w:themeColor="text1"/>
          <w:sz w:val="24"/>
          <w:szCs w:val="24"/>
          <w:lang w:val="cs-CZ"/>
        </w:rPr>
        <w:footnoteRef/>
      </w:r>
      <w:r w:rsidR="0022252E" w:rsidRPr="009C64A0">
        <w:rPr>
          <w:color w:val="000000" w:themeColor="text1"/>
          <w:sz w:val="24"/>
          <w:szCs w:val="24"/>
          <w:shd w:val="clear" w:color="auto" w:fill="FFFFFF"/>
          <w:lang w:val="cs-CZ"/>
        </w:rPr>
        <w:t xml:space="preserve"> </w:t>
      </w:r>
      <w:r w:rsidR="0022252E" w:rsidRPr="009C64A0">
        <w:rPr>
          <w:color w:val="000000" w:themeColor="text1"/>
          <w:sz w:val="24"/>
          <w:szCs w:val="24"/>
          <w:shd w:val="clear" w:color="auto" w:fill="FFFFFF"/>
          <w:lang w:val="cs-CZ"/>
        </w:rPr>
        <w:tab/>
      </w:r>
      <w:r w:rsidRPr="009C64A0">
        <w:rPr>
          <w:color w:val="000000" w:themeColor="text1"/>
          <w:sz w:val="24"/>
          <w:szCs w:val="24"/>
          <w:shd w:val="clear" w:color="auto" w:fill="FFFFFF"/>
          <w:lang w:val="cs-CZ"/>
        </w:rPr>
        <w:t>Nařízení Rady (EU, Euratom) 2024/765 ze dne 29. února 2024, kterým se mění nařízení (EU, Euratom) 2020/2093, kterým se stanoví víceletý finanční rámec na období 2021–2027</w:t>
      </w:r>
      <w:r w:rsidRPr="009C64A0">
        <w:rPr>
          <w:color w:val="000000" w:themeColor="text1"/>
          <w:sz w:val="24"/>
          <w:szCs w:val="24"/>
          <w:lang w:val="cs-CZ"/>
        </w:rPr>
        <w:t xml:space="preserve">(Úř. věst. L, 2024/765, 29.2.2024, </w:t>
      </w:r>
      <w:hyperlink r:id="rId3" w:history="1">
        <w:r w:rsidRPr="009C64A0">
          <w:rPr>
            <w:rStyle w:val="Hyperlink"/>
            <w:sz w:val="24"/>
            <w:szCs w:val="24"/>
            <w:lang w:val="fi-FI"/>
          </w:rPr>
          <w:t>ELI: http://data.europa.eu/eli/reg/2024/765/oj</w:t>
        </w:r>
      </w:hyperlink>
      <w:r w:rsidRPr="009C64A0">
        <w:rPr>
          <w:rStyle w:val="Emphasis"/>
          <w:i w:val="0"/>
          <w:color w:val="000000" w:themeColor="text1"/>
          <w:sz w:val="24"/>
          <w:szCs w:val="24"/>
          <w:shd w:val="clear" w:color="auto" w:fill="FFFFFF"/>
          <w:lang w:val="cs-CZ"/>
        </w:rPr>
        <w:t>).</w:t>
      </w:r>
    </w:p>
  </w:footnote>
  <w:footnote w:id="4">
    <w:p w14:paraId="5F90C920" w14:textId="70B74FB2" w:rsidR="004D582F" w:rsidRPr="009C64A0" w:rsidRDefault="004D582F" w:rsidP="0022252E">
      <w:pPr>
        <w:pStyle w:val="FootnoteText"/>
        <w:ind w:left="567" w:hanging="567"/>
        <w:rPr>
          <w:color w:val="000000" w:themeColor="text1"/>
          <w:sz w:val="24"/>
          <w:szCs w:val="24"/>
          <w:lang w:val="cs-CZ"/>
        </w:rPr>
      </w:pPr>
      <w:r w:rsidRPr="009C64A0">
        <w:rPr>
          <w:rStyle w:val="FootnoteReference"/>
          <w:color w:val="000000" w:themeColor="text1"/>
          <w:sz w:val="24"/>
          <w:szCs w:val="24"/>
          <w:lang w:val="cs-CZ"/>
        </w:rPr>
        <w:footnoteRef/>
      </w:r>
      <w:r w:rsidR="0022252E" w:rsidRPr="009C64A0">
        <w:rPr>
          <w:color w:val="000000" w:themeColor="text1"/>
          <w:sz w:val="24"/>
          <w:szCs w:val="24"/>
          <w:lang w:val="cs-CZ"/>
        </w:rPr>
        <w:t xml:space="preserve"> </w:t>
      </w:r>
      <w:r w:rsidR="0022252E" w:rsidRPr="009C64A0">
        <w:rPr>
          <w:color w:val="000000" w:themeColor="text1"/>
          <w:sz w:val="24"/>
          <w:szCs w:val="24"/>
          <w:lang w:val="cs-CZ"/>
        </w:rPr>
        <w:tab/>
      </w:r>
      <w:r w:rsidRPr="009C64A0">
        <w:rPr>
          <w:color w:val="000000" w:themeColor="text1"/>
          <w:sz w:val="24"/>
          <w:szCs w:val="24"/>
          <w:lang w:val="cs-CZ"/>
        </w:rPr>
        <w:t xml:space="preserve">Úř. věst. L 433 I, 22.12.2020, s. 28, ELI: </w:t>
      </w:r>
      <w:hyperlink r:id="rId4" w:history="1">
        <w:r w:rsidRPr="009C64A0">
          <w:rPr>
            <w:rStyle w:val="Hyperlink"/>
            <w:sz w:val="24"/>
            <w:szCs w:val="24"/>
            <w:lang w:val="fi-FI"/>
          </w:rPr>
          <w:t>http://data.europa.eu/eli/agree_interinstit/2020/1222/oj</w:t>
        </w:r>
      </w:hyperlink>
      <w:r w:rsidRPr="009C64A0">
        <w:rPr>
          <w:color w:val="000000" w:themeColor="text1"/>
          <w:sz w:val="24"/>
          <w:szCs w:val="24"/>
          <w:lang w:val="cs-CZ"/>
        </w:rPr>
        <w:t>.</w:t>
      </w:r>
    </w:p>
  </w:footnote>
  <w:footnote w:id="5">
    <w:p w14:paraId="5080C729" w14:textId="77777777" w:rsidR="004D582F" w:rsidRPr="009C64A0" w:rsidRDefault="004D582F" w:rsidP="0022252E">
      <w:pPr>
        <w:pStyle w:val="FootnoteText"/>
        <w:ind w:left="567" w:hanging="567"/>
        <w:rPr>
          <w:color w:val="000000" w:themeColor="text1"/>
          <w:sz w:val="24"/>
          <w:szCs w:val="24"/>
          <w:lang w:val="cs-CZ"/>
        </w:rPr>
      </w:pPr>
      <w:r w:rsidRPr="009C64A0">
        <w:rPr>
          <w:rStyle w:val="FootnoteReference"/>
          <w:color w:val="000000" w:themeColor="text1"/>
          <w:sz w:val="24"/>
          <w:szCs w:val="24"/>
          <w:lang w:val="cs-CZ"/>
        </w:rPr>
        <w:footnoteRef/>
      </w:r>
      <w:r w:rsidR="0022252E" w:rsidRPr="009C64A0">
        <w:rPr>
          <w:color w:val="000000" w:themeColor="text1"/>
          <w:sz w:val="24"/>
          <w:szCs w:val="24"/>
          <w:lang w:val="cs-CZ"/>
        </w:rPr>
        <w:t xml:space="preserve"> </w:t>
      </w:r>
      <w:r w:rsidR="0022252E" w:rsidRPr="009C64A0">
        <w:rPr>
          <w:color w:val="000000" w:themeColor="text1"/>
          <w:sz w:val="24"/>
          <w:szCs w:val="24"/>
          <w:lang w:val="cs-CZ"/>
        </w:rPr>
        <w:tab/>
      </w:r>
      <w:r w:rsidRPr="009C64A0">
        <w:rPr>
          <w:color w:val="000000" w:themeColor="text1"/>
          <w:sz w:val="24"/>
          <w:szCs w:val="24"/>
          <w:lang w:val="cs-CZ"/>
        </w:rPr>
        <w:t>Ve smyslu článku 3 nařízení o EFG.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62D6B" w14:textId="77777777" w:rsidR="00064002" w:rsidRPr="002225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4E836" w14:textId="77777777" w:rsidR="00064002" w:rsidRPr="002225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2CF2F" w14:textId="77777777" w:rsidR="00064002" w:rsidRPr="002225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4"/>
    <w:docVar w:name="dvlangue" w:val="CS"/>
    <w:docVar w:name="dvnumam" w:val="0"/>
    <w:docVar w:name="dvpe" w:val="765.241"/>
    <w:docVar w:name="dvrapporteur" w:val="Zpravodaj: "/>
    <w:docVar w:name="dvtitre" w:val="Usnesení Evropského parlamentu ze dne 17. prosince 2024 o návrhu rozhodnutí Evropského parlamentu a Rady o uvolnění prostředků z Evropského fondu pro přizpůsobení se globalizaci na pomoc propuštěným pracovníkům na základě žádosti Belgie – EGF/2024/002 BE/Limburg machinery and paper(COM(2024)0370 – C10-0166/2024 – 2024/0286(BUD))"/>
  </w:docVars>
  <w:rsids>
    <w:rsidRoot w:val="00377D63"/>
    <w:rsid w:val="00002272"/>
    <w:rsid w:val="00064002"/>
    <w:rsid w:val="000677B9"/>
    <w:rsid w:val="000831BA"/>
    <w:rsid w:val="000A42CC"/>
    <w:rsid w:val="000E7DD9"/>
    <w:rsid w:val="0010095E"/>
    <w:rsid w:val="00125B37"/>
    <w:rsid w:val="00162764"/>
    <w:rsid w:val="00187494"/>
    <w:rsid w:val="001B0495"/>
    <w:rsid w:val="001F32AE"/>
    <w:rsid w:val="0022252E"/>
    <w:rsid w:val="002767FF"/>
    <w:rsid w:val="002B18FE"/>
    <w:rsid w:val="002B1EDB"/>
    <w:rsid w:val="002B5493"/>
    <w:rsid w:val="00343214"/>
    <w:rsid w:val="00361C00"/>
    <w:rsid w:val="00377D63"/>
    <w:rsid w:val="0039094E"/>
    <w:rsid w:val="00395FA1"/>
    <w:rsid w:val="003E15D4"/>
    <w:rsid w:val="00411CCE"/>
    <w:rsid w:val="0041666E"/>
    <w:rsid w:val="00421060"/>
    <w:rsid w:val="00455399"/>
    <w:rsid w:val="00471C19"/>
    <w:rsid w:val="004867E3"/>
    <w:rsid w:val="00494A28"/>
    <w:rsid w:val="004A63A8"/>
    <w:rsid w:val="004C0004"/>
    <w:rsid w:val="004C5D52"/>
    <w:rsid w:val="004D582F"/>
    <w:rsid w:val="0050519A"/>
    <w:rsid w:val="005072A1"/>
    <w:rsid w:val="00514517"/>
    <w:rsid w:val="00545827"/>
    <w:rsid w:val="00560270"/>
    <w:rsid w:val="005A13F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7F1"/>
    <w:rsid w:val="007E22AD"/>
    <w:rsid w:val="00817416"/>
    <w:rsid w:val="00842779"/>
    <w:rsid w:val="00865F67"/>
    <w:rsid w:val="00881A7B"/>
    <w:rsid w:val="008840E5"/>
    <w:rsid w:val="00887B3E"/>
    <w:rsid w:val="008C2AC6"/>
    <w:rsid w:val="008E198F"/>
    <w:rsid w:val="00930C23"/>
    <w:rsid w:val="0093193B"/>
    <w:rsid w:val="009509D8"/>
    <w:rsid w:val="00950B64"/>
    <w:rsid w:val="00981893"/>
    <w:rsid w:val="00991C0B"/>
    <w:rsid w:val="009C64A0"/>
    <w:rsid w:val="00A1687D"/>
    <w:rsid w:val="00A43E52"/>
    <w:rsid w:val="00A4678D"/>
    <w:rsid w:val="00A778C7"/>
    <w:rsid w:val="00AB441E"/>
    <w:rsid w:val="00AB6293"/>
    <w:rsid w:val="00AC628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674"/>
    <w:rsid w:val="00CF071A"/>
    <w:rsid w:val="00D058B8"/>
    <w:rsid w:val="00D56C11"/>
    <w:rsid w:val="00D834A0"/>
    <w:rsid w:val="00D872DF"/>
    <w:rsid w:val="00D91E21"/>
    <w:rsid w:val="00DA1A24"/>
    <w:rsid w:val="00DA7FCD"/>
    <w:rsid w:val="00E35A5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D830C"/>
  <w15:chartTrackingRefBased/>
  <w15:docId w15:val="{68453E37-A147-481F-BECA-DAE9D016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D582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4D582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D582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D58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D582F"/>
    <w:rPr>
      <w:sz w:val="24"/>
      <w:lang w:val="cs-CZ"/>
    </w:rPr>
  </w:style>
  <w:style w:type="paragraph" w:customStyle="1" w:styleId="NormalBold24a">
    <w:name w:val="NormalBold24a"/>
    <w:basedOn w:val="Normal"/>
    <w:rsid w:val="004D582F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4D582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D582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D582F"/>
    <w:rPr>
      <w:sz w:val="24"/>
      <w:lang w:val="cs-CZ"/>
    </w:rPr>
  </w:style>
  <w:style w:type="paragraph" w:customStyle="1" w:styleId="Institutionquisigne">
    <w:name w:val="Institution qui signe"/>
    <w:basedOn w:val="Normal"/>
    <w:next w:val="Normal"/>
    <w:rsid w:val="004D582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D582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D582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D582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D582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D582F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4D582F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4D582F"/>
    <w:rPr>
      <w:rFonts w:ascii="Arial" w:hAnsi="Arial" w:cs="Arial"/>
      <w:b/>
      <w:sz w:val="24"/>
      <w:lang w:val="cs-CZ"/>
    </w:rPr>
  </w:style>
  <w:style w:type="paragraph" w:styleId="BalloonText">
    <w:name w:val="Balloon Text"/>
    <w:basedOn w:val="Normal"/>
    <w:link w:val="BalloonTextChar"/>
    <w:rsid w:val="001627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2764"/>
    <w:rPr>
      <w:rFonts w:ascii="Segoe UI" w:hAnsi="Segoe UI" w:cs="Segoe UI"/>
      <w:sz w:val="18"/>
      <w:szCs w:val="18"/>
      <w:lang w:val="cs-CZ"/>
    </w:rPr>
  </w:style>
  <w:style w:type="paragraph" w:styleId="Footer">
    <w:name w:val="footer"/>
    <w:basedOn w:val="Normal"/>
    <w:link w:val="FooterChar"/>
    <w:rsid w:val="001627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62764"/>
    <w:rPr>
      <w:sz w:val="24"/>
      <w:lang w:val="cs-CZ"/>
    </w:rPr>
  </w:style>
  <w:style w:type="character" w:styleId="Hyperlink">
    <w:name w:val="Hyperlink"/>
    <w:basedOn w:val="DefaultParagraphFont"/>
    <w:rsid w:val="0016276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5A13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13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13F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5A13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13F7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ELI:%20http://data.europa.eu/eli/reg/2024/765/oj" TargetMode="External"/><Relationship Id="rId2" Type="http://schemas.openxmlformats.org/officeDocument/2006/relationships/hyperlink" Target="https://eur-lex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74846-9EA8-4A29-96F2-20FD5977C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1607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2025-02-05T14:16:00Z</dcterms:created>
  <dcterms:modified xsi:type="dcterms:W3CDTF">2025-02-05T14:16:00Z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P10_TA(2024)0062_</vt:lpwstr>
  </property>
  <property fmtid="{D5CDD505-2E9C-101B-9397-08002B2CF9AE}" pid="4" name="&lt;Type&gt;">
    <vt:lpwstr>RR</vt:lpwstr>
  </property>
</Properties>
</file>