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74F1" w14:paraId="24F25D53" w14:textId="77777777" w:rsidTr="0010095E">
        <w:trPr>
          <w:trHeight w:hRule="exact" w:val="1418"/>
        </w:trPr>
        <w:tc>
          <w:tcPr>
            <w:tcW w:w="6804" w:type="dxa"/>
            <w:shd w:val="clear" w:color="auto" w:fill="auto"/>
            <w:vAlign w:val="center"/>
          </w:tcPr>
          <w:p w14:paraId="479B0C62" w14:textId="77777777" w:rsidR="00751A4A" w:rsidRPr="006E74F1" w:rsidRDefault="00DD558C" w:rsidP="0010095E">
            <w:pPr>
              <w:pStyle w:val="EPName"/>
            </w:pPr>
            <w:r w:rsidRPr="006E74F1">
              <w:t>Europa-Parlamentet</w:t>
            </w:r>
          </w:p>
          <w:p w14:paraId="2236D52F" w14:textId="77777777" w:rsidR="00751A4A" w:rsidRPr="006E74F1" w:rsidRDefault="005F1B17" w:rsidP="005F1B17">
            <w:pPr>
              <w:pStyle w:val="EPTerm"/>
              <w:rPr>
                <w:rStyle w:val="HideTWBExt"/>
                <w:noProof w:val="0"/>
                <w:vanish w:val="0"/>
                <w:color w:val="auto"/>
              </w:rPr>
            </w:pPr>
            <w:r w:rsidRPr="006E74F1">
              <w:t>2024</w:t>
            </w:r>
            <w:r w:rsidR="00817416" w:rsidRPr="006E74F1">
              <w:t>-202</w:t>
            </w:r>
            <w:r w:rsidRPr="006E74F1">
              <w:t>9</w:t>
            </w:r>
          </w:p>
        </w:tc>
        <w:tc>
          <w:tcPr>
            <w:tcW w:w="2268" w:type="dxa"/>
            <w:shd w:val="clear" w:color="auto" w:fill="auto"/>
          </w:tcPr>
          <w:p w14:paraId="2C9D2DCA" w14:textId="77777777" w:rsidR="00751A4A" w:rsidRPr="006E74F1" w:rsidRDefault="00187494" w:rsidP="0010095E">
            <w:pPr>
              <w:pStyle w:val="EPLogo"/>
            </w:pPr>
            <w:r w:rsidRPr="006E74F1">
              <w:rPr>
                <w:noProof/>
                <w:lang w:eastAsia="da-DK"/>
              </w:rPr>
              <w:drawing>
                <wp:inline distT="0" distB="0" distL="0" distR="0" wp14:anchorId="5FCEECC2" wp14:editId="205DC0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F302D0" w14:textId="77777777" w:rsidR="00D058B8" w:rsidRPr="006E74F1" w:rsidRDefault="00D058B8" w:rsidP="004C5D52">
      <w:pPr>
        <w:pStyle w:val="LineTop"/>
      </w:pPr>
    </w:p>
    <w:p w14:paraId="05BF87E2" w14:textId="77777777" w:rsidR="00680577" w:rsidRPr="006E74F1" w:rsidRDefault="00DD558C" w:rsidP="00680577">
      <w:pPr>
        <w:pStyle w:val="EPBodyTA1"/>
      </w:pPr>
      <w:r w:rsidRPr="006E74F1">
        <w:t>VEDTAGNE TEKSTER</w:t>
      </w:r>
    </w:p>
    <w:p w14:paraId="1FCCA3EC" w14:textId="77777777" w:rsidR="00D058B8" w:rsidRPr="006E74F1" w:rsidRDefault="00D058B8" w:rsidP="00D058B8">
      <w:pPr>
        <w:pStyle w:val="LineBottom"/>
      </w:pPr>
    </w:p>
    <w:p w14:paraId="08B96A44" w14:textId="482CF394" w:rsidR="00DD558C" w:rsidRPr="006E74F1" w:rsidRDefault="00DD558C" w:rsidP="00DD558C">
      <w:pPr>
        <w:pStyle w:val="ATHeading1"/>
      </w:pPr>
      <w:bookmarkStart w:id="0" w:name="TANumber"/>
      <w:r w:rsidRPr="006E74F1">
        <w:t>P10_TA(2024)00</w:t>
      </w:r>
      <w:r w:rsidR="00736034">
        <w:t>62</w:t>
      </w:r>
      <w:bookmarkEnd w:id="0"/>
    </w:p>
    <w:p w14:paraId="4C2E5881" w14:textId="77777777" w:rsidR="00DD558C" w:rsidRPr="006E74F1" w:rsidRDefault="00DD558C" w:rsidP="00DD558C">
      <w:pPr>
        <w:pStyle w:val="ATHeading2"/>
      </w:pPr>
      <w:bookmarkStart w:id="1" w:name="title"/>
      <w:r w:rsidRPr="006E74F1">
        <w:t>Mobilisering af Den Europæiske Fond for Tilpasning til Globaliseringen: ansøgning EGF/2024/002 BE/Limburg maskiner og papir - Belgien</w:t>
      </w:r>
      <w:bookmarkEnd w:id="1"/>
    </w:p>
    <w:p w14:paraId="29062BFD" w14:textId="77777777" w:rsidR="00DD558C" w:rsidRPr="006E74F1" w:rsidRDefault="00DD558C" w:rsidP="00DD558C">
      <w:pPr>
        <w:rPr>
          <w:i/>
          <w:vanish/>
        </w:rPr>
      </w:pPr>
      <w:r w:rsidRPr="006E74F1">
        <w:rPr>
          <w:i/>
        </w:rPr>
        <w:fldChar w:fldCharType="begin"/>
      </w:r>
      <w:r w:rsidRPr="006E74F1">
        <w:rPr>
          <w:i/>
        </w:rPr>
        <w:instrText xml:space="preserve"> TC"(</w:instrText>
      </w:r>
      <w:bookmarkStart w:id="2" w:name="DocNumber"/>
      <w:r w:rsidRPr="006E74F1">
        <w:rPr>
          <w:i/>
        </w:rPr>
        <w:instrText>A10-0019/2024</w:instrText>
      </w:r>
      <w:bookmarkEnd w:id="2"/>
      <w:r w:rsidRPr="006E74F1">
        <w:rPr>
          <w:i/>
        </w:rPr>
        <w:instrText xml:space="preserve"> - Ordfører: Matjaž Nemec)"\l3 \n&gt; \* MERGEFORMAT </w:instrText>
      </w:r>
      <w:r w:rsidRPr="006E74F1">
        <w:rPr>
          <w:i/>
        </w:rPr>
        <w:fldChar w:fldCharType="end"/>
      </w:r>
    </w:p>
    <w:p w14:paraId="6CD23FE8" w14:textId="77777777" w:rsidR="00DD558C" w:rsidRPr="006E74F1" w:rsidRDefault="00DD558C" w:rsidP="00DD558C">
      <w:pPr>
        <w:rPr>
          <w:vanish/>
        </w:rPr>
      </w:pPr>
      <w:bookmarkStart w:id="3" w:name="Commission"/>
      <w:r w:rsidRPr="006E74F1">
        <w:rPr>
          <w:vanish/>
        </w:rPr>
        <w:t>Budgetudvalget</w:t>
      </w:r>
      <w:bookmarkEnd w:id="3"/>
    </w:p>
    <w:p w14:paraId="58EA8D8F" w14:textId="77777777" w:rsidR="00DD558C" w:rsidRPr="006E74F1" w:rsidRDefault="00DD558C" w:rsidP="00DD558C">
      <w:pPr>
        <w:rPr>
          <w:vanish/>
        </w:rPr>
      </w:pPr>
      <w:bookmarkStart w:id="4" w:name="PE"/>
      <w:r w:rsidRPr="006E74F1">
        <w:rPr>
          <w:vanish/>
        </w:rPr>
        <w:t>PE765.241</w:t>
      </w:r>
      <w:bookmarkEnd w:id="4"/>
    </w:p>
    <w:p w14:paraId="39457E8B" w14:textId="416DE228" w:rsidR="00DD558C" w:rsidRPr="006E74F1" w:rsidRDefault="00DD558C" w:rsidP="00DD558C">
      <w:pPr>
        <w:pStyle w:val="ATHeading3"/>
      </w:pPr>
      <w:bookmarkStart w:id="5" w:name="Sujet"/>
      <w:r w:rsidRPr="006E74F1">
        <w:t xml:space="preserve">Europa-Parlamentets beslutning af </w:t>
      </w:r>
      <w:r w:rsidR="00951D7D" w:rsidRPr="006E74F1">
        <w:t>17</w:t>
      </w:r>
      <w:r w:rsidRPr="006E74F1">
        <w:t>. december 2024 om forslag til Europa-Parlamentets og Rådets afgørelse om mobilisering af Den Europæiske Fond for Tilpasning til Globaliseringen for Afskedigede Arbejdstagere på baggrund af en ansøgning fra Belgien - EGF/2024/002 BE/Limburg maskiner og papir</w:t>
      </w:r>
      <w:bookmarkEnd w:id="5"/>
      <w:r w:rsidRPr="006E74F1">
        <w:t xml:space="preserve"> </w:t>
      </w:r>
      <w:bookmarkStart w:id="6" w:name="References"/>
      <w:r w:rsidRPr="006E74F1">
        <w:t>(COM(2024)0370 – C10-0166/2024 – 2024/0286(BUD))</w:t>
      </w:r>
      <w:bookmarkEnd w:id="6"/>
    </w:p>
    <w:p w14:paraId="3A145AEF" w14:textId="77777777" w:rsidR="00F04E06" w:rsidRPr="006E74F1" w:rsidRDefault="00F04E06" w:rsidP="00F04E06">
      <w:pPr>
        <w:pStyle w:val="EPComma"/>
      </w:pPr>
      <w:r w:rsidRPr="006E74F1">
        <w:rPr>
          <w:i/>
        </w:rPr>
        <w:t>Europa-Parlamentet</w:t>
      </w:r>
      <w:r w:rsidRPr="006E74F1">
        <w:t>,</w:t>
      </w:r>
    </w:p>
    <w:p w14:paraId="39F164C2" w14:textId="77777777" w:rsidR="00F04E06" w:rsidRPr="006E74F1" w:rsidRDefault="00F04E06" w:rsidP="00F04E06">
      <w:pPr>
        <w:pStyle w:val="NormalHanging12a"/>
      </w:pPr>
      <w:r w:rsidRPr="006E74F1">
        <w:t>–</w:t>
      </w:r>
      <w:r w:rsidRPr="006E74F1">
        <w:tab/>
        <w:t>der henviser til Kommissionens forslag til Europa-Parlamentet og Rådet (COM(2024)0370 – C10-0166/2024),</w:t>
      </w:r>
    </w:p>
    <w:p w14:paraId="7CB32976" w14:textId="77777777" w:rsidR="00F04E06" w:rsidRPr="006E74F1" w:rsidRDefault="00F04E06" w:rsidP="00F04E06">
      <w:pPr>
        <w:pStyle w:val="NormalHanging12a"/>
      </w:pPr>
      <w:r w:rsidRPr="006E74F1">
        <w:t>–</w:t>
      </w:r>
      <w:r w:rsidRPr="006E74F1">
        <w:tab/>
        <w:t>der henviser til Europa-Parlamentets og Rådets forordning (EU) 2021/691 af 28. april 2021 om Den Europæiske Fond for Tilpasning til Globaliseringen for Afskedigede Arbejdstagere (EGF) og om ophævelse af forordning (EU) nr. 1309/2013</w:t>
      </w:r>
      <w:r w:rsidRPr="006E74F1">
        <w:rPr>
          <w:rStyle w:val="FootnoteReference"/>
        </w:rPr>
        <w:footnoteReference w:id="1"/>
      </w:r>
      <w:r w:rsidRPr="006E74F1">
        <w:t xml:space="preserve"> ("EGF-forordningen"),</w:t>
      </w:r>
    </w:p>
    <w:p w14:paraId="004A7C8C" w14:textId="0FAF0D06" w:rsidR="00F04E06" w:rsidRPr="006E74F1" w:rsidRDefault="00F04E06" w:rsidP="00F04E06">
      <w:pPr>
        <w:pStyle w:val="NormalHanging12a"/>
      </w:pPr>
      <w:r w:rsidRPr="006E74F1">
        <w:t>–</w:t>
      </w:r>
      <w:r w:rsidRPr="006E74F1">
        <w:tab/>
        <w:t>der henviser til Rådets forordning (EU, Euratom) 2020/2093 af 17. december 2020 om fastlæggelse af den flerårige finansielle ramme for årene 2021-2027</w:t>
      </w:r>
      <w:r w:rsidRPr="006E74F1">
        <w:rPr>
          <w:rStyle w:val="FootnoteReference"/>
        </w:rPr>
        <w:footnoteReference w:id="2"/>
      </w:r>
      <w:r w:rsidRPr="006E74F1">
        <w:t xml:space="preserve"> som ændret ved </w:t>
      </w:r>
      <w:r w:rsidR="00735322" w:rsidRPr="006E74F1">
        <w:t xml:space="preserve">Rådets </w:t>
      </w:r>
      <w:r w:rsidRPr="006E74F1">
        <w:t>forordning (EU, Euratom) 2024/765</w:t>
      </w:r>
      <w:r w:rsidRPr="006E74F1">
        <w:rPr>
          <w:rStyle w:val="FootnoteReference"/>
          <w:bdr w:val="none" w:sz="0" w:space="0" w:color="auto" w:frame="1"/>
        </w:rPr>
        <w:footnoteReference w:id="3"/>
      </w:r>
      <w:r w:rsidRPr="006E74F1">
        <w:t>, særlig artikel 8,</w:t>
      </w:r>
    </w:p>
    <w:p w14:paraId="4498B0E5" w14:textId="176FADE8" w:rsidR="00F04E06" w:rsidRPr="006E74F1" w:rsidRDefault="00F04E06" w:rsidP="00F04E06">
      <w:pPr>
        <w:pStyle w:val="NormalHanging12a"/>
      </w:pPr>
      <w:r w:rsidRPr="006E74F1">
        <w:t>–</w:t>
      </w:r>
      <w:r w:rsidRPr="006E74F1">
        <w:tab/>
        <w:t xml:space="preserve">der henviser til den interinstitutionelle aftale af 16. december 2020 mellem Europa-Parlamentet, Rådet og Kommissionen om budgetdisciplin, om samarbejde på budgetområdet og om forsvarlig økonomisk forvaltning samt om nye egne indtægter, </w:t>
      </w:r>
      <w:r w:rsidRPr="006E74F1">
        <w:lastRenderedPageBreak/>
        <w:t>herunder en køreplan hen imod indførelse af nye egne indtægter</w:t>
      </w:r>
      <w:r w:rsidRPr="006E74F1">
        <w:rPr>
          <w:rStyle w:val="FootnoteReference"/>
        </w:rPr>
        <w:footnoteReference w:id="4"/>
      </w:r>
      <w:r w:rsidRPr="006E74F1">
        <w:t>, særlig punkt 9,</w:t>
      </w:r>
    </w:p>
    <w:p w14:paraId="30C71736" w14:textId="77777777" w:rsidR="00F04E06" w:rsidRPr="006E74F1" w:rsidRDefault="00F04E06" w:rsidP="00F04E06">
      <w:pPr>
        <w:pStyle w:val="NormalHanging12a"/>
      </w:pPr>
      <w:r w:rsidRPr="006E74F1">
        <w:t>–</w:t>
      </w:r>
      <w:r w:rsidRPr="006E74F1">
        <w:tab/>
        <w:t>der henviser til principperne i den europæiske søjle for sociale rettigheder og målene i handlingsplanen for den europæiske søjle for sociale rettigheder,</w:t>
      </w:r>
    </w:p>
    <w:p w14:paraId="60D2488F" w14:textId="77777777" w:rsidR="00F04E06" w:rsidRPr="006E74F1" w:rsidRDefault="00F04E06" w:rsidP="00F04E06">
      <w:pPr>
        <w:pStyle w:val="NormalHanging12a"/>
      </w:pPr>
      <w:r w:rsidRPr="006E74F1">
        <w:t>–</w:t>
      </w:r>
      <w:r w:rsidRPr="006E74F1">
        <w:tab/>
        <w:t>der henviser til skrivelse fra Udvalget om Beskæftigelse og Sociale Anliggender,</w:t>
      </w:r>
    </w:p>
    <w:p w14:paraId="7E367CE6" w14:textId="77777777" w:rsidR="00F04E06" w:rsidRPr="006E74F1" w:rsidRDefault="00F04E06" w:rsidP="00F04E06">
      <w:pPr>
        <w:pStyle w:val="NormalHanging12a"/>
      </w:pPr>
      <w:r w:rsidRPr="006E74F1">
        <w:t>–</w:t>
      </w:r>
      <w:r w:rsidRPr="006E74F1">
        <w:tab/>
        <w:t>der henviser til betænkning fra Budgetudvalget (A10-0019/2024),</w:t>
      </w:r>
    </w:p>
    <w:p w14:paraId="0B62736D" w14:textId="77777777" w:rsidR="00F04E06" w:rsidRPr="006E74F1" w:rsidRDefault="00F04E06" w:rsidP="00F04E06">
      <w:pPr>
        <w:pStyle w:val="NormalHanging12a"/>
      </w:pPr>
      <w:r w:rsidRPr="006E74F1">
        <w:t>A.</w:t>
      </w:r>
      <w:r w:rsidRPr="006E74F1">
        <w:tab/>
        <w:t>der henviser til, at Unionen har oprettet lovgivnings- og budgetinstrumenter, der skal yde supplerende støtte til arbejdstagere, der er ramt af konsekvenserne af gennemgribende strukturelle ændringer i verdenshandelsmønstrene eller den globale finansielle og økonomiske krise, og hjælpe dem med at vende tilbage til arbejdsmarkedet; der henviser til, at denne bistand ydes gennem økonomisk støtte til arbejdstagere og de virksomheder, som de har arbejdet for;</w:t>
      </w:r>
    </w:p>
    <w:p w14:paraId="5AF2D76A" w14:textId="77777777" w:rsidR="00F04E06" w:rsidRPr="006E74F1" w:rsidRDefault="00F04E06" w:rsidP="00F04E06">
      <w:pPr>
        <w:pStyle w:val="NormalHanging12a"/>
      </w:pPr>
      <w:r w:rsidRPr="006E74F1">
        <w:t>B.</w:t>
      </w:r>
      <w:r w:rsidRPr="006E74F1">
        <w:tab/>
        <w:t>der henviser til, at Belgien indgav ansøgning EGF/2024/002 BE/Limburg maskiner og papir om økonomisk støtte fra Den Europæiske Fond for Tilpasning til Globaliseringen (EGF) som følge af 681 afskedigelser</w:t>
      </w:r>
      <w:r w:rsidRPr="006E74F1">
        <w:rPr>
          <w:rStyle w:val="FootnoteReference"/>
        </w:rPr>
        <w:footnoteReference w:id="5"/>
      </w:r>
      <w:r w:rsidRPr="006E74F1">
        <w:t xml:space="preserve"> i den økonomiske sektor, der er klassificeret under NACE rev. 2 hovedgruppe 17 (Fremstilling af papir og papirvarer) og 28 (Fremstilling af maskiner og udstyr), i regionen Provincie Limburg inden for en referenceperiode for ansøgningen fra den 31. december 2023 til den 30. april 2024;</w:t>
      </w:r>
    </w:p>
    <w:p w14:paraId="313EEDE7" w14:textId="77777777" w:rsidR="00F04E06" w:rsidRPr="006E74F1" w:rsidRDefault="00F04E06" w:rsidP="00F04E06">
      <w:pPr>
        <w:pStyle w:val="NormalHanging12a"/>
      </w:pPr>
      <w:r w:rsidRPr="006E74F1">
        <w:t>C.</w:t>
      </w:r>
      <w:r w:rsidRPr="006E74F1">
        <w:tab/>
        <w:t>der henviser til, at ansøgningen vedrører 567 arbejdstagere, der er blevet afskediget i virksomheden Sappi Lanaken NV (papir), og 114 arbejdstagere</w:t>
      </w:r>
      <w:r w:rsidR="000B7657" w:rsidRPr="006E74F1">
        <w:t>, der er blevet afskediget</w:t>
      </w:r>
      <w:r w:rsidRPr="006E74F1">
        <w:t xml:space="preserve"> i virksomheden Purmo Group Belgium NV (maskiner); </w:t>
      </w:r>
    </w:p>
    <w:p w14:paraId="56397C13" w14:textId="77777777" w:rsidR="00F04E06" w:rsidRPr="006E74F1" w:rsidRDefault="00F04E06" w:rsidP="00F04E06">
      <w:pPr>
        <w:pStyle w:val="NormalHanging12a"/>
      </w:pPr>
      <w:r w:rsidRPr="006E74F1">
        <w:t>D.</w:t>
      </w:r>
      <w:r w:rsidRPr="006E74F1">
        <w:tab/>
        <w:t>der henviser til, at ansøgningen er baseret på interventionskriteriet i artikel 4, stk. 2, litra c), i EGF-forordningen, som forudsætter mindst 200 afskedigelser af arbejdstagere i løbet af en firemåneders referenceperiode i virksomheder, der er aktive inden for samme eller forskellige økonomiske sektorer, og som befinder sig i samme region;</w:t>
      </w:r>
    </w:p>
    <w:p w14:paraId="7659D7D7" w14:textId="77777777" w:rsidR="00F04E06" w:rsidRPr="006E74F1" w:rsidRDefault="00F04E06" w:rsidP="00F04E06">
      <w:pPr>
        <w:pStyle w:val="NormalHanging12a"/>
      </w:pPr>
      <w:r w:rsidRPr="006E74F1">
        <w:t>E.</w:t>
      </w:r>
      <w:r w:rsidRPr="006E74F1">
        <w:tab/>
        <w:t>der henviser til, at covid-19-pandemien og den russiske angrebskrig mod Ukraine har reduceret den økonomiske konkurrenceevne og har en negativ indvirkning på den økonomiske vækst i Belgien;</w:t>
      </w:r>
    </w:p>
    <w:p w14:paraId="6FBA455E" w14:textId="77777777" w:rsidR="00F04E06" w:rsidRPr="006E74F1" w:rsidRDefault="00F04E06" w:rsidP="00F04E06">
      <w:pPr>
        <w:pStyle w:val="NormalHanging12a"/>
        <w:rPr>
          <w:rFonts w:eastAsia="Calibri"/>
          <w:szCs w:val="22"/>
        </w:rPr>
      </w:pPr>
      <w:r w:rsidRPr="006E74F1">
        <w:t>F.</w:t>
      </w:r>
      <w:r w:rsidRPr="006E74F1">
        <w:tab/>
        <w:t xml:space="preserve">der henviser til, at Sappi Lanaken var specialiseret i produktion af træfrit coated papir (WCP); der henviser til, at den faldende efterspørgsel efter grafiske produkter som følge af den øgede digitalisering har ført til en stigende overkapacitet i den europæiske industri for træfrit coated papir; der henviser til, at produktionen i Sappi Lanaken ikke uden store investeringer kunne flyttes til andre papirprodukter, der i højere grad efterspørges, og at Sappi Group derfor besluttede at indstille produktionen i Lanaken og lukke fabrikken, da der ikke kunne findes en egnet køber på grund af strukturel overkapacitet inden for industrien; </w:t>
      </w:r>
    </w:p>
    <w:p w14:paraId="58042780" w14:textId="77777777" w:rsidR="00F04E06" w:rsidRPr="006E74F1" w:rsidRDefault="00F04E06" w:rsidP="00F04E06">
      <w:pPr>
        <w:pStyle w:val="NormalHanging12a"/>
      </w:pPr>
      <w:r w:rsidRPr="006E74F1">
        <w:t>G.</w:t>
      </w:r>
      <w:r w:rsidRPr="006E74F1">
        <w:tab/>
        <w:t xml:space="preserve">der henviser til, at Purmo Groups produktionsmængde af panelradiatorer har været støt faldende i perioden 2018-2023 fra 820 000 enheder i 2018 til 320 000 enheder i 2023 (-60 %); der henviser til, at hvis man sammenligner produktionsomkostningerne for </w:t>
      </w:r>
      <w:r w:rsidRPr="006E74F1">
        <w:lastRenderedPageBreak/>
        <w:t xml:space="preserve">Purmo Groups forskellige fabrikker i Europa, befinder anlægget i Zonhoven sig i en ugunstig situation, da dets omkostninger er mellem 17 % og 35 % højere; der henviser til, at Purmo-gruppen besluttede at indstille produktionen af 50 mm panelradiatorer i Zonhoven-anlægget og lukke den pågældende produktionslinje; der henviser til, at det efter den uventede situation med hensyn til adgangen til gas og priserne for gas som følge af den russiske angrebskrig mod Ukraine og EU-lovgivningen, som tilgodeser lavtemperaturvarmesystemer på bekostning af panelradiatorer, er usandsynligt, at efterspørgslen kan genoprettes, da markedet for panelradiatorer i stigende grad vil være begrænset til udskiftning af enheder, der er i brug; </w:t>
      </w:r>
    </w:p>
    <w:p w14:paraId="326C392F" w14:textId="77777777" w:rsidR="00F04E06" w:rsidRPr="006E74F1" w:rsidRDefault="00F04E06" w:rsidP="00F04E06">
      <w:pPr>
        <w:pStyle w:val="NormalHanging12a"/>
      </w:pPr>
      <w:r w:rsidRPr="006E74F1">
        <w:t>H.</w:t>
      </w:r>
      <w:r w:rsidRPr="006E74F1">
        <w:tab/>
        <w:t xml:space="preserve">der henviser til, at de to virksomheder i overensstemmelse med belgisk lovgivning har fulgt den obligatoriske procedure for information og høring af arbejdstagernes repræsentanter og har oprettet en beskæftigelsesenhed, hvis formål er at stille genplaceringstjenester til rådighed for arbejdstagere, der er blevet afskediget i forbindelse med kollektive afskedigelser; </w:t>
      </w:r>
    </w:p>
    <w:p w14:paraId="7CDA9830" w14:textId="77777777" w:rsidR="00F04E06" w:rsidRPr="006E74F1" w:rsidRDefault="00F04E06" w:rsidP="00F04E06">
      <w:pPr>
        <w:pStyle w:val="NormalHanging12a"/>
      </w:pPr>
      <w:r w:rsidRPr="006E74F1">
        <w:t>I.</w:t>
      </w:r>
      <w:r w:rsidRPr="006E74F1">
        <w:tab/>
        <w:t>der henviser til, at den økonomiske støtte fra EGF primært bør være rettet mod aktive arbejdsmarkedspolitiske foranstaltninger og individualiserede tilbud, der har til formål hurtigt at reintegrere støttemodtagerne i anstændig og varig beskæftigelse inden for eller uden for deres oprindelige aktivitetssektor, samtidig med at de gøres parate til en grønnere og mere digital europæisk økonomi;</w:t>
      </w:r>
    </w:p>
    <w:p w14:paraId="690D5AA7" w14:textId="27B24AEA" w:rsidR="00F04E06" w:rsidRPr="006E74F1" w:rsidRDefault="00F04E06" w:rsidP="00F04E06">
      <w:pPr>
        <w:pStyle w:val="NormalHanging12a"/>
      </w:pPr>
      <w:r w:rsidRPr="006E74F1">
        <w:t>J.</w:t>
      </w:r>
      <w:r w:rsidRPr="006E74F1">
        <w:tab/>
        <w:t xml:space="preserve">der henviser til, at EGF ikke må overstige et maksimalt årligt beløb på 30 mio. EUR (i 2018-priser), jf. artikel 8 i </w:t>
      </w:r>
      <w:r w:rsidR="00735322" w:rsidRPr="006E74F1">
        <w:t xml:space="preserve">Rådets </w:t>
      </w:r>
      <w:r w:rsidRPr="006E74F1">
        <w:t xml:space="preserve">forordning (EU, Euratom) 2020/2093 som ændret ved </w:t>
      </w:r>
      <w:r w:rsidR="00735322" w:rsidRPr="006E74F1">
        <w:t xml:space="preserve">Rådets </w:t>
      </w:r>
      <w:r w:rsidRPr="006E74F1">
        <w:t>forordning (EU, Euratom) 2024/765;</w:t>
      </w:r>
    </w:p>
    <w:p w14:paraId="405BA431" w14:textId="77777777" w:rsidR="00F04E06" w:rsidRPr="006E74F1" w:rsidRDefault="00F04E06" w:rsidP="00F04E06">
      <w:pPr>
        <w:pStyle w:val="NormalHanging12a"/>
      </w:pPr>
      <w:r w:rsidRPr="006E74F1">
        <w:t>1.</w:t>
      </w:r>
      <w:r w:rsidRPr="006E74F1">
        <w:tab/>
        <w:t>er enigt med Kommissionen i, at betingelserne i artikel 4, stk. 2, litra c), i EGF-forordningen er opfyldt, og at Belgien derfor er berettiget til en økonomisk støtte på 704 135 EUR i henhold til nævnte forordning, hvilket svarer til 60 % af de samlede omkostninger på 1 173 559 EUR, der omfatter udgifter til individualiserede tilbud på 1 126 559 EUR samt udgifter til forberedende arbejde, forvaltning, oplysning, offentlig omtale samt kontrol- og rapporteringsaktiviteter på 47 000 EUR;</w:t>
      </w:r>
    </w:p>
    <w:p w14:paraId="16B6B861" w14:textId="77777777" w:rsidR="00F04E06" w:rsidRPr="006E74F1" w:rsidRDefault="00F04E06" w:rsidP="00F04E06">
      <w:pPr>
        <w:pStyle w:val="NormalHanging12a"/>
      </w:pPr>
      <w:r w:rsidRPr="006E74F1">
        <w:t>2.</w:t>
      </w:r>
      <w:r w:rsidRPr="006E74F1">
        <w:tab/>
        <w:t xml:space="preserve">bemærker, at de belgiske myndigheder indgav ansøgningen den 19. juli 2024, og at Kommissionen, efter at Belgien havde forelagt yderligere oplysninger, afsluttede sin vurdering heraf den 5. november 2024 og fremsendte den til Parlamentet samme dag; </w:t>
      </w:r>
    </w:p>
    <w:p w14:paraId="7ACC2D23" w14:textId="77777777" w:rsidR="00F04E06" w:rsidRPr="006E74F1" w:rsidRDefault="00F04E06" w:rsidP="00F04E06">
      <w:pPr>
        <w:pStyle w:val="NormalHanging12a"/>
      </w:pPr>
      <w:r w:rsidRPr="006E74F1">
        <w:t>3.</w:t>
      </w:r>
      <w:r w:rsidRPr="006E74F1">
        <w:tab/>
        <w:t>bemærker, at ansøgningen vedrører 567 arbejdstagere, der er blevet afskediget i virksomheden Sappi Lanaken, og 114 arbejdstagere</w:t>
      </w:r>
      <w:r w:rsidR="000B7657" w:rsidRPr="006E74F1">
        <w:t>, der er blevet afskediget</w:t>
      </w:r>
      <w:r w:rsidRPr="006E74F1">
        <w:t xml:space="preserve"> i Purmo Group Belgium;</w:t>
      </w:r>
      <w:r w:rsidRPr="006E74F1">
        <w:rPr>
          <w:color w:val="000000"/>
        </w:rPr>
        <w:t xml:space="preserve"> bemærker endvidere, at det samlede antal arbejdstagere, der er tiltænkt støtte, er 632, som næsten udelukkende er mænd;</w:t>
      </w:r>
    </w:p>
    <w:p w14:paraId="05EC97FF" w14:textId="77777777" w:rsidR="00F04E06" w:rsidRPr="006E74F1" w:rsidRDefault="00F04E06" w:rsidP="00F04E06">
      <w:pPr>
        <w:pStyle w:val="NormalHanging12a"/>
      </w:pPr>
      <w:r w:rsidRPr="006E74F1">
        <w:t>4.</w:t>
      </w:r>
      <w:r w:rsidRPr="006E74F1">
        <w:tab/>
        <w:t>understreger, at arbejdsmarkedet i Lanaken og Zonhoven er ugunstigt sammenlignet med Limburg i sin helhed eller Flandern, idet forholdet mellem den erhvervsaktive befolkning og de ledige job er betydeligt lavere end i Limburg i sin helhed eller i Flandern; fremhæver, at antallet af ledige industrielle arbejdspladser i Limburg faldt med 15 % i 2023;</w:t>
      </w:r>
    </w:p>
    <w:p w14:paraId="608FC3E9" w14:textId="77777777" w:rsidR="00F04E06" w:rsidRPr="006E74F1" w:rsidRDefault="00F04E06" w:rsidP="00F04E06">
      <w:pPr>
        <w:pStyle w:val="NormalHanging12a"/>
      </w:pPr>
      <w:r w:rsidRPr="006E74F1">
        <w:t>5.</w:t>
      </w:r>
      <w:r w:rsidRPr="006E74F1">
        <w:tab/>
        <w:t xml:space="preserve">påpeger, at der i betragtning af de afskedigede arbejdstageres profil, hvoraf en tredjedel er 55 år eller derover, og 30 % har en kort uddannelse, vil være alvorlige hindringer på arbejdsmarkedet; understreger, at arbejdstagerne i betragtning af den faldende tendens i </w:t>
      </w:r>
      <w:r w:rsidRPr="006E74F1">
        <w:lastRenderedPageBreak/>
        <w:t xml:space="preserve">antallet af ledige stillinger og den geografiske fordeling heraf vil have behov for yderligere skræddersyet støtte for at hjælpe dem med at klare overgangen til beskæftigelse; </w:t>
      </w:r>
    </w:p>
    <w:p w14:paraId="065BBD48" w14:textId="77777777" w:rsidR="00F04E06" w:rsidRPr="006E74F1" w:rsidRDefault="00F04E06" w:rsidP="00F04E06">
      <w:pPr>
        <w:pStyle w:val="NormalHanging12a"/>
      </w:pPr>
      <w:r w:rsidRPr="006E74F1">
        <w:t>6.</w:t>
      </w:r>
      <w:r w:rsidRPr="006E74F1">
        <w:tab/>
        <w:t>minder om, at de belgiske myndigheder skal anerkende EU-finansieringens oprindelse og sikre dens synlighed samt fremhæve interventionens EU-merværdi ved at give sammenhængende, effektiv og målrettet information til forskellige modtagergrupper, herunder målrettet information til støttemodtagere, lokale og regionale myndigheder, arbejdsmarkedets parter, medierne og offentligheden;</w:t>
      </w:r>
    </w:p>
    <w:p w14:paraId="08791B65" w14:textId="77777777" w:rsidR="00F04E06" w:rsidRPr="006E74F1" w:rsidRDefault="00F04E06" w:rsidP="00F04E06">
      <w:pPr>
        <w:pStyle w:val="NormalHanging12a"/>
      </w:pPr>
      <w:r w:rsidRPr="006E74F1">
        <w:t>7.</w:t>
      </w:r>
      <w:r w:rsidRPr="006E74F1">
        <w:tab/>
        <w:t>mener, at Unionen og medlemsstaterne har et socialt ansvar for at give de berørte arbejdstagere en mulighed for at opnå de nødvendige kvalifikationer til fremtidig beskæftigelse, idet den digitale og økologiske omstilling har en betydelig indvirkning på deres sektorer og samtidig fører til en reduktion af efterspørgslen; glæder sig over, at den samordnede pakke af individualiserede tilbud er blevet udarbejdet af Belgien i samråd med de tiltænkte støttemodtagere, deres repræsentanter og arbejdsmarkedets parter:</w:t>
      </w:r>
    </w:p>
    <w:p w14:paraId="291CB9ED" w14:textId="77777777" w:rsidR="00F04E06" w:rsidRPr="006E74F1" w:rsidRDefault="00F04E06" w:rsidP="00F04E06">
      <w:pPr>
        <w:pStyle w:val="NormalHanging12a"/>
      </w:pPr>
      <w:r w:rsidRPr="006E74F1">
        <w:t>8.</w:t>
      </w:r>
      <w:r w:rsidRPr="006E74F1">
        <w:tab/>
        <w:t>understreger, at den støtte, der ydes af EGF, skal indgå i en større strategi for de berørte arbejdstagere og regionen på alle politiske niveauer, herunder ved at støtte relevante EU-finansieringsinstrumenter, med det formål at sikre, at ingen lades i stikken i den digitale omstilling og klimaomstillingen;</w:t>
      </w:r>
    </w:p>
    <w:p w14:paraId="4E157078" w14:textId="77777777" w:rsidR="00F04E06" w:rsidRPr="006E74F1" w:rsidRDefault="00F04E06" w:rsidP="00F04E06">
      <w:pPr>
        <w:pStyle w:val="NormalHanging12a"/>
      </w:pPr>
      <w:r w:rsidRPr="006E74F1">
        <w:t>9.</w:t>
      </w:r>
      <w:r w:rsidRPr="006E74F1">
        <w:tab/>
        <w:t>minder om, at de individualiserede tilbud til arbejdstagere omfatter følgende foranstaltninger: rådgiver inden for intervention af social karakter, vejledning og erhvervsvejledning, støtte til aktiv jobsøgning, videreuddannelse, omskoling og erhvervsuddannelse, herunder uddannelse i digitale færdigheder, samt uddannelse på arbejdspladsen;</w:t>
      </w:r>
    </w:p>
    <w:p w14:paraId="27888E5A" w14:textId="77777777" w:rsidR="00F04E06" w:rsidRPr="006E74F1" w:rsidRDefault="00F04E06" w:rsidP="00F04E06">
      <w:pPr>
        <w:pStyle w:val="NormalHanging12a"/>
      </w:pPr>
      <w:r w:rsidRPr="006E74F1">
        <w:t>10.</w:t>
      </w:r>
      <w:r w:rsidRPr="006E74F1">
        <w:tab/>
        <w:t>bemærker, at Belgien den 26. december 2023 begyndte at give individualiserede tilbud til de tiltænkte støttemodtagere, og at perioden for berettigelse til økonomisk EGF-støtte derfor vil være fra den dato og indtil 24 måneder efter datoen for finansieringsafgørelsens ikrafttræden;</w:t>
      </w:r>
    </w:p>
    <w:p w14:paraId="3CC9D59B" w14:textId="77777777" w:rsidR="00F04E06" w:rsidRPr="006E74F1" w:rsidRDefault="00F04E06" w:rsidP="00F04E06">
      <w:pPr>
        <w:pStyle w:val="NormalHanging12a"/>
        <w:rPr>
          <w:sz w:val="23"/>
          <w:szCs w:val="23"/>
        </w:rPr>
      </w:pPr>
      <w:r w:rsidRPr="006E74F1">
        <w:t>11.</w:t>
      </w:r>
      <w:r w:rsidRPr="006E74F1">
        <w:tab/>
        <w:t>bemærker, at Belgien siden den 20. november 2023 har afholdt de administrative udgifter til gennemførelsen af EGF, og at sådanne udgifter derfor vil være berettiget til økonomisk EGF-støtte fra den dato og indtil 31 måneder efter datoen for finansieringsafgørelsens ikrafttræden;</w:t>
      </w:r>
    </w:p>
    <w:p w14:paraId="26147D04" w14:textId="77777777" w:rsidR="00F04E06" w:rsidRPr="006E74F1" w:rsidRDefault="00F04E06" w:rsidP="00F04E06">
      <w:pPr>
        <w:pStyle w:val="NormalHanging12a"/>
      </w:pPr>
      <w:r w:rsidRPr="006E74F1">
        <w:t>12.</w:t>
      </w:r>
      <w:r w:rsidRPr="006E74F1">
        <w:tab/>
        <w:t>understreger, at de belgiske myndigheder har bekræftet, at principperne om ligebehandling og ikkeforskelsbehandling vil blive overholdt i forbindelse med adgang til de foreslåede foranstaltninger og deres gennemførelse, og at dobbeltfinansiering vil blive forhindret;</w:t>
      </w:r>
    </w:p>
    <w:p w14:paraId="7B0CD6E5" w14:textId="77777777" w:rsidR="00F04E06" w:rsidRPr="006E74F1" w:rsidRDefault="00F04E06" w:rsidP="00F04E06">
      <w:pPr>
        <w:pStyle w:val="NormalHanging12a"/>
      </w:pPr>
      <w:r w:rsidRPr="006E74F1">
        <w:t>13.</w:t>
      </w:r>
      <w:r w:rsidRPr="006E74F1">
        <w:tab/>
        <w:t>minder om, at EGF-støtte ikke må erstatte tiltag, som det påhviler virksomhederne at gennemføre i henhold til national ret eller kollektive overenskomster, eller nogen godtgørelser eller rettigheder for de afskedigede arbejdstagere med henblik på at sikre EGF-bidragets fulde additionalitet; minder om, at de medlemsstater, der ansøger om støtte fra EGF, skal sikre, at kravene i den nationale ret og EU-retten vedrørende kollektive afskedigelser er blevet overholdt, og at den pågældende virksomhed har sørget for sine arbejdstagere i overensstemmelse hermed;</w:t>
      </w:r>
    </w:p>
    <w:p w14:paraId="369D043B" w14:textId="77777777" w:rsidR="00F04E06" w:rsidRPr="006E74F1" w:rsidRDefault="00F04E06" w:rsidP="00F04E06">
      <w:pPr>
        <w:pStyle w:val="NormalHanging12a"/>
      </w:pPr>
      <w:r w:rsidRPr="006E74F1">
        <w:lastRenderedPageBreak/>
        <w:t>14.</w:t>
      </w:r>
      <w:r w:rsidRPr="006E74F1">
        <w:tab/>
        <w:t>opfordrer de belgiske myndigheder og andre medlemsstater til at træffe forebyggende foranstaltninger på en proaktiv måde for at tilpasse industrierne til globaliseringen og de teknologiske og miljømæssige ændringer og beskytte arbejdstagerne mod at miste deres job og andre negative virkninger af globaliseringen;</w:t>
      </w:r>
    </w:p>
    <w:p w14:paraId="40B81AC8" w14:textId="77777777" w:rsidR="00F04E06" w:rsidRPr="006E74F1" w:rsidRDefault="00F04E06" w:rsidP="00F04E06">
      <w:pPr>
        <w:pStyle w:val="NormalHanging12a"/>
      </w:pPr>
      <w:r w:rsidRPr="006E74F1">
        <w:t>15.</w:t>
      </w:r>
      <w:r w:rsidRPr="006E74F1">
        <w:tab/>
        <w:t>godkender den afgørelse, der er vedføjet denne beslutning;</w:t>
      </w:r>
    </w:p>
    <w:p w14:paraId="71E85234" w14:textId="77777777" w:rsidR="00F04E06" w:rsidRPr="006E74F1" w:rsidRDefault="00F04E06" w:rsidP="00F04E06">
      <w:pPr>
        <w:pStyle w:val="NormalHanging12a"/>
      </w:pPr>
      <w:r w:rsidRPr="006E74F1">
        <w:t>16.</w:t>
      </w:r>
      <w:r w:rsidRPr="006E74F1">
        <w:tab/>
        <w:t xml:space="preserve">pålægger sin formand at undertegne denne afgørelse sammen med Rådets formand og drage omsorg for, at den offentliggøres i </w:t>
      </w:r>
      <w:r w:rsidRPr="006E74F1">
        <w:rPr>
          <w:i/>
        </w:rPr>
        <w:t>Den Europæiske Unions Tidende</w:t>
      </w:r>
      <w:r w:rsidRPr="006E74F1">
        <w:t>;</w:t>
      </w:r>
    </w:p>
    <w:p w14:paraId="78A69624" w14:textId="77777777" w:rsidR="00F04E06" w:rsidRPr="006E74F1" w:rsidRDefault="00F04E06" w:rsidP="00F04E06">
      <w:pPr>
        <w:pStyle w:val="NormalHanging12a"/>
      </w:pPr>
      <w:r w:rsidRPr="006E74F1">
        <w:t>17.</w:t>
      </w:r>
      <w:r w:rsidRPr="006E74F1">
        <w:tab/>
        <w:t>pålægger sin formand at sende denne beslutning sammen med bilaget til Rådet og Kommissionen.</w:t>
      </w:r>
    </w:p>
    <w:p w14:paraId="29DAC9A8" w14:textId="77777777" w:rsidR="00F04E06" w:rsidRPr="006E74F1" w:rsidRDefault="00F04E06" w:rsidP="00F04E06">
      <w:pPr>
        <w:pStyle w:val="NormalHanging12a"/>
        <w:jc w:val="both"/>
        <w:rPr>
          <w:szCs w:val="24"/>
        </w:rPr>
      </w:pPr>
      <w:r w:rsidRPr="006E74F1">
        <w:br w:type="page"/>
      </w:r>
    </w:p>
    <w:p w14:paraId="4976FF22" w14:textId="16A05EE0" w:rsidR="00F153CD" w:rsidRPr="00A91E4D" w:rsidRDefault="00F04E06" w:rsidP="00A91E4D">
      <w:pPr>
        <w:pStyle w:val="PageHeading"/>
        <w:rPr>
          <w:rFonts w:ascii="Times New Roman" w:hAnsi="Times New Roman" w:cs="Times New Roman"/>
        </w:rPr>
      </w:pPr>
      <w:bookmarkStart w:id="7" w:name="_Toc183777452"/>
      <w:r w:rsidRPr="00A91E4D">
        <w:rPr>
          <w:rFonts w:ascii="Times New Roman" w:hAnsi="Times New Roman" w:cs="Times New Roman"/>
        </w:rPr>
        <w:lastRenderedPageBreak/>
        <w:t>BILAG</w:t>
      </w:r>
    </w:p>
    <w:p w14:paraId="752691AB" w14:textId="77777777" w:rsidR="00F04E06" w:rsidRPr="00A91E4D" w:rsidRDefault="00F04E06" w:rsidP="00F04E06">
      <w:pPr>
        <w:pStyle w:val="PageHeading"/>
        <w:rPr>
          <w:rFonts w:ascii="Times New Roman" w:hAnsi="Times New Roman" w:cs="Times New Roman"/>
        </w:rPr>
      </w:pPr>
      <w:r w:rsidRPr="00A91E4D">
        <w:rPr>
          <w:rFonts w:ascii="Times New Roman" w:hAnsi="Times New Roman" w:cs="Times New Roman"/>
        </w:rPr>
        <w:t>EUROPA-PARLAMENTETS OG RÅDETS AFGØRELSE</w:t>
      </w:r>
      <w:bookmarkEnd w:id="7"/>
    </w:p>
    <w:p w14:paraId="63AF308D" w14:textId="2F607AD7" w:rsidR="00F04E06" w:rsidRPr="00A91E4D" w:rsidRDefault="00F04E06" w:rsidP="00A91E4D">
      <w:pPr>
        <w:pStyle w:val="NormalBold24a"/>
        <w:jc w:val="center"/>
      </w:pPr>
      <w:r w:rsidRPr="00A91E4D">
        <w:t>om mobilisering af Den Europæiske Fond for Tilpasning til Globaliseringen for Afskedigede Arbejdstagere på baggrund af en ansøgnin</w:t>
      </w:r>
      <w:bookmarkStart w:id="8" w:name="_GoBack"/>
      <w:bookmarkEnd w:id="8"/>
      <w:r w:rsidRPr="00A91E4D">
        <w:t>g fra Belgien - EGF/2024/002 BE/Limburg maskiner og papir</w:t>
      </w:r>
    </w:p>
    <w:p w14:paraId="7D0C48F2" w14:textId="77777777" w:rsidR="00A91E4D" w:rsidRDefault="00A91E4D" w:rsidP="00581407">
      <w:pPr>
        <w:rPr>
          <w:i/>
        </w:rPr>
      </w:pPr>
    </w:p>
    <w:p w14:paraId="5B5756AF" w14:textId="229B4507" w:rsidR="00A91E4D" w:rsidRDefault="00A91E4D" w:rsidP="00581407">
      <w:pPr>
        <w:rPr>
          <w:i/>
        </w:rPr>
      </w:pPr>
      <w:r w:rsidRPr="00F43BBF">
        <w:rPr>
          <w:i/>
        </w:rPr>
        <w:t xml:space="preserve">(Teksten i bilaget gengives ikke her, eftersom det svarer til den endelige retsakt, </w:t>
      </w:r>
      <w:r>
        <w:rPr>
          <w:i/>
        </w:rPr>
        <w:t>afgørelse (EU) 2025/47.)</w:t>
      </w:r>
    </w:p>
    <w:p w14:paraId="23556080" w14:textId="37FCEC91" w:rsidR="00A91E4D" w:rsidRPr="006E74F1" w:rsidRDefault="00A91E4D" w:rsidP="00F04E06">
      <w:pPr>
        <w:pStyle w:val="NormalBold24a"/>
        <w:rPr>
          <w:color w:val="000000"/>
          <w:sz w:val="20"/>
        </w:rPr>
      </w:pPr>
    </w:p>
    <w:sectPr w:rsidR="00A91E4D" w:rsidRPr="006E74F1" w:rsidSect="00CE3B9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B1CDDC" w14:textId="77777777" w:rsidR="00DD558C" w:rsidRPr="00CE3B9C" w:rsidRDefault="00DD558C">
      <w:r w:rsidRPr="00CE3B9C">
        <w:separator/>
      </w:r>
    </w:p>
  </w:endnote>
  <w:endnote w:type="continuationSeparator" w:id="0">
    <w:p w14:paraId="7DE6DD32" w14:textId="77777777" w:rsidR="00DD558C" w:rsidRPr="00CE3B9C" w:rsidRDefault="00DD558C">
      <w:r w:rsidRPr="00CE3B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0FDC4" w14:textId="77777777" w:rsidR="00064002" w:rsidRPr="00CE3B9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6F90A" w14:textId="77777777" w:rsidR="00064002" w:rsidRPr="00CE3B9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4A786" w14:textId="77777777" w:rsidR="00064002" w:rsidRPr="00CE3B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B3E361" w14:textId="77777777" w:rsidR="00DD558C" w:rsidRPr="00CE3B9C" w:rsidRDefault="00DD558C">
      <w:r w:rsidRPr="00CE3B9C">
        <w:separator/>
      </w:r>
    </w:p>
  </w:footnote>
  <w:footnote w:type="continuationSeparator" w:id="0">
    <w:p w14:paraId="32127A33" w14:textId="77777777" w:rsidR="00DD558C" w:rsidRPr="00CE3B9C" w:rsidRDefault="00DD558C">
      <w:r w:rsidRPr="00CE3B9C">
        <w:continuationSeparator/>
      </w:r>
    </w:p>
  </w:footnote>
  <w:footnote w:id="1">
    <w:p w14:paraId="73714ADD" w14:textId="77777777" w:rsidR="00F04E06" w:rsidRPr="00CE3B9C" w:rsidRDefault="00F04E06" w:rsidP="00CE3B9C">
      <w:pPr>
        <w:pStyle w:val="FootnoteText"/>
        <w:ind w:left="567" w:hanging="567"/>
        <w:rPr>
          <w:sz w:val="24"/>
          <w:lang w:val="da-DK"/>
        </w:rPr>
      </w:pPr>
      <w:r w:rsidRPr="00CE3B9C">
        <w:rPr>
          <w:rStyle w:val="FootnoteReference"/>
          <w:sz w:val="24"/>
          <w:lang w:val="da-DK"/>
        </w:rPr>
        <w:footnoteRef/>
      </w:r>
      <w:r w:rsidR="00CE3B9C" w:rsidRPr="00CE3B9C">
        <w:rPr>
          <w:sz w:val="24"/>
          <w:lang w:val="da-DK"/>
        </w:rPr>
        <w:t xml:space="preserve"> </w:t>
      </w:r>
      <w:r w:rsidR="00CE3B9C" w:rsidRPr="00CE3B9C">
        <w:rPr>
          <w:sz w:val="24"/>
          <w:lang w:val="da-DK"/>
        </w:rPr>
        <w:tab/>
      </w:r>
      <w:r w:rsidRPr="00CE3B9C">
        <w:rPr>
          <w:sz w:val="24"/>
          <w:lang w:val="da-DK"/>
        </w:rPr>
        <w:t xml:space="preserve">EUT L 153 af 3.5.2021, s. 48, </w:t>
      </w:r>
      <w:r w:rsidR="001366CF">
        <w:rPr>
          <w:sz w:val="24"/>
          <w:lang w:val="da-DK"/>
        </w:rPr>
        <w:t xml:space="preserve">ELI: </w:t>
      </w:r>
      <w:hyperlink r:id="rId1" w:history="1">
        <w:r w:rsidRPr="000B7657">
          <w:rPr>
            <w:rStyle w:val="Hyperlink"/>
            <w:sz w:val="24"/>
            <w:lang w:val="da-DK"/>
          </w:rPr>
          <w:t>http://data.europa.eu/eli/reg/2021/691/oj</w:t>
        </w:r>
      </w:hyperlink>
      <w:r w:rsidRPr="00CE3B9C">
        <w:rPr>
          <w:sz w:val="24"/>
          <w:lang w:val="da-DK"/>
        </w:rPr>
        <w:t>.</w:t>
      </w:r>
    </w:p>
  </w:footnote>
  <w:footnote w:id="2">
    <w:p w14:paraId="5C51F4F2" w14:textId="77777777" w:rsidR="00F04E06" w:rsidRPr="00CE3B9C" w:rsidRDefault="00F04E06" w:rsidP="00CE3B9C">
      <w:pPr>
        <w:pStyle w:val="FootnoteText"/>
        <w:ind w:left="567" w:hanging="567"/>
        <w:rPr>
          <w:sz w:val="24"/>
          <w:lang w:val="da-DK"/>
        </w:rPr>
      </w:pPr>
      <w:r w:rsidRPr="00CE3B9C">
        <w:rPr>
          <w:rStyle w:val="FootnoteReference"/>
          <w:sz w:val="24"/>
          <w:lang w:val="da-DK"/>
        </w:rPr>
        <w:footnoteRef/>
      </w:r>
      <w:r w:rsidR="00CE3B9C" w:rsidRPr="00CE3B9C">
        <w:rPr>
          <w:sz w:val="24"/>
          <w:lang w:val="da-DK"/>
        </w:rPr>
        <w:t xml:space="preserve"> </w:t>
      </w:r>
      <w:r w:rsidR="00CE3B9C" w:rsidRPr="00CE3B9C">
        <w:rPr>
          <w:sz w:val="24"/>
          <w:lang w:val="da-DK"/>
        </w:rPr>
        <w:tab/>
      </w:r>
      <w:r w:rsidRPr="00CE3B9C">
        <w:rPr>
          <w:sz w:val="24"/>
          <w:lang w:val="da-DK"/>
        </w:rPr>
        <w:t xml:space="preserve">EUT L 433 I af 22.12.2020, s. 11, ELI: </w:t>
      </w:r>
      <w:hyperlink r:id="rId2" w:history="1">
        <w:r w:rsidRPr="000B7657">
          <w:rPr>
            <w:rStyle w:val="Hyperlink"/>
            <w:sz w:val="24"/>
            <w:lang w:val="da-DK"/>
          </w:rPr>
          <w:t>http://data.europa.eu/eli/reg/2020/2093/oj</w:t>
        </w:r>
      </w:hyperlink>
      <w:r w:rsidRPr="00CE3B9C">
        <w:rPr>
          <w:sz w:val="24"/>
          <w:lang w:val="da-DK"/>
        </w:rPr>
        <w:t>.</w:t>
      </w:r>
    </w:p>
  </w:footnote>
  <w:footnote w:id="3">
    <w:p w14:paraId="4F2EE113" w14:textId="77777777" w:rsidR="00F04E06" w:rsidRPr="00CE3B9C" w:rsidRDefault="00F04E06" w:rsidP="00CE3B9C">
      <w:pPr>
        <w:pStyle w:val="FootnoteText"/>
        <w:ind w:left="567" w:hanging="567"/>
        <w:rPr>
          <w:sz w:val="24"/>
          <w:lang w:val="da-DK"/>
        </w:rPr>
      </w:pPr>
      <w:r w:rsidRPr="00CE3B9C">
        <w:rPr>
          <w:rStyle w:val="FootnoteReference"/>
          <w:sz w:val="24"/>
          <w:lang w:val="da-DK"/>
        </w:rPr>
        <w:footnoteRef/>
      </w:r>
      <w:r w:rsidR="00CE3B9C" w:rsidRPr="00CE3B9C">
        <w:rPr>
          <w:sz w:val="24"/>
          <w:lang w:val="da-DK"/>
        </w:rPr>
        <w:t xml:space="preserve"> </w:t>
      </w:r>
      <w:r w:rsidR="00CE3B9C" w:rsidRPr="00CE3B9C">
        <w:rPr>
          <w:sz w:val="24"/>
          <w:lang w:val="da-DK"/>
        </w:rPr>
        <w:tab/>
      </w:r>
      <w:r w:rsidRPr="00CE3B9C">
        <w:rPr>
          <w:sz w:val="24"/>
          <w:lang w:val="da-DK"/>
        </w:rPr>
        <w:t>Rådets forordning (EU, Euratom) 2024/765 af 29. februar 2024 om ændring af forordning (EU, Euratom) 2020/2093 om fastlæggelse af den flerårige finansielle ramme for årene 2021-2027 (EUT L, 2024/765, 29.2.2024, ELI:</w:t>
      </w:r>
      <w:r w:rsidRPr="00CE3B9C">
        <w:rPr>
          <w:rStyle w:val="Emphasis"/>
          <w:color w:val="333333"/>
          <w:sz w:val="24"/>
          <w:shd w:val="clear" w:color="auto" w:fill="FFFFFF"/>
          <w:lang w:val="da-DK"/>
        </w:rPr>
        <w:t xml:space="preserve"> </w:t>
      </w:r>
      <w:hyperlink r:id="rId3" w:history="1">
        <w:r w:rsidRPr="006E74F1">
          <w:rPr>
            <w:rStyle w:val="Hyperlink"/>
            <w:lang w:val="da-DK"/>
          </w:rPr>
          <w:t>http://data.europa.eu/eli/reg/2024/765/oj</w:t>
        </w:r>
      </w:hyperlink>
      <w:r w:rsidRPr="00CE3B9C">
        <w:rPr>
          <w:rStyle w:val="Emphasis"/>
          <w:color w:val="333333"/>
          <w:sz w:val="24"/>
          <w:shd w:val="clear" w:color="auto" w:fill="FFFFFF"/>
          <w:lang w:val="da-DK"/>
        </w:rPr>
        <w:t>).</w:t>
      </w:r>
    </w:p>
  </w:footnote>
  <w:footnote w:id="4">
    <w:p w14:paraId="547D64BA" w14:textId="77777777" w:rsidR="00F04E06" w:rsidRPr="00CE3B9C" w:rsidRDefault="00F04E06" w:rsidP="00CE3B9C">
      <w:pPr>
        <w:pStyle w:val="FootnoteText"/>
        <w:ind w:left="567" w:hanging="567"/>
        <w:rPr>
          <w:sz w:val="24"/>
          <w:lang w:val="da-DK"/>
        </w:rPr>
      </w:pPr>
      <w:r w:rsidRPr="00CE3B9C">
        <w:rPr>
          <w:rStyle w:val="FootnoteReference"/>
          <w:sz w:val="24"/>
          <w:lang w:val="da-DK"/>
        </w:rPr>
        <w:footnoteRef/>
      </w:r>
      <w:r w:rsidR="00CE3B9C" w:rsidRPr="00CE3B9C">
        <w:rPr>
          <w:sz w:val="24"/>
          <w:lang w:val="da-DK"/>
        </w:rPr>
        <w:t xml:space="preserve"> </w:t>
      </w:r>
      <w:r w:rsidR="00CE3B9C" w:rsidRPr="00CE3B9C">
        <w:rPr>
          <w:sz w:val="24"/>
          <w:lang w:val="da-DK"/>
        </w:rPr>
        <w:tab/>
      </w:r>
      <w:r w:rsidRPr="00CE3B9C">
        <w:rPr>
          <w:sz w:val="24"/>
          <w:lang w:val="da-DK"/>
        </w:rPr>
        <w:t xml:space="preserve">EUT L 433 I af 22.12.2020, s. 28, ELI: </w:t>
      </w:r>
      <w:hyperlink r:id="rId4" w:history="1">
        <w:r w:rsidRPr="000B7657">
          <w:rPr>
            <w:rStyle w:val="Hyperlink"/>
            <w:sz w:val="24"/>
            <w:lang w:val="da-DK"/>
          </w:rPr>
          <w:t>http://data.europa.eu/eli/agree_interinstit/2020/1222/oj</w:t>
        </w:r>
      </w:hyperlink>
      <w:r w:rsidRPr="00CE3B9C">
        <w:rPr>
          <w:sz w:val="24"/>
          <w:lang w:val="da-DK"/>
        </w:rPr>
        <w:t>.</w:t>
      </w:r>
    </w:p>
  </w:footnote>
  <w:footnote w:id="5">
    <w:p w14:paraId="698E10B4" w14:textId="77777777" w:rsidR="00F04E06" w:rsidRPr="00CE3B9C" w:rsidRDefault="00F04E06" w:rsidP="00CE3B9C">
      <w:pPr>
        <w:pStyle w:val="FootnoteText"/>
        <w:ind w:left="567" w:hanging="567"/>
        <w:rPr>
          <w:sz w:val="24"/>
          <w:lang w:val="da-DK"/>
        </w:rPr>
      </w:pPr>
      <w:r w:rsidRPr="00CE3B9C">
        <w:rPr>
          <w:rStyle w:val="FootnoteReference"/>
          <w:sz w:val="24"/>
          <w:lang w:val="da-DK"/>
        </w:rPr>
        <w:footnoteRef/>
      </w:r>
      <w:r w:rsidR="00CE3B9C" w:rsidRPr="00CE3B9C">
        <w:rPr>
          <w:sz w:val="24"/>
          <w:lang w:val="da-DK"/>
        </w:rPr>
        <w:t xml:space="preserve"> </w:t>
      </w:r>
      <w:r w:rsidR="00CE3B9C" w:rsidRPr="00CE3B9C">
        <w:rPr>
          <w:sz w:val="24"/>
          <w:lang w:val="da-DK"/>
        </w:rPr>
        <w:tab/>
      </w:r>
      <w:r w:rsidRPr="00CE3B9C">
        <w:rPr>
          <w:sz w:val="24"/>
          <w:lang w:val="da-DK"/>
        </w:rPr>
        <w:t>Som omhandlet i EGF-forordningens artikel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5B78D" w14:textId="77777777" w:rsidR="00064002" w:rsidRPr="00CE3B9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7B307" w14:textId="77777777" w:rsidR="00064002" w:rsidRPr="00CE3B9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DA242" w14:textId="77777777" w:rsidR="00064002" w:rsidRPr="00CE3B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4"/>
    <w:docVar w:name="dvlangue" w:val="DA"/>
    <w:docVar w:name="dvnumam" w:val="0"/>
    <w:docVar w:name="dvpe" w:val="765.241"/>
    <w:docVar w:name="dvrapporteur" w:val="Ordfører: "/>
    <w:docVar w:name="dvtitre" w:val="Europa-Parlamentets beslutning af xx. december 2024 om forslag til Europa-Parlamentets og Rådets afgørelse om mobilisering af Den Europæiske Fond for Tilpasning til Globaliseringen for Afskedigede Arbejdstagere på baggrund af en ansøgning fra Belgien - EGF/2024/002 BE/Limburg maskiner og papir(COM(2024)0370 – C10-0166/2024 – 2024/0286(BUD))"/>
  </w:docVars>
  <w:rsids>
    <w:rsidRoot w:val="00DD558C"/>
    <w:rsid w:val="00002272"/>
    <w:rsid w:val="00064002"/>
    <w:rsid w:val="000677B9"/>
    <w:rsid w:val="000831BA"/>
    <w:rsid w:val="000A42CC"/>
    <w:rsid w:val="000B7657"/>
    <w:rsid w:val="000E7DD9"/>
    <w:rsid w:val="0010095E"/>
    <w:rsid w:val="00125B37"/>
    <w:rsid w:val="001366CF"/>
    <w:rsid w:val="00187494"/>
    <w:rsid w:val="001F32AE"/>
    <w:rsid w:val="002767FF"/>
    <w:rsid w:val="002B18FE"/>
    <w:rsid w:val="002B5493"/>
    <w:rsid w:val="00343214"/>
    <w:rsid w:val="00361C00"/>
    <w:rsid w:val="00395FA1"/>
    <w:rsid w:val="003E15D4"/>
    <w:rsid w:val="004054C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74F1"/>
    <w:rsid w:val="006F74FA"/>
    <w:rsid w:val="00731ADD"/>
    <w:rsid w:val="00734777"/>
    <w:rsid w:val="00735322"/>
    <w:rsid w:val="00736034"/>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1D7D"/>
    <w:rsid w:val="00975D75"/>
    <w:rsid w:val="00981893"/>
    <w:rsid w:val="00A1687D"/>
    <w:rsid w:val="00A42FB3"/>
    <w:rsid w:val="00A43E52"/>
    <w:rsid w:val="00A4678D"/>
    <w:rsid w:val="00A778C7"/>
    <w:rsid w:val="00A91E4D"/>
    <w:rsid w:val="00AB441E"/>
    <w:rsid w:val="00AB6293"/>
    <w:rsid w:val="00AE0928"/>
    <w:rsid w:val="00AF3B82"/>
    <w:rsid w:val="00B12E95"/>
    <w:rsid w:val="00B22876"/>
    <w:rsid w:val="00B558F0"/>
    <w:rsid w:val="00BC1579"/>
    <w:rsid w:val="00BD48FE"/>
    <w:rsid w:val="00BD7BD8"/>
    <w:rsid w:val="00BE6ADC"/>
    <w:rsid w:val="00C05BFE"/>
    <w:rsid w:val="00C23CD4"/>
    <w:rsid w:val="00C61C0C"/>
    <w:rsid w:val="00C941CB"/>
    <w:rsid w:val="00CC2357"/>
    <w:rsid w:val="00CE3B9C"/>
    <w:rsid w:val="00CF071A"/>
    <w:rsid w:val="00D058B8"/>
    <w:rsid w:val="00D56C11"/>
    <w:rsid w:val="00D834A0"/>
    <w:rsid w:val="00D872DF"/>
    <w:rsid w:val="00D91E21"/>
    <w:rsid w:val="00DA7FCD"/>
    <w:rsid w:val="00DD558C"/>
    <w:rsid w:val="00E365E1"/>
    <w:rsid w:val="00E820A4"/>
    <w:rsid w:val="00EB006A"/>
    <w:rsid w:val="00EB4772"/>
    <w:rsid w:val="00ED169E"/>
    <w:rsid w:val="00ED4235"/>
    <w:rsid w:val="00F04346"/>
    <w:rsid w:val="00F04E06"/>
    <w:rsid w:val="00F075DC"/>
    <w:rsid w:val="00F149E9"/>
    <w:rsid w:val="00F153CD"/>
    <w:rsid w:val="00F504F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1C353C"/>
  <w15:chartTrackingRefBased/>
  <w15:docId w15:val="{EC79005D-590A-41FA-B9F1-55C85CB32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link w:val="PageHeadingChar"/>
    <w:rsid w:val="00F04E06"/>
    <w:pPr>
      <w:keepNext/>
      <w:spacing w:after="480"/>
      <w:jc w:val="center"/>
    </w:pPr>
    <w:rPr>
      <w:rFonts w:ascii="Arial" w:hAnsi="Arial" w:cs="Arial"/>
      <w:b/>
    </w:rPr>
  </w:style>
  <w:style w:type="paragraph" w:customStyle="1" w:styleId="NormalHanging12a">
    <w:name w:val="NormalHanging12a"/>
    <w:basedOn w:val="Normal"/>
    <w:link w:val="NormalHanging12aChar"/>
    <w:rsid w:val="00F04E06"/>
    <w:pPr>
      <w:spacing w:after="240"/>
      <w:ind w:left="567" w:hanging="567"/>
    </w:pPr>
  </w:style>
  <w:style w:type="paragraph" w:customStyle="1" w:styleId="NormalBold24a">
    <w:name w:val="NormalBold24a"/>
    <w:basedOn w:val="Normal"/>
    <w:rsid w:val="00F04E06"/>
    <w:pPr>
      <w:spacing w:after="480"/>
    </w:pPr>
    <w:rPr>
      <w:b/>
      <w:bCs/>
    </w:rPr>
  </w:style>
  <w:style w:type="paragraph" w:customStyle="1" w:styleId="EPComma">
    <w:name w:val="EPComma"/>
    <w:basedOn w:val="Normal"/>
    <w:rsid w:val="00F04E06"/>
    <w:pPr>
      <w:spacing w:before="480" w:after="240"/>
    </w:pPr>
  </w:style>
  <w:style w:type="character" w:customStyle="1" w:styleId="NormalHanging12aChar">
    <w:name w:val="NormalHanging12a Char"/>
    <w:basedOn w:val="DefaultParagraphFont"/>
    <w:link w:val="NormalHanging12a"/>
    <w:locked/>
    <w:rsid w:val="00F04E06"/>
    <w:rPr>
      <w:sz w:val="24"/>
      <w:lang w:val="da-DK"/>
    </w:rPr>
  </w:style>
  <w:style w:type="character" w:styleId="Emphasis">
    <w:name w:val="Emphasis"/>
    <w:basedOn w:val="DefaultParagraphFont"/>
    <w:uiPriority w:val="20"/>
    <w:qFormat/>
    <w:rsid w:val="00F04E06"/>
    <w:rPr>
      <w:i/>
      <w:iCs/>
    </w:rPr>
  </w:style>
  <w:style w:type="paragraph" w:customStyle="1" w:styleId="Institutionquisigne">
    <w:name w:val="Institution qui signe"/>
    <w:basedOn w:val="Normal"/>
    <w:next w:val="Normal"/>
    <w:rsid w:val="00F04E06"/>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F04E06"/>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F04E0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F04E0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F04E06"/>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F04E06"/>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F04E06"/>
    <w:rPr>
      <w:rFonts w:ascii="Arial" w:hAnsi="Arial" w:cs="Arial"/>
      <w:b/>
      <w:sz w:val="24"/>
      <w:lang w:val="da-DK"/>
    </w:rPr>
  </w:style>
  <w:style w:type="character" w:styleId="Hyperlink">
    <w:name w:val="Hyperlink"/>
    <w:basedOn w:val="DefaultParagraphFont"/>
    <w:rsid w:val="000B7657"/>
    <w:rPr>
      <w:color w:val="0563C1" w:themeColor="hyperlink"/>
      <w:u w:val="single"/>
    </w:rPr>
  </w:style>
  <w:style w:type="paragraph" w:styleId="BalloonText">
    <w:name w:val="Balloon Text"/>
    <w:basedOn w:val="Normal"/>
    <w:link w:val="BalloonTextChar"/>
    <w:rsid w:val="000B7657"/>
    <w:rPr>
      <w:rFonts w:ascii="Segoe UI" w:hAnsi="Segoe UI" w:cs="Segoe UI"/>
      <w:sz w:val="18"/>
      <w:szCs w:val="18"/>
    </w:rPr>
  </w:style>
  <w:style w:type="character" w:customStyle="1" w:styleId="BalloonTextChar">
    <w:name w:val="Balloon Text Char"/>
    <w:basedOn w:val="DefaultParagraphFont"/>
    <w:link w:val="BalloonText"/>
    <w:rsid w:val="000B7657"/>
    <w:rPr>
      <w:rFonts w:ascii="Segoe UI" w:hAnsi="Segoe UI" w:cs="Segoe UI"/>
      <w:sz w:val="18"/>
      <w:szCs w:val="18"/>
      <w:lang w:val="da-DK"/>
    </w:rPr>
  </w:style>
  <w:style w:type="character" w:styleId="CommentReference">
    <w:name w:val="annotation reference"/>
    <w:basedOn w:val="DefaultParagraphFont"/>
    <w:rsid w:val="00975D75"/>
    <w:rPr>
      <w:sz w:val="16"/>
      <w:szCs w:val="16"/>
    </w:rPr>
  </w:style>
  <w:style w:type="paragraph" w:styleId="CommentText">
    <w:name w:val="annotation text"/>
    <w:basedOn w:val="Normal"/>
    <w:link w:val="CommentTextChar"/>
    <w:rsid w:val="00975D75"/>
    <w:rPr>
      <w:sz w:val="20"/>
    </w:rPr>
  </w:style>
  <w:style w:type="character" w:customStyle="1" w:styleId="CommentTextChar">
    <w:name w:val="Comment Text Char"/>
    <w:basedOn w:val="DefaultParagraphFont"/>
    <w:link w:val="CommentText"/>
    <w:rsid w:val="00975D75"/>
    <w:rPr>
      <w:lang w:val="da-DK"/>
    </w:rPr>
  </w:style>
  <w:style w:type="paragraph" w:styleId="CommentSubject">
    <w:name w:val="annotation subject"/>
    <w:basedOn w:val="CommentText"/>
    <w:next w:val="CommentText"/>
    <w:link w:val="CommentSubjectChar"/>
    <w:rsid w:val="00975D75"/>
    <w:rPr>
      <w:b/>
      <w:bCs/>
    </w:rPr>
  </w:style>
  <w:style w:type="character" w:customStyle="1" w:styleId="CommentSubjectChar">
    <w:name w:val="Comment Subject Char"/>
    <w:basedOn w:val="CommentTextChar"/>
    <w:link w:val="CommentSubject"/>
    <w:rsid w:val="00975D75"/>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B7AF6-FD5B-43BE-9BD8-CB1E962E7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1687</Words>
  <Characters>10336</Characters>
  <Application>Microsoft Office Word</Application>
  <DocSecurity>0</DocSecurity>
  <Lines>86</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BENDIXEN Majbritt</cp:lastModifiedBy>
  <cp:revision>2</cp:revision>
  <cp:lastPrinted>2004-11-19T15:42:00Z</cp:lastPrinted>
  <dcterms:created xsi:type="dcterms:W3CDTF">2025-02-05T07:51:00Z</dcterms:created>
  <dcterms:modified xsi:type="dcterms:W3CDTF">2025-02-05T07:51:00Z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P10_TA(2024)0062_</vt:lpwstr>
  </property>
  <property fmtid="{D5CDD505-2E9C-101B-9397-08002B2CF9AE}" pid="4" name="&lt;Type&gt;">
    <vt:lpwstr>RR</vt:lpwstr>
  </property>
</Properties>
</file>