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6576" w:rsidTr="0010095E">
        <w:trPr>
          <w:trHeight w:hRule="exact" w:val="1418"/>
        </w:trPr>
        <w:tc>
          <w:tcPr>
            <w:tcW w:w="6804" w:type="dxa"/>
            <w:shd w:val="clear" w:color="auto" w:fill="auto"/>
            <w:vAlign w:val="center"/>
          </w:tcPr>
          <w:p w:rsidR="00751A4A" w:rsidRPr="009C6576" w:rsidRDefault="00686940" w:rsidP="002D6EC3">
            <w:pPr>
              <w:pStyle w:val="EPName"/>
              <w:widowControl/>
            </w:pPr>
            <w:r w:rsidRPr="009C6576">
              <w:t>Euroopan parlamentti</w:t>
            </w:r>
          </w:p>
          <w:p w:rsidR="00751A4A" w:rsidRPr="009C6576" w:rsidRDefault="005F1B17" w:rsidP="002D6EC3">
            <w:pPr>
              <w:pStyle w:val="EPTerm"/>
              <w:widowControl/>
              <w:rPr>
                <w:rStyle w:val="HideTWBExt"/>
                <w:noProof w:val="0"/>
                <w:vanish w:val="0"/>
                <w:color w:val="auto"/>
              </w:rPr>
            </w:pPr>
            <w:r w:rsidRPr="009C6576">
              <w:t>2024</w:t>
            </w:r>
            <w:r w:rsidR="00817416" w:rsidRPr="009C6576">
              <w:t>-202</w:t>
            </w:r>
            <w:r w:rsidRPr="009C6576">
              <w:t>9</w:t>
            </w:r>
          </w:p>
        </w:tc>
        <w:tc>
          <w:tcPr>
            <w:tcW w:w="2268" w:type="dxa"/>
            <w:shd w:val="clear" w:color="auto" w:fill="auto"/>
          </w:tcPr>
          <w:p w:rsidR="00751A4A" w:rsidRPr="009C6576" w:rsidRDefault="00187494" w:rsidP="002D6EC3">
            <w:pPr>
              <w:pStyle w:val="EPLogo"/>
              <w:widowControl/>
            </w:pPr>
            <w:r w:rsidRPr="009C6576">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6576" w:rsidRDefault="00D058B8" w:rsidP="002D6EC3">
      <w:pPr>
        <w:pStyle w:val="LineTop"/>
        <w:widowControl/>
      </w:pPr>
    </w:p>
    <w:p w:rsidR="00680577" w:rsidRPr="009C6576" w:rsidRDefault="00686940" w:rsidP="002D6EC3">
      <w:pPr>
        <w:pStyle w:val="EPBodyTA1"/>
        <w:widowControl/>
      </w:pPr>
      <w:r w:rsidRPr="009C6576">
        <w:t>HYVÄKSYTYT TEKSTIT</w:t>
      </w:r>
    </w:p>
    <w:p w:rsidR="00D058B8" w:rsidRPr="009C6576" w:rsidRDefault="00D058B8" w:rsidP="002D6EC3">
      <w:pPr>
        <w:pStyle w:val="LineBottom"/>
        <w:widowControl/>
      </w:pPr>
    </w:p>
    <w:p w:rsidR="00686940" w:rsidRPr="009C6576" w:rsidRDefault="00686940" w:rsidP="002D6EC3">
      <w:pPr>
        <w:pStyle w:val="ATHeading1"/>
      </w:pPr>
      <w:bookmarkStart w:id="0" w:name="TANumber"/>
      <w:r w:rsidRPr="009C6576">
        <w:t>P10_</w:t>
      </w:r>
      <w:proofErr w:type="gramStart"/>
      <w:r w:rsidRPr="009C6576">
        <w:t>TA(</w:t>
      </w:r>
      <w:proofErr w:type="gramEnd"/>
      <w:r w:rsidRPr="009C6576">
        <w:t>2024)00</w:t>
      </w:r>
      <w:r w:rsidR="00772A64" w:rsidRPr="009C6576">
        <w:t>62</w:t>
      </w:r>
      <w:bookmarkEnd w:id="0"/>
    </w:p>
    <w:p w:rsidR="00686940" w:rsidRPr="009C6576" w:rsidRDefault="00686940" w:rsidP="002D6EC3">
      <w:pPr>
        <w:pStyle w:val="ATHeading2"/>
      </w:pPr>
      <w:bookmarkStart w:id="1" w:name="title"/>
      <w:r w:rsidRPr="009C6576">
        <w:t>Euroopan globalisaatiorahaston varojen käyttöönotto: hakemus EGF/2024/002 BE/Limburg</w:t>
      </w:r>
      <w:r w:rsidR="002D6EC3" w:rsidRPr="009C6576">
        <w:t xml:space="preserve"> </w:t>
      </w:r>
      <w:proofErr w:type="spellStart"/>
      <w:r w:rsidRPr="009C6576">
        <w:t>machinery</w:t>
      </w:r>
      <w:proofErr w:type="spellEnd"/>
      <w:r w:rsidRPr="009C6576">
        <w:t xml:space="preserve"> and </w:t>
      </w:r>
      <w:proofErr w:type="spellStart"/>
      <w:r w:rsidRPr="009C6576">
        <w:t>paper</w:t>
      </w:r>
      <w:proofErr w:type="spellEnd"/>
      <w:r w:rsidRPr="009C6576">
        <w:t xml:space="preserve"> – Belgia</w:t>
      </w:r>
      <w:bookmarkEnd w:id="1"/>
    </w:p>
    <w:p w:rsidR="00686940" w:rsidRPr="009C6576" w:rsidRDefault="00686940" w:rsidP="002D6EC3">
      <w:pPr>
        <w:widowControl/>
        <w:rPr>
          <w:i/>
          <w:vanish/>
        </w:rPr>
      </w:pPr>
      <w:r w:rsidRPr="009C6576">
        <w:rPr>
          <w:i/>
        </w:rPr>
        <w:fldChar w:fldCharType="begin"/>
      </w:r>
      <w:r w:rsidRPr="009C6576">
        <w:rPr>
          <w:i/>
        </w:rPr>
        <w:instrText xml:space="preserve"> TC"(</w:instrText>
      </w:r>
      <w:bookmarkStart w:id="2" w:name="DocNumber"/>
      <w:r w:rsidRPr="009C6576">
        <w:rPr>
          <w:i/>
        </w:rPr>
        <w:instrText>A10-0019/2024</w:instrText>
      </w:r>
      <w:bookmarkEnd w:id="2"/>
      <w:r w:rsidRPr="009C6576">
        <w:rPr>
          <w:i/>
        </w:rPr>
        <w:instrText xml:space="preserve"> - Esittelijä: </w:instrText>
      </w:r>
      <w:proofErr w:type="spellStart"/>
      <w:r w:rsidRPr="009C6576">
        <w:rPr>
          <w:i/>
        </w:rPr>
        <w:instrText>Matjaž</w:instrText>
      </w:r>
      <w:proofErr w:type="spellEnd"/>
      <w:r w:rsidRPr="009C6576">
        <w:rPr>
          <w:i/>
        </w:rPr>
        <w:instrText xml:space="preserve"> </w:instrText>
      </w:r>
      <w:proofErr w:type="spellStart"/>
      <w:r w:rsidRPr="009C6576">
        <w:rPr>
          <w:i/>
        </w:rPr>
        <w:instrText>Nemec</w:instrText>
      </w:r>
      <w:proofErr w:type="spellEnd"/>
      <w:r w:rsidRPr="009C6576">
        <w:rPr>
          <w:i/>
        </w:rPr>
        <w:instrText xml:space="preserve">)"\l3 \n&gt; \* MERGEFORMAT </w:instrText>
      </w:r>
      <w:r w:rsidRPr="009C6576">
        <w:rPr>
          <w:i/>
        </w:rPr>
        <w:fldChar w:fldCharType="end"/>
      </w:r>
    </w:p>
    <w:p w:rsidR="00686940" w:rsidRPr="009C6576" w:rsidRDefault="00686940" w:rsidP="002D6EC3">
      <w:pPr>
        <w:widowControl/>
        <w:rPr>
          <w:vanish/>
        </w:rPr>
      </w:pPr>
      <w:bookmarkStart w:id="3" w:name="Commission"/>
      <w:r w:rsidRPr="009C6576">
        <w:rPr>
          <w:vanish/>
        </w:rPr>
        <w:t>Budjettivaliokunta</w:t>
      </w:r>
      <w:bookmarkEnd w:id="3"/>
    </w:p>
    <w:p w:rsidR="00686940" w:rsidRPr="009C6576" w:rsidRDefault="00686940" w:rsidP="002D6EC3">
      <w:pPr>
        <w:widowControl/>
        <w:rPr>
          <w:vanish/>
        </w:rPr>
      </w:pPr>
      <w:bookmarkStart w:id="4" w:name="PE"/>
      <w:r w:rsidRPr="009C6576">
        <w:rPr>
          <w:vanish/>
        </w:rPr>
        <w:t>PE765.241</w:t>
      </w:r>
      <w:bookmarkEnd w:id="4"/>
    </w:p>
    <w:p w:rsidR="00686940" w:rsidRPr="009C6576" w:rsidRDefault="00686940" w:rsidP="002D6EC3">
      <w:pPr>
        <w:pStyle w:val="ATHeading3"/>
      </w:pPr>
      <w:bookmarkStart w:id="5" w:name="Sujet"/>
      <w:r w:rsidRPr="009C6576">
        <w:t>Euroopan parlamentin päätös</w:t>
      </w:r>
      <w:r w:rsidR="00F57E44" w:rsidRPr="009C6576">
        <w:t>lauselma</w:t>
      </w:r>
      <w:r w:rsidRPr="009C6576">
        <w:t xml:space="preserve"> </w:t>
      </w:r>
      <w:r w:rsidR="00F57E44" w:rsidRPr="009C6576">
        <w:t>17</w:t>
      </w:r>
      <w:r w:rsidRPr="009C6576">
        <w:t xml:space="preserve">. joulukuuta 2024 ehdotuksesta Euroopan parlamentin ja neuvoston päätökseksi työttömiksi jääneitä työntekijöitä tukevan Euroopan globalisaatiorahaston varojen käyttöönotosta Belgian hakemuksen johdosta – EGF/2024/002 BE/Limburg </w:t>
      </w:r>
      <w:proofErr w:type="spellStart"/>
      <w:r w:rsidRPr="009C6576">
        <w:t>machinery</w:t>
      </w:r>
      <w:proofErr w:type="spellEnd"/>
      <w:r w:rsidRPr="009C6576">
        <w:t xml:space="preserve"> and </w:t>
      </w:r>
      <w:proofErr w:type="spellStart"/>
      <w:r w:rsidRPr="009C6576">
        <w:t>paper</w:t>
      </w:r>
      <w:bookmarkEnd w:id="5"/>
      <w:proofErr w:type="spellEnd"/>
      <w:r w:rsidRPr="009C6576">
        <w:t xml:space="preserve"> </w:t>
      </w:r>
      <w:bookmarkStart w:id="6" w:name="References"/>
      <w:r w:rsidRPr="009C6576">
        <w:t>(</w:t>
      </w:r>
      <w:proofErr w:type="gramStart"/>
      <w:r w:rsidRPr="009C6576">
        <w:t>COM(</w:t>
      </w:r>
      <w:proofErr w:type="gramEnd"/>
      <w:r w:rsidRPr="009C6576">
        <w:t>2024)0370 – C10-0166/2024 – 2024/0286(BUD))</w:t>
      </w:r>
      <w:bookmarkEnd w:id="6"/>
    </w:p>
    <w:p w:rsidR="000607A2" w:rsidRPr="009C6576" w:rsidRDefault="000607A2" w:rsidP="002D6EC3">
      <w:pPr>
        <w:pStyle w:val="EPComma"/>
        <w:widowControl/>
        <w:rPr>
          <w:noProof/>
        </w:rPr>
      </w:pPr>
      <w:r w:rsidRPr="009C6576">
        <w:rPr>
          <w:i/>
        </w:rPr>
        <w:t>Euroopan parlamentti</w:t>
      </w:r>
      <w:r w:rsidRPr="009C6576">
        <w:t>, joka</w:t>
      </w:r>
      <w:bookmarkStart w:id="7" w:name="_GoBack"/>
      <w:bookmarkEnd w:id="7"/>
    </w:p>
    <w:p w:rsidR="000607A2" w:rsidRPr="009C6576" w:rsidRDefault="000607A2" w:rsidP="002D6EC3">
      <w:pPr>
        <w:pStyle w:val="NormalHanging12a"/>
        <w:widowControl/>
        <w:rPr>
          <w:noProof/>
        </w:rPr>
      </w:pPr>
      <w:r w:rsidRPr="009C6576">
        <w:t>–</w:t>
      </w:r>
      <w:r w:rsidRPr="009C6576">
        <w:tab/>
        <w:t>ottaa huomioon komission ehdotuksen Euroopan parlamentille ja neuvostolle (</w:t>
      </w:r>
      <w:proofErr w:type="gramStart"/>
      <w:r w:rsidRPr="009C6576">
        <w:t>COM(</w:t>
      </w:r>
      <w:proofErr w:type="gramEnd"/>
      <w:r w:rsidRPr="009C6576">
        <w:t>2024)0370 – C10-0166/2024),</w:t>
      </w:r>
    </w:p>
    <w:p w:rsidR="000607A2" w:rsidRPr="009C6576" w:rsidRDefault="000607A2" w:rsidP="002D6EC3">
      <w:pPr>
        <w:pStyle w:val="NormalHanging12a"/>
        <w:widowControl/>
      </w:pPr>
      <w:r w:rsidRPr="009C6576">
        <w:t>–</w:t>
      </w:r>
      <w:r w:rsidRPr="009C6576">
        <w:tab/>
        <w:t>ottaa huomioon Euroopan globalisaatiorahastosta (EGR) työttömiksi jääneille työntekijöille ja asetuksen (EU) N:o 1309/2013 kumoamisesta 28. huhtikuuta 2021 annetun Euroopan parlamentin ja neuvoston asetuksen (EU) 2021/691</w:t>
      </w:r>
      <w:r w:rsidRPr="009C6576">
        <w:rPr>
          <w:rStyle w:val="FootnoteReference"/>
          <w:noProof/>
        </w:rPr>
        <w:footnoteReference w:id="1"/>
      </w:r>
      <w:r w:rsidRPr="009C6576">
        <w:t>, jäljempänä ’EGR-asetus’,</w:t>
      </w:r>
    </w:p>
    <w:p w:rsidR="000607A2" w:rsidRPr="009C6576" w:rsidRDefault="000607A2" w:rsidP="002D6EC3">
      <w:pPr>
        <w:pStyle w:val="NormalHanging12a"/>
        <w:widowControl/>
        <w:rPr>
          <w:noProof/>
        </w:rPr>
      </w:pPr>
      <w:r w:rsidRPr="009C6576">
        <w:t>–</w:t>
      </w:r>
      <w:r w:rsidRPr="009C6576">
        <w:tab/>
        <w:t>ottaa huomioon vuosia 2021–2027 koskevan monivuotisen rahoituskehyksen vahvistamisesta 17. joulukuuta 2020 annetun neuvoston asetuksen (EU, Euratom) 2020/2093</w:t>
      </w:r>
      <w:r w:rsidRPr="009C6576">
        <w:rPr>
          <w:rStyle w:val="FootnoteReference"/>
          <w:noProof/>
        </w:rPr>
        <w:footnoteReference w:id="2"/>
      </w:r>
      <w:r w:rsidRPr="009C6576">
        <w:t xml:space="preserve">, sellaisena kun se on muutettuna </w:t>
      </w:r>
      <w:r w:rsidR="000A37B4" w:rsidRPr="009C6576">
        <w:t xml:space="preserve">neuvoston </w:t>
      </w:r>
      <w:r w:rsidRPr="009C6576">
        <w:t>asetuksella (EU, Euratom) 2024/765</w:t>
      </w:r>
      <w:r w:rsidRPr="009C6576">
        <w:rPr>
          <w:rStyle w:val="FootnoteReference"/>
          <w:bdr w:val="none" w:sz="0" w:space="0" w:color="auto" w:frame="1"/>
        </w:rPr>
        <w:footnoteReference w:id="3"/>
      </w:r>
      <w:r w:rsidRPr="009C6576">
        <w:t>, ja erityisesti sen 8 artiklan,</w:t>
      </w:r>
    </w:p>
    <w:p w:rsidR="000607A2" w:rsidRPr="009C6576" w:rsidRDefault="000607A2" w:rsidP="002D6EC3">
      <w:pPr>
        <w:pStyle w:val="NormalHanging12a"/>
        <w:widowControl/>
        <w:rPr>
          <w:noProof/>
        </w:rPr>
      </w:pPr>
      <w:r w:rsidRPr="009C6576">
        <w:t>–</w:t>
      </w:r>
      <w:r w:rsidRPr="009C6576">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9C6576">
        <w:lastRenderedPageBreak/>
        <w:t>tehdyn Euroopan parlamentin, Euroopan unionin neuvoston ja Euroopan komission välisen toimielinten sopimuksen</w:t>
      </w:r>
      <w:r w:rsidRPr="009C6576">
        <w:rPr>
          <w:rStyle w:val="FootnoteReference"/>
          <w:noProof/>
        </w:rPr>
        <w:footnoteReference w:id="4"/>
      </w:r>
      <w:r w:rsidRPr="009C6576">
        <w:t xml:space="preserve"> ja erityisesti sen 9 kohdan,</w:t>
      </w:r>
    </w:p>
    <w:p w:rsidR="000607A2" w:rsidRPr="009C6576" w:rsidRDefault="000607A2" w:rsidP="002D6EC3">
      <w:pPr>
        <w:pStyle w:val="NormalHanging12a"/>
        <w:widowControl/>
        <w:rPr>
          <w:noProof/>
        </w:rPr>
      </w:pPr>
      <w:r w:rsidRPr="009C6576">
        <w:t>–</w:t>
      </w:r>
      <w:r w:rsidRPr="009C6576">
        <w:tab/>
        <w:t>ottaa huomioon Euroopan sosiaalisten oikeuksien pilarin periaatteet ja Euroopan sosiaalisten oikeuksien pilaria koskevassa toimintasuunnitelmassa asetetut tavoitteet,</w:t>
      </w:r>
    </w:p>
    <w:p w:rsidR="000607A2" w:rsidRPr="009C6576" w:rsidRDefault="000607A2" w:rsidP="002D6EC3">
      <w:pPr>
        <w:pStyle w:val="NormalHanging12a"/>
        <w:widowControl/>
      </w:pPr>
      <w:r w:rsidRPr="009C6576">
        <w:t>–</w:t>
      </w:r>
      <w:r w:rsidRPr="009C6576">
        <w:tab/>
        <w:t>ottaa huomioon työllisyyden ja sosiaaliasioiden valiokunnan kirjeen,</w:t>
      </w:r>
    </w:p>
    <w:p w:rsidR="000607A2" w:rsidRPr="009C6576" w:rsidRDefault="000607A2" w:rsidP="002D6EC3">
      <w:pPr>
        <w:pStyle w:val="NormalHanging12a"/>
        <w:widowControl/>
      </w:pPr>
      <w:r w:rsidRPr="009C6576">
        <w:t>–</w:t>
      </w:r>
      <w:r w:rsidRPr="009C6576">
        <w:tab/>
        <w:t>ottaa huomioon budjettivaliokunnan mietinnön (A10-0019/2024),</w:t>
      </w:r>
    </w:p>
    <w:p w:rsidR="000607A2" w:rsidRPr="009C6576" w:rsidRDefault="000607A2" w:rsidP="002D6EC3">
      <w:pPr>
        <w:pStyle w:val="NormalHanging12a"/>
        <w:widowControl/>
      </w:pPr>
      <w:r w:rsidRPr="009C6576">
        <w:t>A.</w:t>
      </w:r>
      <w:r w:rsidRPr="009C6576">
        <w:tab/>
        <w:t>ottaa huomioon, että unioni on ottanut käyttöön lainsäädäntö- ja budjettivälineitä voidakseen tarjota lisätukea työntekijöille, jotka kärsivät maailmankaupan huomattavien rakenteellisten muutosten tai maailmanlaajuisen talous- ja rahoituskriisin seurauksista, ja auttaakseen heitä integroitumaan uudelleen työmarkkinoille; toteaa, että tuki annetaan rahoitustukena työntekijöille ja yrityksille, joiden palveluksessa he ovat työskennelleet;</w:t>
      </w:r>
    </w:p>
    <w:p w:rsidR="000607A2" w:rsidRPr="009C6576" w:rsidRDefault="000607A2" w:rsidP="002D6EC3">
      <w:pPr>
        <w:pStyle w:val="NormalHanging12a"/>
        <w:widowControl/>
      </w:pPr>
      <w:r w:rsidRPr="009C6576">
        <w:t>B.</w:t>
      </w:r>
      <w:r w:rsidRPr="009C6576">
        <w:tab/>
        <w:t xml:space="preserve">ottaa huomioon, että Belgia jätti hakemuksen EGF/2024/002 BE/Limburg </w:t>
      </w:r>
      <w:proofErr w:type="spellStart"/>
      <w:r w:rsidRPr="009C6576">
        <w:t>machinery</w:t>
      </w:r>
      <w:proofErr w:type="spellEnd"/>
      <w:r w:rsidRPr="009C6576">
        <w:t xml:space="preserve"> and </w:t>
      </w:r>
      <w:proofErr w:type="spellStart"/>
      <w:r w:rsidRPr="009C6576">
        <w:t>paper</w:t>
      </w:r>
      <w:proofErr w:type="spellEnd"/>
      <w:r w:rsidRPr="009C6576">
        <w:t xml:space="preserve"> rahoitustuen saamiseksi Euroopan globalisaatiorahastosta (EGR) sen jälkeen, kun NACE </w:t>
      </w:r>
      <w:proofErr w:type="spellStart"/>
      <w:r w:rsidRPr="009C6576">
        <w:t>Rev</w:t>
      </w:r>
      <w:proofErr w:type="spellEnd"/>
      <w:r w:rsidRPr="009C6576">
        <w:t>. 2:n kaksinumerotasoon 17 (Paperin, paperi- ja kartonkituotteiden valmistus) ja kaksinumerotasoon 28 (Muiden koneiden ja laitteiden valmistus) luokitelluilla toimialoilla oli vähennetty 681 työntekijää</w:t>
      </w:r>
      <w:r w:rsidRPr="009C6576">
        <w:rPr>
          <w:rStyle w:val="FootnoteReference"/>
        </w:rPr>
        <w:footnoteReference w:id="5"/>
      </w:r>
      <w:r w:rsidRPr="009C6576">
        <w:t xml:space="preserve"> </w:t>
      </w:r>
      <w:proofErr w:type="spellStart"/>
      <w:r w:rsidRPr="009C6576">
        <w:t>Provincie</w:t>
      </w:r>
      <w:proofErr w:type="spellEnd"/>
      <w:r w:rsidRPr="009C6576">
        <w:t xml:space="preserve"> Limburgin alueella viiteajanjaksolla 31. joulukuuta 2023 – 30. huhtikuuta 2024;</w:t>
      </w:r>
    </w:p>
    <w:p w:rsidR="000607A2" w:rsidRPr="009C6576" w:rsidRDefault="000607A2" w:rsidP="002D6EC3">
      <w:pPr>
        <w:pStyle w:val="NormalHanging12a"/>
        <w:widowControl/>
      </w:pPr>
      <w:r w:rsidRPr="009C6576">
        <w:t>C.</w:t>
      </w:r>
      <w:r w:rsidRPr="009C6576">
        <w:tab/>
        <w:t xml:space="preserve">ottaa huomioon, että hakemus koskee </w:t>
      </w:r>
      <w:proofErr w:type="gramStart"/>
      <w:r w:rsidRPr="009C6576">
        <w:t>567:ää</w:t>
      </w:r>
      <w:proofErr w:type="gramEnd"/>
      <w:r w:rsidRPr="009C6576">
        <w:t xml:space="preserve"> työntekijää, jotka vähennettiin Sappi </w:t>
      </w:r>
      <w:proofErr w:type="spellStart"/>
      <w:r w:rsidRPr="009C6576">
        <w:t>Lanaken</w:t>
      </w:r>
      <w:proofErr w:type="spellEnd"/>
      <w:r w:rsidRPr="009C6576">
        <w:t xml:space="preserve"> NV -konsernista (paperi) ja 114:ää työntekijää, jotka vähennettiin </w:t>
      </w:r>
      <w:proofErr w:type="spellStart"/>
      <w:r w:rsidRPr="009C6576">
        <w:t>Purmo</w:t>
      </w:r>
      <w:proofErr w:type="spellEnd"/>
      <w:r w:rsidRPr="009C6576">
        <w:t xml:space="preserve"> Group </w:t>
      </w:r>
      <w:proofErr w:type="spellStart"/>
      <w:r w:rsidRPr="009C6576">
        <w:t>Belgium</w:t>
      </w:r>
      <w:proofErr w:type="spellEnd"/>
      <w:r w:rsidRPr="009C6576">
        <w:t xml:space="preserve"> NV -konsernista (koneet);</w:t>
      </w:r>
    </w:p>
    <w:p w:rsidR="000607A2" w:rsidRPr="009C6576" w:rsidRDefault="000607A2" w:rsidP="002D6EC3">
      <w:pPr>
        <w:pStyle w:val="NormalHanging12a"/>
        <w:widowControl/>
      </w:pPr>
      <w:r w:rsidRPr="009C6576">
        <w:t>D.</w:t>
      </w:r>
      <w:r w:rsidRPr="009C6576">
        <w:tab/>
        <w:t>ottaa huomioon, että hakemus perustuu EGR-asetuksen 4 artiklan 2 kohdan c alakohdan toimintakriteeriin, jossa edellytyksenä on vähintään 200:n työttömäksi jääneen työntekijän työskentelyn loppuminen neljän kuukauden viiteajanjakson aikana yrityksissä, jotka toimivat samalla tai eri talouden alalla ja sijaitsevat samalla alueella;</w:t>
      </w:r>
    </w:p>
    <w:p w:rsidR="000607A2" w:rsidRPr="009C6576" w:rsidRDefault="000607A2" w:rsidP="002D6EC3">
      <w:pPr>
        <w:pStyle w:val="NormalHanging12a"/>
        <w:widowControl/>
      </w:pPr>
      <w:r w:rsidRPr="009C6576">
        <w:t>E.</w:t>
      </w:r>
      <w:r w:rsidRPr="009C6576">
        <w:tab/>
        <w:t>ottaa huomioon, että covid-19-pandemia ja Venäjän hyökkäyssota Ukrainaa vastaan ovat heikentäneet taloudellista kilpailukykyä ja vaikuttaneet kielteisesti talouskasvuun Belgiassa;</w:t>
      </w:r>
    </w:p>
    <w:p w:rsidR="000607A2" w:rsidRPr="009C6576" w:rsidRDefault="000607A2" w:rsidP="002D6EC3">
      <w:pPr>
        <w:pStyle w:val="NormalHanging12a"/>
        <w:widowControl/>
        <w:rPr>
          <w:rFonts w:eastAsia="Calibri"/>
          <w:szCs w:val="22"/>
        </w:rPr>
      </w:pPr>
      <w:r w:rsidRPr="009C6576">
        <w:t>F.</w:t>
      </w:r>
      <w:r w:rsidRPr="009C6576">
        <w:tab/>
        <w:t xml:space="preserve">ottaa huomioon, että Sappi </w:t>
      </w:r>
      <w:proofErr w:type="spellStart"/>
      <w:r w:rsidRPr="009C6576">
        <w:t>Lanaken</w:t>
      </w:r>
      <w:proofErr w:type="spellEnd"/>
      <w:r w:rsidRPr="009C6576">
        <w:t xml:space="preserve"> oli erikoistunut puuvapaan päällystetyn paperin (</w:t>
      </w:r>
      <w:proofErr w:type="spellStart"/>
      <w:r w:rsidRPr="009C6576">
        <w:t>woodfree</w:t>
      </w:r>
      <w:proofErr w:type="spellEnd"/>
      <w:r w:rsidRPr="009C6576">
        <w:t xml:space="preserve"> </w:t>
      </w:r>
      <w:proofErr w:type="spellStart"/>
      <w:r w:rsidRPr="009C6576">
        <w:t>coated</w:t>
      </w:r>
      <w:proofErr w:type="spellEnd"/>
      <w:r w:rsidRPr="009C6576">
        <w:t xml:space="preserve"> </w:t>
      </w:r>
      <w:proofErr w:type="spellStart"/>
      <w:r w:rsidRPr="009C6576">
        <w:t>paper</w:t>
      </w:r>
      <w:proofErr w:type="spellEnd"/>
      <w:r w:rsidRPr="009C6576">
        <w:t xml:space="preserve">, WCP) tuotantoon; ottaa huomioon, että lisääntyvästä </w:t>
      </w:r>
      <w:proofErr w:type="spellStart"/>
      <w:r w:rsidRPr="009C6576">
        <w:t>digitalisaatiosta</w:t>
      </w:r>
      <w:proofErr w:type="spellEnd"/>
      <w:r w:rsidRPr="009C6576">
        <w:t xml:space="preserve"> johtuva graafisten tuotteiden kysynnän väheneminen on johtanut kasvavaan ylikapasiteettiin Euroopan WCP-tuotannonalalla; ottaa huomioon, että Sappi </w:t>
      </w:r>
      <w:proofErr w:type="spellStart"/>
      <w:r w:rsidRPr="009C6576">
        <w:t>Lanakenin</w:t>
      </w:r>
      <w:proofErr w:type="spellEnd"/>
      <w:r w:rsidRPr="009C6576">
        <w:t xml:space="preserve"> siirtyminen tuottamaan muita paperituotteita, joilla on enemmän kysyntää, olisi edellyttänyt suuria investointeja, minkä vuoksi Sappi-konserni päätti lopettaa tuotannon </w:t>
      </w:r>
      <w:proofErr w:type="spellStart"/>
      <w:r w:rsidRPr="009C6576">
        <w:t>Lanakenissa</w:t>
      </w:r>
      <w:proofErr w:type="spellEnd"/>
      <w:r w:rsidRPr="009C6576">
        <w:t xml:space="preserve"> ja sulkea tuotantolaitoksen, koska sopivaa ostajaa ei löytynyt tuotannonalan rakenteellisen ylikapasiteetin vuoksi; </w:t>
      </w:r>
    </w:p>
    <w:p w:rsidR="000607A2" w:rsidRPr="009C6576" w:rsidRDefault="000607A2" w:rsidP="002D6EC3">
      <w:pPr>
        <w:pStyle w:val="NormalHanging12a"/>
        <w:widowControl/>
        <w:rPr>
          <w:noProof/>
        </w:rPr>
      </w:pPr>
      <w:r w:rsidRPr="009C6576">
        <w:t>G.</w:t>
      </w:r>
      <w:r w:rsidRPr="009C6576">
        <w:tab/>
        <w:t xml:space="preserve">ottaa huomioon, että </w:t>
      </w:r>
      <w:proofErr w:type="spellStart"/>
      <w:r w:rsidRPr="009C6576">
        <w:t>Purmo</w:t>
      </w:r>
      <w:proofErr w:type="spellEnd"/>
      <w:r w:rsidRPr="009C6576">
        <w:t xml:space="preserve">-konsernin paneelilämmittimien tuotantomäärä on vähentynyt tasaisesti vuosina 2018–2023: se oli 820 000 yksikköä vuonna 2018 ja 320 000 yksikköä vuonna 2023 (vähennys 60 prosenttia); ottaa huomioon, että kun verrataan </w:t>
      </w:r>
      <w:proofErr w:type="spellStart"/>
      <w:r w:rsidRPr="009C6576">
        <w:t>Purmo</w:t>
      </w:r>
      <w:proofErr w:type="spellEnd"/>
      <w:r w:rsidRPr="009C6576">
        <w:noBreakHyphen/>
        <w:t xml:space="preserve">konsernin eri tuotantolaitosten tuotantokustannuksia Euroopassa, </w:t>
      </w:r>
      <w:proofErr w:type="spellStart"/>
      <w:r w:rsidRPr="009C6576">
        <w:lastRenderedPageBreak/>
        <w:t>Zonhovenin</w:t>
      </w:r>
      <w:proofErr w:type="spellEnd"/>
      <w:r w:rsidRPr="009C6576">
        <w:t xml:space="preserve"> tuotantolaitos on muita huonommassa asemassa, koska sen kustannukset ovat 17</w:t>
      </w:r>
      <w:r w:rsidRPr="009C6576">
        <w:noBreakHyphen/>
        <w:t xml:space="preserve">35 prosenttia korkeammat; ottaa huomioon, että </w:t>
      </w:r>
      <w:proofErr w:type="spellStart"/>
      <w:r w:rsidRPr="009C6576">
        <w:t>Purmo</w:t>
      </w:r>
      <w:proofErr w:type="spellEnd"/>
      <w:r w:rsidRPr="009C6576">
        <w:t xml:space="preserve">-konserni päätti lopettaa 50 mm:n paneelilämmittimien tuotannon </w:t>
      </w:r>
      <w:proofErr w:type="spellStart"/>
      <w:r w:rsidRPr="009C6576">
        <w:t>Zonhovenin</w:t>
      </w:r>
      <w:proofErr w:type="spellEnd"/>
      <w:r w:rsidRPr="009C6576">
        <w:t xml:space="preserve"> tuotantolaitoksessa ja sulkea asianomaisen tuotantolinjan; toteaa, että kun otetaan huomioon Venäjän Ukrainaa vastaan käymästä hyökkäyssodasta johtuva odottamaton kaasun saatavuus- ja hintatilanne ja EU:n lainsäädäntö, joka tekee matalalämpöjärjestelmistä kannattavampia kuin paneelilämmittimistä, kysynnän elpyminen on epätodennäköistä, koska paneelilämmitinmarkkinat rajoittuvat yhä enenevässä määrin käytössä olevien yksiköiden korvaamiseen; </w:t>
      </w:r>
    </w:p>
    <w:p w:rsidR="000607A2" w:rsidRPr="009C6576" w:rsidRDefault="000607A2" w:rsidP="002D6EC3">
      <w:pPr>
        <w:pStyle w:val="NormalHanging12a"/>
        <w:widowControl/>
      </w:pPr>
      <w:r w:rsidRPr="009C6576">
        <w:t>H.</w:t>
      </w:r>
      <w:r w:rsidRPr="009C6576">
        <w:tab/>
        <w:t xml:space="preserve">ottaa huomioon, että nämä kaksi yritystä noudattivat Belgian lainsäädäntöä, jossa säädetään pakollisesta menettelystä työntekijöiden edustajille tiedottamista ja heidän kuulemistaan varten ja ovat perustaneet työllistämisyksikön, jonka tarkoituksena on tarjota joukkovähentämisten yhteydessä irtisanotuille työntekijöille uudelleensijoituspalveluja; </w:t>
      </w:r>
    </w:p>
    <w:p w:rsidR="000607A2" w:rsidRPr="009C6576" w:rsidRDefault="000607A2" w:rsidP="002D6EC3">
      <w:pPr>
        <w:pStyle w:val="NormalHanging12a"/>
        <w:widowControl/>
      </w:pPr>
      <w:r w:rsidRPr="009C6576">
        <w:t>I.</w:t>
      </w:r>
      <w:r w:rsidRPr="009C6576">
        <w:tab/>
        <w:t xml:space="preserve">toteaa, että </w:t>
      </w:r>
      <w:proofErr w:type="spellStart"/>
      <w:r w:rsidRPr="009C6576">
        <w:t>EGR:n</w:t>
      </w:r>
      <w:proofErr w:type="spellEnd"/>
      <w:r w:rsidRPr="009C6576">
        <w:t xml:space="preserve"> rahoitustuki olisi keskitettävä ensisijaisesti aktiivisiin työvoimapoliittisiin toimenpiteisiin ja yksilöllisiin palveluihin, joilla pyritään integroimaan edunsaajat nopeasti takaisin ihmisarvoisiin ja kestäviin työpaikkoihin joko entisellä toimialalla tai sen ulkopuolella samalla, kun heitä valmistellaan vihreämpään ja digitaalisempaan eurooppalaiseen talouteen;</w:t>
      </w:r>
    </w:p>
    <w:p w:rsidR="000607A2" w:rsidRPr="009C6576" w:rsidRDefault="000607A2" w:rsidP="002D6EC3">
      <w:pPr>
        <w:pStyle w:val="NormalHanging12a"/>
        <w:widowControl/>
      </w:pPr>
      <w:r w:rsidRPr="009C6576">
        <w:t>J.</w:t>
      </w:r>
      <w:r w:rsidRPr="009C6576">
        <w:tab/>
        <w:t>ottaa huomioon, että EGR ei saa ylittää 30 miljoonan euron vuotuista enimmäismäärää (vuoden 2018 hintoina), kuten</w:t>
      </w:r>
      <w:r w:rsidR="000A37B4" w:rsidRPr="009C6576">
        <w:t xml:space="preserve"> neuvoston </w:t>
      </w:r>
      <w:r w:rsidRPr="009C6576">
        <w:t xml:space="preserve">asetuksen (EU, Euratom) 2020/2093 8 artiklassa, sellaisena kuin se on muutettuna </w:t>
      </w:r>
      <w:r w:rsidR="000A37B4" w:rsidRPr="009C6576">
        <w:t xml:space="preserve">neuvoston </w:t>
      </w:r>
      <w:r w:rsidRPr="009C6576">
        <w:t>asetuksella (EU, Euratom) 2024/765, säädetään;</w:t>
      </w:r>
    </w:p>
    <w:p w:rsidR="000607A2" w:rsidRPr="009C6576" w:rsidRDefault="000607A2" w:rsidP="002D6EC3">
      <w:pPr>
        <w:pStyle w:val="NormalHanging12a"/>
        <w:widowControl/>
      </w:pPr>
      <w:r w:rsidRPr="009C6576">
        <w:t>1.</w:t>
      </w:r>
      <w:r w:rsidRPr="009C6576">
        <w:tab/>
        <w:t>on yhtä mieltä komission kanssa siitä, että EGR-asetuksen 4 artiklan 2 kohdan c alakohdassa säädetyt edellytykset täyttyvät ja että Belgia on oikeutettu saamaan kyseisen asetuksen mukaista rahoitustukea 704 135 euroa eli 60 prosenttia 1 173 559 euron kokonaiskustannuksista, joista yksilöllisten palvelujen osuus on 1 126 559 euroa ja valmistelu-, hallinnointi-, tiedotus- ja mainonta-, valvonta- ja raportointitoimien osuus 47 000 euroa;</w:t>
      </w:r>
    </w:p>
    <w:p w:rsidR="000607A2" w:rsidRPr="009C6576" w:rsidRDefault="000607A2" w:rsidP="002D6EC3">
      <w:pPr>
        <w:pStyle w:val="NormalHanging12a"/>
        <w:widowControl/>
      </w:pPr>
      <w:r w:rsidRPr="009C6576">
        <w:t>2.</w:t>
      </w:r>
      <w:r w:rsidRPr="009C6576">
        <w:tab/>
        <w:t xml:space="preserve">toteaa, että Belgian viranomaiset jättivät hakemuksen 19. heinäkuuta 2024 ja että Belgian toimitettua lisätietoja komissio sai hakemusta koskevan arvionsa valmiiksi 5. marraskuuta 2024 ja ilmoitti asiasta parlamentille samana päivänä; </w:t>
      </w:r>
    </w:p>
    <w:p w:rsidR="000607A2" w:rsidRPr="009C6576" w:rsidRDefault="000607A2" w:rsidP="002D6EC3">
      <w:pPr>
        <w:pStyle w:val="NormalHanging12a"/>
        <w:widowControl/>
      </w:pPr>
      <w:r w:rsidRPr="009C6576">
        <w:t>3.</w:t>
      </w:r>
      <w:r w:rsidRPr="009C6576">
        <w:tab/>
        <w:t xml:space="preserve">toteaa, että hakemus koskee </w:t>
      </w:r>
      <w:proofErr w:type="gramStart"/>
      <w:r w:rsidRPr="009C6576">
        <w:t>567:ää</w:t>
      </w:r>
      <w:proofErr w:type="gramEnd"/>
      <w:r w:rsidRPr="009C6576">
        <w:t xml:space="preserve"> työntekijää, jotka vähennettiin Sappi </w:t>
      </w:r>
      <w:proofErr w:type="spellStart"/>
      <w:r w:rsidRPr="009C6576">
        <w:t>Lanaken</w:t>
      </w:r>
      <w:proofErr w:type="spellEnd"/>
      <w:r w:rsidRPr="009C6576">
        <w:t xml:space="preserve"> </w:t>
      </w:r>
      <w:r w:rsidRPr="009C6576">
        <w:noBreakHyphen/>
        <w:t xml:space="preserve">konsernissa ja 114:ää työntekijää, jotka vähennettiin </w:t>
      </w:r>
      <w:proofErr w:type="spellStart"/>
      <w:r w:rsidRPr="009C6576">
        <w:t>Purmo</w:t>
      </w:r>
      <w:proofErr w:type="spellEnd"/>
      <w:r w:rsidRPr="009C6576">
        <w:t xml:space="preserve"> Group </w:t>
      </w:r>
      <w:proofErr w:type="spellStart"/>
      <w:r w:rsidRPr="009C6576">
        <w:t>Belgium</w:t>
      </w:r>
      <w:proofErr w:type="spellEnd"/>
      <w:r w:rsidRPr="009C6576">
        <w:t xml:space="preserve"> </w:t>
      </w:r>
      <w:r w:rsidRPr="009C6576">
        <w:noBreakHyphen/>
        <w:t>konsernissa;</w:t>
      </w:r>
      <w:r w:rsidRPr="009C6576">
        <w:rPr>
          <w:color w:val="000000"/>
        </w:rPr>
        <w:t xml:space="preserve"> toteaa lisäksi, että kohteena olevia edunsaajia on yhteensä 632 työntekijää, jotka ovat lähes yksinomaan miehiä;</w:t>
      </w:r>
    </w:p>
    <w:p w:rsidR="000607A2" w:rsidRPr="009C6576" w:rsidRDefault="000607A2" w:rsidP="002D6EC3">
      <w:pPr>
        <w:pStyle w:val="NormalHanging12a"/>
        <w:widowControl/>
      </w:pPr>
      <w:r w:rsidRPr="009C6576">
        <w:t>4.</w:t>
      </w:r>
      <w:r w:rsidRPr="009C6576">
        <w:tab/>
        <w:t xml:space="preserve">painottaa, että </w:t>
      </w:r>
      <w:proofErr w:type="spellStart"/>
      <w:r w:rsidRPr="009C6576">
        <w:t>Lanakenin</w:t>
      </w:r>
      <w:proofErr w:type="spellEnd"/>
      <w:r w:rsidRPr="009C6576">
        <w:t xml:space="preserve"> ja </w:t>
      </w:r>
      <w:proofErr w:type="spellStart"/>
      <w:r w:rsidRPr="009C6576">
        <w:t>Zonhovenin</w:t>
      </w:r>
      <w:proofErr w:type="spellEnd"/>
      <w:r w:rsidRPr="009C6576">
        <w:t xml:space="preserve"> työmarkkinoilla on heikompi tilanne kuin Limburgissa kokonaisuudessaan tai Flanderissa ja että työssäkäyvän väestön määrän suhde tarjolla olevien työpaikkojen määrään on huomattavasti pienempi kuin Limburgissa kokonaisuudessaan tai Flanderissa; korostaa, että Limburgissa tarjolla olevien teollisuustyöpaikkojen määrä väheni 15 prosenttia vuonna 2023;</w:t>
      </w:r>
    </w:p>
    <w:p w:rsidR="000607A2" w:rsidRPr="009C6576" w:rsidRDefault="000607A2" w:rsidP="002D6EC3">
      <w:pPr>
        <w:pStyle w:val="NormalHanging12a"/>
        <w:widowControl/>
      </w:pPr>
      <w:r w:rsidRPr="009C6576">
        <w:t>5.</w:t>
      </w:r>
      <w:r w:rsidRPr="009C6576">
        <w:tab/>
        <w:t xml:space="preserve">huomauttaa, että irtisanottujen työntekijöiden, joista kolmasosa on vähintään 55-vuotiaita ja 30 prosenttia heikosti koulutettuja, työntekijäprofiilit aiheuttavat vakavia esteitä työmarkkinoilla; korostaa, että kun otetaan huomioon avointen työpaikkojen </w:t>
      </w:r>
      <w:r w:rsidRPr="009C6576">
        <w:lastRenderedPageBreak/>
        <w:t xml:space="preserve">määrän laskusuuntaus ja maantieteellinen jakauma, työntekijät tarvitsevat räätälöityä lisätukea, jotta he voivat onnistua siirtymisessä toiseen työpaikkaan; </w:t>
      </w:r>
    </w:p>
    <w:p w:rsidR="000607A2" w:rsidRPr="009C6576" w:rsidRDefault="000607A2" w:rsidP="002D6EC3">
      <w:pPr>
        <w:pStyle w:val="NormalHanging12a"/>
        <w:widowControl/>
      </w:pPr>
      <w:r w:rsidRPr="009C6576">
        <w:t>6.</w:t>
      </w:r>
      <w:r w:rsidRPr="009C6576">
        <w:tab/>
        <w:t xml:space="preserve">muistuttaa, että Belgian viranomaisten on ilmaistava rahoituksen alkuperä, varmistettava unionin rahoituksen näkyvyys ja korostettava toimenpiteen tuomaa unionin lisäarvoa tarjoamalla johdonmukaista, vaikuttavaa ja kohdennettua tietoa eri kohderyhmille, mukaan lukien kohdennettu tiedotus edunsaajille, </w:t>
      </w:r>
      <w:proofErr w:type="spellStart"/>
      <w:r w:rsidRPr="009C6576">
        <w:t>paikallis</w:t>
      </w:r>
      <w:proofErr w:type="spellEnd"/>
      <w:r w:rsidRPr="009C6576">
        <w:t>- ja alueviranomaisille, työmarkkinaosapuolille, tiedotusvälineille ja suurelle yleisölle;</w:t>
      </w:r>
    </w:p>
    <w:p w:rsidR="000607A2" w:rsidRPr="009C6576" w:rsidRDefault="000607A2" w:rsidP="002D6EC3">
      <w:pPr>
        <w:pStyle w:val="NormalHanging12a"/>
        <w:widowControl/>
      </w:pPr>
      <w:r w:rsidRPr="009C6576">
        <w:t>7.</w:t>
      </w:r>
      <w:r w:rsidRPr="009C6576">
        <w:tab/>
        <w:t>katsoo, että unionin ja jäsenvaltioiden sosiaalisena vastuuna on tarjota asianomaisille työntekijöille mahdollisuus hankkia tarvittava pätevyys tulevia työpaikkoja varten, kun otetaan huomioon digitaalinen ja ekologinen siirtymä, jolla on merkittävä vaikutus heidän aloihinsa ja joka johtaa kysynnän vähenemiseen; panee tyytyväisenä merkille, että Belgia laati yksilöllisten palvelujen koordinoidun paketin yhteistyössä kohteena olevien edunsaajien, heidän edustajiensa ja työmarkkinaosapuolten edustajien kanssa;</w:t>
      </w:r>
    </w:p>
    <w:p w:rsidR="000607A2" w:rsidRPr="009C6576" w:rsidRDefault="000607A2" w:rsidP="002D6EC3">
      <w:pPr>
        <w:pStyle w:val="NormalHanging12a"/>
        <w:widowControl/>
      </w:pPr>
      <w:r w:rsidRPr="009C6576">
        <w:t>8.</w:t>
      </w:r>
      <w:r w:rsidRPr="009C6576">
        <w:tab/>
        <w:t xml:space="preserve">korostaa, että </w:t>
      </w:r>
      <w:proofErr w:type="spellStart"/>
      <w:r w:rsidRPr="009C6576">
        <w:t>EGR:n</w:t>
      </w:r>
      <w:proofErr w:type="spellEnd"/>
      <w:r w:rsidRPr="009C6576">
        <w:t xml:space="preserve"> tarjoama tuki on sisällytettävä asianomaisia työntekijöitä ja aluetta koskevaan laajempaan strategiaan kaikilla politiikan tasoilla, myös tukemalla asiaankuuluvia unionin rahoitusvälineitä, sen varmistamiseksi, että ketään ei jätetä jälkeen digitaalisessa siirtymässä ja ilmastosiirtymässä;</w:t>
      </w:r>
    </w:p>
    <w:p w:rsidR="000607A2" w:rsidRPr="009C6576" w:rsidRDefault="000607A2" w:rsidP="002D6EC3">
      <w:pPr>
        <w:pStyle w:val="NormalHanging12a"/>
        <w:widowControl/>
      </w:pPr>
      <w:r w:rsidRPr="009C6576">
        <w:t>9.</w:t>
      </w:r>
      <w:r w:rsidRPr="009C6576">
        <w:tab/>
        <w:t>muistuttaa, että työntekijöille tarjottavat yksilölliset palvelut koostuvat seuraavista toimista: sosiaalitoimista vastaava neuvonantaja, neuvonta ja ammatillinen ohjaus, aktiivinen työnhaun tukeminen, koulutus, uudelleenkoulutus ja ammatillinen koulutus, myös digitaalisiin taitoihin liittyvä koulutus, sekä työpaikalla annettava koulutus;</w:t>
      </w:r>
    </w:p>
    <w:p w:rsidR="000607A2" w:rsidRPr="009C6576" w:rsidRDefault="000607A2" w:rsidP="002D6EC3">
      <w:pPr>
        <w:pStyle w:val="NormalHanging12a"/>
        <w:widowControl/>
      </w:pPr>
      <w:r w:rsidRPr="009C6576">
        <w:t>10.</w:t>
      </w:r>
      <w:r w:rsidRPr="009C6576">
        <w:tab/>
        <w:t xml:space="preserve">panee merkille, että Belgia aloitti yksilöllisten palvelujen tarjoamisen kohteena oleville edunsaajille 26. joulukuuta 2023 ja että toimenpiteisiin liittyviin menoihin voidaan näin ollen myöntää </w:t>
      </w:r>
      <w:proofErr w:type="spellStart"/>
      <w:r w:rsidRPr="009C6576">
        <w:t>EGR:n</w:t>
      </w:r>
      <w:proofErr w:type="spellEnd"/>
      <w:r w:rsidRPr="009C6576">
        <w:t xml:space="preserve"> rahoitustukea kaudella, joka alkaa kyseisestä päivästä ja päättyy 24 kuukauden kuluttua rahoituspäätöksen voimaantulopäivästä;</w:t>
      </w:r>
    </w:p>
    <w:p w:rsidR="000607A2" w:rsidRPr="009C6576" w:rsidRDefault="000607A2" w:rsidP="002D6EC3">
      <w:pPr>
        <w:pStyle w:val="NormalHanging12a"/>
        <w:widowControl/>
        <w:rPr>
          <w:szCs w:val="24"/>
        </w:rPr>
      </w:pPr>
      <w:r w:rsidRPr="009C6576">
        <w:t>11.</w:t>
      </w:r>
      <w:r w:rsidRPr="009C6576">
        <w:tab/>
        <w:t xml:space="preserve">toteaa, että Belgialle on aiheutunut hallinnollisia menoja </w:t>
      </w:r>
      <w:proofErr w:type="spellStart"/>
      <w:r w:rsidRPr="009C6576">
        <w:t>EGR:n</w:t>
      </w:r>
      <w:proofErr w:type="spellEnd"/>
      <w:r w:rsidRPr="009C6576">
        <w:t xml:space="preserve"> täytäntöönpanosta 20. marraskuuta 2023 lähtien ja että näihin toimiin liittyviin menoihin voidaan näin ollen myöntää </w:t>
      </w:r>
      <w:proofErr w:type="spellStart"/>
      <w:r w:rsidRPr="009C6576">
        <w:t>EGR:n</w:t>
      </w:r>
      <w:proofErr w:type="spellEnd"/>
      <w:r w:rsidRPr="009C6576">
        <w:t xml:space="preserve"> rahoitustukea kaudella, joka alkaa kyseisestä päivästä ja päättyy 31 kuukauden kuluttua rahoituspäätöksen voimaantulopäivästä;</w:t>
      </w:r>
    </w:p>
    <w:p w:rsidR="000607A2" w:rsidRPr="009C6576" w:rsidRDefault="000607A2" w:rsidP="002D6EC3">
      <w:pPr>
        <w:pStyle w:val="NormalHanging12a"/>
        <w:widowControl/>
      </w:pPr>
      <w:r w:rsidRPr="009C6576">
        <w:t>12.</w:t>
      </w:r>
      <w:r w:rsidRPr="009C6576">
        <w:tab/>
        <w:t>painottaa Belgian viranomaisten vakuuttaneen, että suunniteltuihin toimiin osallistumisen ja täytäntöönpanon osalta noudatetaan yhdenvertaisen kohtelun ja syrjimättömyyden periaatteita ja että kaksinkertainen rahoitus estetään;</w:t>
      </w:r>
    </w:p>
    <w:p w:rsidR="000607A2" w:rsidRPr="009C6576" w:rsidRDefault="000607A2" w:rsidP="002D6EC3">
      <w:pPr>
        <w:pStyle w:val="NormalHanging12a"/>
        <w:widowControl/>
      </w:pPr>
      <w:r w:rsidRPr="009C6576">
        <w:t>13.</w:t>
      </w:r>
      <w:r w:rsidRPr="009C6576">
        <w:tab/>
        <w:t xml:space="preserve">toteaa jälleen, ettei EGR-tuki saa korvata toimenpiteitä, jotka kuuluvat yritysten vastuulle kansallisen lainsäädännön tai työehtosopimusten nojalla, eikä työttömiksi jääneiden avustuksia tai oikeuksia, jotta varmistetaan rahoitustuen täydentävyys kaikilta osin; muistuttaa, että </w:t>
      </w:r>
      <w:proofErr w:type="spellStart"/>
      <w:r w:rsidRPr="009C6576">
        <w:t>EGR:n</w:t>
      </w:r>
      <w:proofErr w:type="spellEnd"/>
      <w:r w:rsidRPr="009C6576">
        <w:t xml:space="preserve"> rahoitustukea hakevien jäsenvaltioiden on varmistettava, että kansallisessa ja unionin lainsäädännössä säädettyjä joukkovähentämisiä koskevia vaatimuksia on noudatettu ja että asianomainen yritys on huolehtinut työntekijöistään tämän mukaisesti;</w:t>
      </w:r>
    </w:p>
    <w:p w:rsidR="000607A2" w:rsidRPr="009C6576" w:rsidRDefault="000607A2" w:rsidP="002D6EC3">
      <w:pPr>
        <w:pStyle w:val="NormalHanging12a"/>
        <w:widowControl/>
      </w:pPr>
      <w:r w:rsidRPr="009C6576">
        <w:t>14.</w:t>
      </w:r>
      <w:r w:rsidRPr="009C6576">
        <w:tab/>
        <w:t>kehottaa Belgian viranomaisia ja muita jäsenvaltioita toteuttamaan aktiivisesti ennaltaehkäiseviä toimenpiteitä teollisuuden mukauttamiseksi globalisaatioon sekä teknologian ja ympäristön muutoksiin ja suojelemaan työntekijöitä työpaikkansa menettämiseltä ja muilta globalisaation kielteisiltä vaikutuksilta;</w:t>
      </w:r>
    </w:p>
    <w:p w:rsidR="000607A2" w:rsidRPr="009C6576" w:rsidRDefault="000607A2" w:rsidP="002D6EC3">
      <w:pPr>
        <w:pStyle w:val="NormalHanging12a"/>
        <w:widowControl/>
      </w:pPr>
      <w:r w:rsidRPr="009C6576">
        <w:lastRenderedPageBreak/>
        <w:t>15.</w:t>
      </w:r>
      <w:r w:rsidRPr="009C6576">
        <w:tab/>
        <w:t>hyväksyy tämän päätöslauselman liitteenä olevan päätöksen;</w:t>
      </w:r>
    </w:p>
    <w:p w:rsidR="000607A2" w:rsidRPr="009C6576" w:rsidRDefault="000607A2" w:rsidP="002D6EC3">
      <w:pPr>
        <w:pStyle w:val="NormalHanging12a"/>
        <w:widowControl/>
      </w:pPr>
      <w:r w:rsidRPr="009C6576">
        <w:t>16.</w:t>
      </w:r>
      <w:r w:rsidRPr="009C6576">
        <w:tab/>
        <w:t xml:space="preserve">kehottaa puhemiestä allekirjoittamaan päätöksen neuvoston puheenjohtajan kanssa ja huolehtimaan sen julkaisemisesta </w:t>
      </w:r>
      <w:r w:rsidRPr="009C6576">
        <w:rPr>
          <w:i/>
        </w:rPr>
        <w:t>Euroopan unionin virallisessa lehdessä</w:t>
      </w:r>
      <w:r w:rsidRPr="009C6576">
        <w:t>;</w:t>
      </w:r>
    </w:p>
    <w:p w:rsidR="000607A2" w:rsidRPr="009C6576" w:rsidRDefault="000607A2" w:rsidP="002D6EC3">
      <w:pPr>
        <w:pStyle w:val="NormalHanging12a"/>
        <w:widowControl/>
      </w:pPr>
      <w:r w:rsidRPr="009C6576">
        <w:t>17.</w:t>
      </w:r>
      <w:r w:rsidRPr="009C6576">
        <w:tab/>
        <w:t>kehottaa puhemiestä välittämään tämän päätöslauselman liitteineen neuvostolle ja komissiolle.</w:t>
      </w:r>
    </w:p>
    <w:p w:rsidR="000607A2" w:rsidRPr="009C6576" w:rsidRDefault="000607A2" w:rsidP="002D6EC3">
      <w:pPr>
        <w:pStyle w:val="NormalHanging12a"/>
        <w:widowControl/>
        <w:jc w:val="both"/>
        <w:rPr>
          <w:szCs w:val="24"/>
        </w:rPr>
      </w:pPr>
      <w:r w:rsidRPr="009C6576">
        <w:br w:type="page"/>
      </w:r>
    </w:p>
    <w:p w:rsidR="00F57E44" w:rsidRPr="009C6576" w:rsidRDefault="000607A2" w:rsidP="00AA5326">
      <w:pPr>
        <w:pStyle w:val="PageHeading"/>
        <w:widowControl/>
        <w:rPr>
          <w:rFonts w:ascii="Times New Roman" w:hAnsi="Times New Roman" w:cs="Times New Roman"/>
        </w:rPr>
      </w:pPr>
      <w:bookmarkStart w:id="8" w:name="_Toc183703302"/>
      <w:r w:rsidRPr="009C6576">
        <w:rPr>
          <w:rFonts w:ascii="Times New Roman" w:hAnsi="Times New Roman" w:cs="Times New Roman"/>
        </w:rPr>
        <w:lastRenderedPageBreak/>
        <w:t>LIITE</w:t>
      </w:r>
    </w:p>
    <w:p w:rsidR="000607A2" w:rsidRPr="009C6576" w:rsidRDefault="000607A2" w:rsidP="00AA5326">
      <w:pPr>
        <w:pStyle w:val="PageHeading"/>
        <w:widowControl/>
        <w:rPr>
          <w:rFonts w:ascii="Times New Roman" w:hAnsi="Times New Roman" w:cs="Times New Roman"/>
          <w:noProof/>
        </w:rPr>
      </w:pPr>
      <w:r w:rsidRPr="009C6576">
        <w:rPr>
          <w:rFonts w:ascii="Times New Roman" w:hAnsi="Times New Roman" w:cs="Times New Roman"/>
        </w:rPr>
        <w:t>EUROOPAN PARLAMENTIN JA NEUVOSTON PÄÄTÖS</w:t>
      </w:r>
      <w:bookmarkEnd w:id="8"/>
    </w:p>
    <w:p w:rsidR="000607A2" w:rsidRPr="009C6576" w:rsidRDefault="000607A2" w:rsidP="00AA5326">
      <w:pPr>
        <w:pStyle w:val="NormalBold24a"/>
        <w:widowControl/>
        <w:jc w:val="center"/>
      </w:pPr>
      <w:r w:rsidRPr="009C6576">
        <w:t xml:space="preserve">työttömiksi jääneitä työntekijöitä tukevan Euroopan globalisaatiorahaston varojen käyttöönotosta Belgian hakemuksen johdosta – EGF/2024/002 BE/Limburg </w:t>
      </w:r>
      <w:proofErr w:type="spellStart"/>
      <w:r w:rsidRPr="009C6576">
        <w:t>machinery</w:t>
      </w:r>
      <w:proofErr w:type="spellEnd"/>
      <w:r w:rsidRPr="009C6576">
        <w:t xml:space="preserve"> and </w:t>
      </w:r>
      <w:proofErr w:type="spellStart"/>
      <w:r w:rsidRPr="009C6576">
        <w:t>paper</w:t>
      </w:r>
      <w:proofErr w:type="spellEnd"/>
    </w:p>
    <w:p w:rsidR="00AA5326" w:rsidRPr="009C6576" w:rsidRDefault="00AA5326" w:rsidP="00AA5326">
      <w:pPr>
        <w:jc w:val="both"/>
      </w:pPr>
      <w:r w:rsidRPr="009C6576">
        <w:rPr>
          <w:i/>
          <w:szCs w:val="24"/>
        </w:rPr>
        <w:t>(Tätä liitettä ei esitetä tässä, koska se vastaa lopullista säädöstä, päätöstä (EU) 20</w:t>
      </w:r>
      <w:r w:rsidRPr="009C6576">
        <w:rPr>
          <w:i/>
          <w:szCs w:val="24"/>
        </w:rPr>
        <w:t>25</w:t>
      </w:r>
      <w:r w:rsidRPr="009C6576">
        <w:rPr>
          <w:i/>
          <w:szCs w:val="24"/>
        </w:rPr>
        <w:t>/</w:t>
      </w:r>
      <w:r w:rsidRPr="009C6576">
        <w:rPr>
          <w:i/>
          <w:szCs w:val="24"/>
        </w:rPr>
        <w:t>47</w:t>
      </w:r>
      <w:r w:rsidRPr="009C6576">
        <w:rPr>
          <w:i/>
          <w:szCs w:val="24"/>
        </w:rPr>
        <w:t>.)</w:t>
      </w:r>
    </w:p>
    <w:sectPr w:rsidR="00AA5326" w:rsidRPr="009C6576" w:rsidSect="0076799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940" w:rsidRPr="0076799D" w:rsidRDefault="00686940">
      <w:r w:rsidRPr="0076799D">
        <w:separator/>
      </w:r>
    </w:p>
  </w:endnote>
  <w:endnote w:type="continuationSeparator" w:id="0">
    <w:p w:rsidR="00686940" w:rsidRPr="0076799D" w:rsidRDefault="00686940">
      <w:r w:rsidRPr="007679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940" w:rsidRPr="0076799D" w:rsidRDefault="00686940">
      <w:r w:rsidRPr="0076799D">
        <w:separator/>
      </w:r>
    </w:p>
  </w:footnote>
  <w:footnote w:type="continuationSeparator" w:id="0">
    <w:p w:rsidR="00686940" w:rsidRPr="0076799D" w:rsidRDefault="00686940">
      <w:r w:rsidRPr="0076799D">
        <w:continuationSeparator/>
      </w:r>
    </w:p>
  </w:footnote>
  <w:footnote w:id="1">
    <w:p w:rsidR="000607A2" w:rsidRPr="003A4C19" w:rsidRDefault="000607A2" w:rsidP="0076799D">
      <w:pPr>
        <w:pStyle w:val="FootnoteText"/>
        <w:ind w:left="567" w:hanging="567"/>
        <w:rPr>
          <w:sz w:val="24"/>
          <w:lang w:val="fi-FI"/>
        </w:rPr>
      </w:pPr>
      <w:r w:rsidRPr="0076799D">
        <w:rPr>
          <w:rStyle w:val="FootnoteReference"/>
          <w:sz w:val="24"/>
          <w:lang w:val="fi-FI"/>
        </w:rPr>
        <w:footnoteRef/>
      </w:r>
      <w:r w:rsidR="0076799D" w:rsidRPr="003A4C19">
        <w:rPr>
          <w:sz w:val="24"/>
          <w:lang w:val="fi-FI"/>
        </w:rPr>
        <w:t xml:space="preserve"> </w:t>
      </w:r>
      <w:r w:rsidR="0076799D" w:rsidRPr="003A4C19">
        <w:rPr>
          <w:sz w:val="24"/>
          <w:lang w:val="fi-FI"/>
        </w:rPr>
        <w:tab/>
      </w:r>
      <w:r w:rsidRPr="003A4C19">
        <w:rPr>
          <w:sz w:val="24"/>
          <w:lang w:val="fi-FI"/>
        </w:rPr>
        <w:t xml:space="preserve">EUVL L 153, 3.5.2021, s. 48, </w:t>
      </w:r>
      <w:r w:rsidR="00F57E44" w:rsidRPr="003A4C19">
        <w:rPr>
          <w:sz w:val="24"/>
          <w:lang w:val="fi-FI"/>
        </w:rPr>
        <w:t xml:space="preserve">ELI: </w:t>
      </w:r>
      <w:hyperlink r:id="rId1" w:history="1">
        <w:r w:rsidR="00F57E44" w:rsidRPr="003A4C19">
          <w:rPr>
            <w:rStyle w:val="Hyperlink"/>
            <w:sz w:val="24"/>
            <w:lang w:val="fi-FI"/>
          </w:rPr>
          <w:t>http://data.europa.eu/eli/reg/2021/691/oj</w:t>
        </w:r>
      </w:hyperlink>
      <w:r w:rsidR="00F57E44" w:rsidRPr="003A4C19">
        <w:rPr>
          <w:sz w:val="24"/>
          <w:lang w:val="fi-FI"/>
        </w:rPr>
        <w:t xml:space="preserve"> </w:t>
      </w:r>
      <w:r w:rsidRPr="003A4C19">
        <w:rPr>
          <w:sz w:val="24"/>
          <w:lang w:val="fi-FI"/>
        </w:rPr>
        <w:t>.</w:t>
      </w:r>
    </w:p>
  </w:footnote>
  <w:footnote w:id="2">
    <w:p w:rsidR="000607A2" w:rsidRPr="0076799D" w:rsidRDefault="000607A2" w:rsidP="0076799D">
      <w:pPr>
        <w:pStyle w:val="FootnoteText"/>
        <w:ind w:left="567" w:hanging="567"/>
        <w:rPr>
          <w:sz w:val="24"/>
          <w:lang w:val="fi-FI"/>
        </w:rPr>
      </w:pPr>
      <w:r w:rsidRPr="0076799D">
        <w:rPr>
          <w:rStyle w:val="FootnoteReference"/>
          <w:sz w:val="24"/>
          <w:lang w:val="fi-FI"/>
        </w:rPr>
        <w:footnoteRef/>
      </w:r>
      <w:r w:rsidR="0076799D" w:rsidRPr="0076799D">
        <w:rPr>
          <w:sz w:val="24"/>
          <w:lang w:val="fi-FI"/>
        </w:rPr>
        <w:t xml:space="preserve"> </w:t>
      </w:r>
      <w:r w:rsidR="0076799D" w:rsidRPr="0076799D">
        <w:rPr>
          <w:sz w:val="24"/>
          <w:lang w:val="fi-FI"/>
        </w:rPr>
        <w:tab/>
      </w:r>
      <w:r w:rsidRPr="0076799D">
        <w:rPr>
          <w:sz w:val="24"/>
          <w:lang w:val="fi-FI"/>
        </w:rPr>
        <w:t>EUVL L 433 I, 22.12.2020, s. 11, ELI: http://data.europa.eu/eli/reg/2020/2093/oj.</w:t>
      </w:r>
    </w:p>
  </w:footnote>
  <w:footnote w:id="3">
    <w:p w:rsidR="000607A2" w:rsidRPr="0076799D" w:rsidRDefault="000607A2" w:rsidP="0076799D">
      <w:pPr>
        <w:pStyle w:val="FootnoteText"/>
        <w:ind w:left="567" w:hanging="567"/>
        <w:rPr>
          <w:sz w:val="24"/>
          <w:lang w:val="fi-FI"/>
        </w:rPr>
      </w:pPr>
      <w:r w:rsidRPr="0076799D">
        <w:rPr>
          <w:rStyle w:val="FootnoteReference"/>
          <w:sz w:val="24"/>
          <w:lang w:val="fi-FI"/>
        </w:rPr>
        <w:footnoteRef/>
      </w:r>
      <w:r w:rsidR="0076799D" w:rsidRPr="0076799D">
        <w:rPr>
          <w:sz w:val="24"/>
          <w:lang w:val="fi-FI"/>
        </w:rPr>
        <w:t xml:space="preserve"> </w:t>
      </w:r>
      <w:r w:rsidR="0076799D" w:rsidRPr="0076799D">
        <w:rPr>
          <w:sz w:val="24"/>
          <w:lang w:val="fi-FI"/>
        </w:rPr>
        <w:tab/>
      </w:r>
      <w:r w:rsidRPr="0076799D">
        <w:rPr>
          <w:sz w:val="24"/>
          <w:lang w:val="fi-FI"/>
        </w:rPr>
        <w:t>Neuvoston asetus (EU, Euratom) 2024/765, annettu 29. helmikuuta 2024, vuosia 2021–2027 koskevan monivuotisen rahoituskehyksen vahvistamisesta annetun asetuksen (EU, Euratom) 2020/2093 muuttamisesta (EUVL L, 2024/765, 29.2.2024, ELI:</w:t>
      </w:r>
      <w:r w:rsidRPr="0076799D">
        <w:rPr>
          <w:rStyle w:val="Emphasis"/>
          <w:color w:val="333333"/>
          <w:sz w:val="24"/>
          <w:shd w:val="clear" w:color="auto" w:fill="FFFFFF"/>
          <w:lang w:val="fi-FI"/>
        </w:rPr>
        <w:t xml:space="preserve"> </w:t>
      </w:r>
      <w:r w:rsidRPr="003A4C19">
        <w:rPr>
          <w:rStyle w:val="Emphasis"/>
          <w:i w:val="0"/>
          <w:color w:val="333333"/>
          <w:sz w:val="24"/>
          <w:shd w:val="clear" w:color="auto" w:fill="FFFFFF"/>
          <w:lang w:val="fi-FI"/>
        </w:rPr>
        <w:t>http://data.europa.eu/eli/reg/2024/765/oj)</w:t>
      </w:r>
      <w:r w:rsidRPr="0076799D">
        <w:rPr>
          <w:rStyle w:val="Emphasis"/>
          <w:color w:val="333333"/>
          <w:sz w:val="24"/>
          <w:shd w:val="clear" w:color="auto" w:fill="FFFFFF"/>
          <w:lang w:val="fi-FI"/>
        </w:rPr>
        <w:t>.</w:t>
      </w:r>
    </w:p>
  </w:footnote>
  <w:footnote w:id="4">
    <w:p w:rsidR="000607A2" w:rsidRPr="0076799D" w:rsidRDefault="000607A2" w:rsidP="0076799D">
      <w:pPr>
        <w:pStyle w:val="FootnoteText"/>
        <w:ind w:left="567" w:hanging="567"/>
        <w:rPr>
          <w:sz w:val="24"/>
          <w:lang w:val="fi-FI"/>
        </w:rPr>
      </w:pPr>
      <w:r w:rsidRPr="0076799D">
        <w:rPr>
          <w:rStyle w:val="FootnoteReference"/>
          <w:sz w:val="24"/>
          <w:lang w:val="fi-FI"/>
        </w:rPr>
        <w:footnoteRef/>
      </w:r>
      <w:r w:rsidR="0076799D" w:rsidRPr="0076799D">
        <w:rPr>
          <w:sz w:val="24"/>
          <w:lang w:val="fi-FI"/>
        </w:rPr>
        <w:t xml:space="preserve"> </w:t>
      </w:r>
      <w:r w:rsidR="0076799D" w:rsidRPr="0076799D">
        <w:rPr>
          <w:sz w:val="24"/>
          <w:lang w:val="fi-FI"/>
        </w:rPr>
        <w:tab/>
      </w:r>
      <w:r w:rsidRPr="0076799D">
        <w:rPr>
          <w:sz w:val="24"/>
          <w:lang w:val="fi-FI"/>
        </w:rPr>
        <w:t>EUVL L 433 I, 22.12.2020, s. 28, ELI: http://data.europa.eu/eli/agree_interinstit/2020/1222/oj.</w:t>
      </w:r>
    </w:p>
  </w:footnote>
  <w:footnote w:id="5">
    <w:p w:rsidR="000607A2" w:rsidRPr="0076799D" w:rsidRDefault="000607A2" w:rsidP="0076799D">
      <w:pPr>
        <w:pStyle w:val="FootnoteText"/>
        <w:ind w:left="567" w:hanging="567"/>
        <w:rPr>
          <w:sz w:val="24"/>
          <w:lang w:val="fi-FI"/>
        </w:rPr>
      </w:pPr>
      <w:r w:rsidRPr="0076799D">
        <w:rPr>
          <w:rStyle w:val="FootnoteReference"/>
          <w:sz w:val="24"/>
          <w:lang w:val="fi-FI"/>
        </w:rPr>
        <w:footnoteRef/>
      </w:r>
      <w:r w:rsidR="0076799D" w:rsidRPr="0076799D">
        <w:rPr>
          <w:sz w:val="24"/>
          <w:lang w:val="fi-FI"/>
        </w:rPr>
        <w:t xml:space="preserve"> </w:t>
      </w:r>
      <w:r w:rsidR="0076799D" w:rsidRPr="0076799D">
        <w:rPr>
          <w:sz w:val="24"/>
          <w:lang w:val="fi-FI"/>
        </w:rPr>
        <w:tab/>
      </w:r>
      <w:r w:rsidRPr="0076799D">
        <w:rPr>
          <w:sz w:val="24"/>
          <w:lang w:val="fi-FI"/>
        </w:rPr>
        <w:t>EGR-asetuksen 3 artiklan mukaisessa merkityksessä.</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FI"/>
    <w:docVar w:name="dvnumam" w:val="0"/>
    <w:docVar w:name="dvpe" w:val="765.241"/>
    <w:docVar w:name="dvrapporteur" w:val="Esittelijä: "/>
    <w:docVar w:name="dvtitre" w:val="Euroopan parlamentin päätös xx. joulukuuta 2024 ehdotuksesta Euroopan parlamentin ja neuvoston päätökseksi työttömiksi jääneitä työntekijöitä tukevan Euroopan globalisaatiorahaston varojen käyttöönotosta Belgian hakemuksen johdosta – EGF/2024/002 BE/Limburg machinery and paper(COM(2024)0370 – C10-0166/2024 – 2024/0286(BUD))"/>
  </w:docVars>
  <w:rsids>
    <w:rsidRoot w:val="00686940"/>
    <w:rsid w:val="00002272"/>
    <w:rsid w:val="000607A2"/>
    <w:rsid w:val="00064002"/>
    <w:rsid w:val="000677B9"/>
    <w:rsid w:val="000831BA"/>
    <w:rsid w:val="000A37B4"/>
    <w:rsid w:val="000A42CC"/>
    <w:rsid w:val="000E7DD9"/>
    <w:rsid w:val="0010095E"/>
    <w:rsid w:val="00125B37"/>
    <w:rsid w:val="00187494"/>
    <w:rsid w:val="001F32AE"/>
    <w:rsid w:val="002767FF"/>
    <w:rsid w:val="002B18FE"/>
    <w:rsid w:val="002B5493"/>
    <w:rsid w:val="002D6EC3"/>
    <w:rsid w:val="00343214"/>
    <w:rsid w:val="00361C00"/>
    <w:rsid w:val="00395FA1"/>
    <w:rsid w:val="003A4C19"/>
    <w:rsid w:val="003E114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C24"/>
    <w:rsid w:val="006631B6"/>
    <w:rsid w:val="00680577"/>
    <w:rsid w:val="00686940"/>
    <w:rsid w:val="006F74FA"/>
    <w:rsid w:val="00731ADD"/>
    <w:rsid w:val="00734777"/>
    <w:rsid w:val="00747932"/>
    <w:rsid w:val="00751A4A"/>
    <w:rsid w:val="00756632"/>
    <w:rsid w:val="00762C74"/>
    <w:rsid w:val="0076799D"/>
    <w:rsid w:val="00772A6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576"/>
    <w:rsid w:val="00A1687D"/>
    <w:rsid w:val="00A43E52"/>
    <w:rsid w:val="00A4678D"/>
    <w:rsid w:val="00A778C7"/>
    <w:rsid w:val="00AA532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7E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C29D6"/>
  <w15:chartTrackingRefBased/>
  <w15:docId w15:val="{64C88F11-6936-4CE1-8D37-2B75E1088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EC3"/>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0607A2"/>
    <w:pPr>
      <w:keepNext/>
      <w:spacing w:after="480"/>
      <w:jc w:val="center"/>
    </w:pPr>
    <w:rPr>
      <w:rFonts w:ascii="Arial" w:hAnsi="Arial" w:cs="Arial"/>
      <w:b/>
    </w:rPr>
  </w:style>
  <w:style w:type="paragraph" w:customStyle="1" w:styleId="NormalHanging12a">
    <w:name w:val="NormalHanging12a"/>
    <w:basedOn w:val="Normal"/>
    <w:link w:val="NormalHanging12aChar"/>
    <w:rsid w:val="000607A2"/>
    <w:pPr>
      <w:spacing w:after="240"/>
      <w:ind w:left="567" w:hanging="567"/>
    </w:pPr>
  </w:style>
  <w:style w:type="paragraph" w:customStyle="1" w:styleId="NormalBold24a">
    <w:name w:val="NormalBold24a"/>
    <w:basedOn w:val="Normal"/>
    <w:rsid w:val="000607A2"/>
    <w:pPr>
      <w:spacing w:after="480"/>
    </w:pPr>
    <w:rPr>
      <w:b/>
      <w:bCs/>
    </w:rPr>
  </w:style>
  <w:style w:type="paragraph" w:customStyle="1" w:styleId="EPComma">
    <w:name w:val="EPComma"/>
    <w:basedOn w:val="Normal"/>
    <w:rsid w:val="000607A2"/>
    <w:pPr>
      <w:spacing w:before="480" w:after="240"/>
    </w:pPr>
  </w:style>
  <w:style w:type="character" w:customStyle="1" w:styleId="NormalHanging12aChar">
    <w:name w:val="NormalHanging12a Char"/>
    <w:basedOn w:val="DefaultParagraphFont"/>
    <w:link w:val="NormalHanging12a"/>
    <w:locked/>
    <w:rsid w:val="000607A2"/>
    <w:rPr>
      <w:sz w:val="24"/>
      <w:lang w:val="fi-FI"/>
    </w:rPr>
  </w:style>
  <w:style w:type="character" w:styleId="Emphasis">
    <w:name w:val="Emphasis"/>
    <w:basedOn w:val="DefaultParagraphFont"/>
    <w:uiPriority w:val="20"/>
    <w:qFormat/>
    <w:rsid w:val="000607A2"/>
    <w:rPr>
      <w:i/>
      <w:iCs/>
    </w:rPr>
  </w:style>
  <w:style w:type="paragraph" w:customStyle="1" w:styleId="Institutionquisigne">
    <w:name w:val="Institution qui signe"/>
    <w:basedOn w:val="Normal"/>
    <w:next w:val="Normal"/>
    <w:rsid w:val="000607A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607A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607A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607A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607A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607A2"/>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0607A2"/>
    <w:rPr>
      <w:rFonts w:ascii="Arial" w:hAnsi="Arial" w:cs="Arial"/>
      <w:b/>
      <w:sz w:val="24"/>
      <w:lang w:val="fi-FI"/>
    </w:rPr>
  </w:style>
  <w:style w:type="paragraph" w:styleId="Footer">
    <w:name w:val="footer"/>
    <w:basedOn w:val="Normal"/>
    <w:link w:val="FooterChar"/>
    <w:rsid w:val="002D6EC3"/>
    <w:pPr>
      <w:tabs>
        <w:tab w:val="center" w:pos="4513"/>
        <w:tab w:val="right" w:pos="9026"/>
      </w:tabs>
    </w:pPr>
  </w:style>
  <w:style w:type="character" w:customStyle="1" w:styleId="FooterChar">
    <w:name w:val="Footer Char"/>
    <w:basedOn w:val="DefaultParagraphFont"/>
    <w:link w:val="Footer"/>
    <w:rsid w:val="002D6EC3"/>
    <w:rPr>
      <w:sz w:val="24"/>
      <w:lang w:val="fi-FI"/>
    </w:rPr>
  </w:style>
  <w:style w:type="character" w:styleId="Hyperlink">
    <w:name w:val="Hyperlink"/>
    <w:basedOn w:val="DefaultParagraphFont"/>
    <w:rsid w:val="00F57E44"/>
    <w:rPr>
      <w:color w:val="0563C1" w:themeColor="hyperlink"/>
      <w:u w:val="single"/>
    </w:rPr>
  </w:style>
  <w:style w:type="character" w:styleId="FollowedHyperlink">
    <w:name w:val="FollowedHyperlink"/>
    <w:basedOn w:val="DefaultParagraphFont"/>
    <w:rsid w:val="00F57E44"/>
    <w:rPr>
      <w:color w:val="954F72" w:themeColor="followedHyperlink"/>
      <w:u w:val="single"/>
    </w:rPr>
  </w:style>
  <w:style w:type="paragraph" w:styleId="BalloonText">
    <w:name w:val="Balloon Text"/>
    <w:basedOn w:val="Normal"/>
    <w:link w:val="BalloonTextChar"/>
    <w:rsid w:val="000A37B4"/>
    <w:rPr>
      <w:rFonts w:ascii="Segoe UI" w:hAnsi="Segoe UI" w:cs="Segoe UI"/>
      <w:sz w:val="18"/>
      <w:szCs w:val="18"/>
    </w:rPr>
  </w:style>
  <w:style w:type="character" w:customStyle="1" w:styleId="BalloonTextChar">
    <w:name w:val="Balloon Text Char"/>
    <w:basedOn w:val="DefaultParagraphFont"/>
    <w:link w:val="BalloonText"/>
    <w:rsid w:val="000A37B4"/>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E07FB-4B42-44F6-BEA8-E2FF43234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10668</Characters>
  <Application>Microsoft Office Word</Application>
  <DocSecurity>0</DocSecurity>
  <Lines>88</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2025-02-04T16:13:00Z</dcterms:created>
  <dcterms:modified xsi:type="dcterms:W3CDTF">2025-02-04T16:13:00Z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P10_TA(2024)0062_</vt:lpwstr>
  </property>
  <property fmtid="{D5CDD505-2E9C-101B-9397-08002B2CF9AE}" pid="4" name="&lt;Type&gt;">
    <vt:lpwstr>RR</vt:lpwstr>
  </property>
</Properties>
</file>