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55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5584" w:rsidRDefault="000B459C" w:rsidP="0010095E">
            <w:pPr>
              <w:pStyle w:val="EPName"/>
            </w:pPr>
            <w:r w:rsidRPr="00D65584">
              <w:t>Europski parlament</w:t>
            </w:r>
          </w:p>
          <w:p w:rsidR="00751A4A" w:rsidRPr="00D655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5584">
              <w:t>2024</w:t>
            </w:r>
            <w:r w:rsidR="00817416" w:rsidRPr="00D65584">
              <w:t>-202</w:t>
            </w:r>
            <w:r w:rsidRPr="00D6558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5584" w:rsidRDefault="00187494" w:rsidP="0010095E">
            <w:pPr>
              <w:pStyle w:val="EPLogo"/>
            </w:pPr>
            <w:r w:rsidRPr="00D65584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5584" w:rsidRDefault="00D058B8" w:rsidP="004C5D52">
      <w:pPr>
        <w:pStyle w:val="LineTop"/>
      </w:pPr>
    </w:p>
    <w:p w:rsidR="00680577" w:rsidRPr="00D65584" w:rsidRDefault="000B459C" w:rsidP="00680577">
      <w:pPr>
        <w:pStyle w:val="EPBodyTA1"/>
      </w:pPr>
      <w:r w:rsidRPr="00D65584">
        <w:t>USVOJENI TEKSTOVI</w:t>
      </w:r>
    </w:p>
    <w:p w:rsidR="00D058B8" w:rsidRPr="00D65584" w:rsidRDefault="00D058B8" w:rsidP="00D058B8">
      <w:pPr>
        <w:pStyle w:val="LineBottom"/>
      </w:pPr>
    </w:p>
    <w:p w:rsidR="000B459C" w:rsidRPr="00D65584" w:rsidRDefault="000B459C" w:rsidP="000B459C">
      <w:pPr>
        <w:pStyle w:val="ATHeading1"/>
      </w:pPr>
      <w:bookmarkStart w:id="0" w:name="TANumber"/>
      <w:r w:rsidRPr="00D65584">
        <w:t>P10_TA(2024)00</w:t>
      </w:r>
      <w:r w:rsidR="00792B19" w:rsidRPr="00D65584">
        <w:t>62</w:t>
      </w:r>
      <w:bookmarkEnd w:id="0"/>
    </w:p>
    <w:p w:rsidR="000B459C" w:rsidRPr="00D65584" w:rsidRDefault="000B459C" w:rsidP="000B459C">
      <w:pPr>
        <w:pStyle w:val="ATHeading2"/>
      </w:pPr>
      <w:bookmarkStart w:id="1" w:name="title"/>
      <w:r w:rsidRPr="00D65584">
        <w:t xml:space="preserve">Mobilizacija Europskog fonda za prilagodbu globalizaciji: zahtjev EGF/2024/002 BE/Strojevi i papir </w:t>
      </w:r>
      <w:proofErr w:type="spellStart"/>
      <w:r w:rsidRPr="00D65584">
        <w:t>Limbourg</w:t>
      </w:r>
      <w:proofErr w:type="spellEnd"/>
      <w:r w:rsidRPr="00D65584">
        <w:t xml:space="preserve"> – Belgija</w:t>
      </w:r>
      <w:bookmarkEnd w:id="1"/>
    </w:p>
    <w:p w:rsidR="000B459C" w:rsidRPr="00D65584" w:rsidRDefault="000B459C" w:rsidP="000B459C">
      <w:pPr>
        <w:rPr>
          <w:i/>
          <w:vanish/>
        </w:rPr>
      </w:pPr>
      <w:r w:rsidRPr="00D65584">
        <w:rPr>
          <w:i/>
        </w:rPr>
        <w:fldChar w:fldCharType="begin"/>
      </w:r>
      <w:r w:rsidRPr="00D65584">
        <w:rPr>
          <w:i/>
        </w:rPr>
        <w:instrText xml:space="preserve"> TC"(</w:instrText>
      </w:r>
      <w:bookmarkStart w:id="2" w:name="DocNumber"/>
      <w:r w:rsidRPr="00D65584">
        <w:rPr>
          <w:i/>
        </w:rPr>
        <w:instrText>A10-0019/2024</w:instrText>
      </w:r>
      <w:bookmarkEnd w:id="2"/>
      <w:r w:rsidRPr="00D65584">
        <w:rPr>
          <w:i/>
        </w:rPr>
        <w:instrText xml:space="preserve"> - Izvjestitelj: Matjaž Nemec)"\l3 \n&gt; \* MERGEFORMAT </w:instrText>
      </w:r>
      <w:r w:rsidRPr="00D65584">
        <w:rPr>
          <w:i/>
        </w:rPr>
        <w:fldChar w:fldCharType="end"/>
      </w:r>
    </w:p>
    <w:p w:rsidR="000B459C" w:rsidRPr="00D65584" w:rsidRDefault="000B459C" w:rsidP="000B459C">
      <w:pPr>
        <w:rPr>
          <w:vanish/>
        </w:rPr>
      </w:pPr>
      <w:bookmarkStart w:id="3" w:name="Commission"/>
      <w:r w:rsidRPr="00D65584">
        <w:rPr>
          <w:vanish/>
        </w:rPr>
        <w:t>Odbor za proračune</w:t>
      </w:r>
      <w:bookmarkEnd w:id="3"/>
    </w:p>
    <w:p w:rsidR="000B459C" w:rsidRPr="00D65584" w:rsidRDefault="000B459C" w:rsidP="000B459C">
      <w:pPr>
        <w:rPr>
          <w:vanish/>
        </w:rPr>
      </w:pPr>
      <w:bookmarkStart w:id="4" w:name="PE"/>
      <w:r w:rsidRPr="00D65584">
        <w:rPr>
          <w:vanish/>
        </w:rPr>
        <w:t>PE765.241</w:t>
      </w:r>
      <w:bookmarkEnd w:id="4"/>
    </w:p>
    <w:p w:rsidR="000B459C" w:rsidRPr="00D65584" w:rsidRDefault="000B459C" w:rsidP="000B459C">
      <w:pPr>
        <w:pStyle w:val="ATHeading3"/>
      </w:pPr>
      <w:bookmarkStart w:id="5" w:name="Sujet"/>
      <w:r w:rsidRPr="00D65584">
        <w:t>Rezoluc</w:t>
      </w:r>
      <w:r w:rsidR="007E56CB" w:rsidRPr="00D65584">
        <w:t>ija Europskog parlamenta od 17. prosinca</w:t>
      </w:r>
      <w:r w:rsidRPr="00D65584">
        <w:t xml:space="preserve"> 2024. o Prijedlogu odluke Europskog parlamenta i Vijeća o mobilizaciji Europskog fonda za prilagodbu globalizaciji za radnike koji su proglašeni viškom na temelju zahtjeva Belgije – EGF/2024/002 BE/Strojevi i papir </w:t>
      </w:r>
      <w:proofErr w:type="spellStart"/>
      <w:r w:rsidRPr="00D65584">
        <w:t>Limbourg</w:t>
      </w:r>
      <w:bookmarkEnd w:id="5"/>
      <w:proofErr w:type="spellEnd"/>
      <w:r w:rsidRPr="00D65584">
        <w:t xml:space="preserve"> </w:t>
      </w:r>
      <w:bookmarkStart w:id="6" w:name="References"/>
      <w:r w:rsidRPr="00D65584">
        <w:t>(COM(2024)0370 – C10-0166/2024 – 2024/0286(BUD))</w:t>
      </w:r>
      <w:bookmarkEnd w:id="6"/>
    </w:p>
    <w:p w:rsidR="00B721DB" w:rsidRPr="00D65584" w:rsidRDefault="00B721DB" w:rsidP="00B721DB">
      <w:pPr>
        <w:pStyle w:val="EPComma"/>
        <w:rPr>
          <w:noProof/>
        </w:rPr>
      </w:pPr>
      <w:r w:rsidRPr="00D65584">
        <w:rPr>
          <w:i/>
        </w:rPr>
        <w:t>Europski parlament</w:t>
      </w:r>
      <w:r w:rsidRPr="00D65584">
        <w:t>,</w:t>
      </w:r>
    </w:p>
    <w:p w:rsidR="00B721DB" w:rsidRPr="00D65584" w:rsidRDefault="00B721DB" w:rsidP="007E56CB">
      <w:pPr>
        <w:pStyle w:val="NormalHanging12a"/>
        <w:rPr>
          <w:noProof/>
        </w:rPr>
      </w:pPr>
      <w:r w:rsidRPr="00D65584">
        <w:t>–</w:t>
      </w:r>
      <w:r w:rsidRPr="00D65584">
        <w:tab/>
        <w:t>uzimajući u obzir prijedlog Komisije upućen Europskom parlamentu i Vijeću (COM(2024)0370 – C10</w:t>
      </w:r>
      <w:r w:rsidRPr="00D65584">
        <w:noBreakHyphen/>
        <w:t>0166/2024),</w:t>
      </w:r>
    </w:p>
    <w:p w:rsidR="00B721DB" w:rsidRPr="00D65584" w:rsidRDefault="00B721DB" w:rsidP="007E56CB">
      <w:pPr>
        <w:pStyle w:val="NormalHanging12a"/>
      </w:pPr>
      <w:r w:rsidRPr="00D65584">
        <w:t>–</w:t>
      </w:r>
      <w:r w:rsidRPr="00D65584">
        <w:tab/>
        <w:t>uzimajući u obzir Uredbu (EU) 2021/691 Europskog parlamenta i Vijeća od 28. travnja 2021. o Europskom fondu za prilagodbu globalizaciji za radnike koji su proglašeni viškom (EGF) i stavljanju izvan snage Uredbe (EU) br. 1309/2013</w:t>
      </w:r>
      <w:r w:rsidRPr="00D65584">
        <w:rPr>
          <w:rStyle w:val="FootnoteReference"/>
          <w:noProof/>
        </w:rPr>
        <w:footnoteReference w:id="1"/>
      </w:r>
      <w:r w:rsidRPr="00D65584">
        <w:t xml:space="preserve"> („Uredba o EGF-u”),</w:t>
      </w:r>
    </w:p>
    <w:p w:rsidR="00B721DB" w:rsidRPr="00D65584" w:rsidRDefault="00B721DB" w:rsidP="007E56CB">
      <w:pPr>
        <w:pStyle w:val="NormalHanging12a"/>
        <w:rPr>
          <w:noProof/>
        </w:rPr>
      </w:pPr>
      <w:r w:rsidRPr="00D65584">
        <w:t>–</w:t>
      </w:r>
      <w:r w:rsidRPr="00D65584">
        <w:tab/>
        <w:t>uzimajući u obzir Uredbu Vijeća (EU, Euratom) 2020/2093 od 17. prosinca 2020. kojom se utvrđuje višegodišnji financijski okvir za razdoblje 2021. – 2027.</w:t>
      </w:r>
      <w:r w:rsidRPr="00D65584">
        <w:rPr>
          <w:rStyle w:val="FootnoteReference"/>
          <w:noProof/>
        </w:rPr>
        <w:footnoteReference w:id="2"/>
      </w:r>
      <w:r w:rsidRPr="00D65584">
        <w:t>, kako je izmijenjena Uredbom</w:t>
      </w:r>
      <w:r w:rsidR="0060260F" w:rsidRPr="00D65584">
        <w:t xml:space="preserve"> Vijeća</w:t>
      </w:r>
      <w:r w:rsidRPr="00D65584">
        <w:t xml:space="preserve"> (EU, Euratom) 2024/765</w:t>
      </w:r>
      <w:r w:rsidRPr="00D65584">
        <w:rPr>
          <w:rStyle w:val="FootnoteReference"/>
          <w:bdr w:val="none" w:sz="0" w:space="0" w:color="auto" w:frame="1"/>
        </w:rPr>
        <w:footnoteReference w:id="3"/>
      </w:r>
      <w:r w:rsidRPr="00D65584">
        <w:t>, a posebno njezin članak 8.,</w:t>
      </w:r>
    </w:p>
    <w:p w:rsidR="00B721DB" w:rsidRPr="00D65584" w:rsidRDefault="00B721DB" w:rsidP="007E56CB">
      <w:pPr>
        <w:pStyle w:val="NormalHanging12a"/>
      </w:pPr>
      <w:r w:rsidRPr="00D65584">
        <w:t>–</w:t>
      </w:r>
      <w:r w:rsidRPr="00D65584">
        <w:tab/>
        <w:t xml:space="preserve">uzimajući u obzir </w:t>
      </w:r>
      <w:proofErr w:type="spellStart"/>
      <w:r w:rsidRPr="00D65584">
        <w:t>Međuinstitucijski</w:t>
      </w:r>
      <w:proofErr w:type="spellEnd"/>
      <w:r w:rsidRPr="00D65584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D65584">
        <w:rPr>
          <w:rStyle w:val="FootnoteReference"/>
          <w:noProof/>
        </w:rPr>
        <w:footnoteReference w:id="4"/>
      </w:r>
      <w:r w:rsidRPr="00D65584">
        <w:t>, a posebno njegovu točku 9.,</w:t>
      </w:r>
    </w:p>
    <w:p w:rsidR="00B721DB" w:rsidRPr="00D65584" w:rsidRDefault="00B721DB" w:rsidP="007E56CB">
      <w:pPr>
        <w:pStyle w:val="NormalHanging12a"/>
        <w:rPr>
          <w:noProof/>
        </w:rPr>
      </w:pPr>
      <w:r w:rsidRPr="00D65584">
        <w:lastRenderedPageBreak/>
        <w:t>–</w:t>
      </w:r>
      <w:r w:rsidRPr="00D65584">
        <w:tab/>
        <w:t>uzimajući u obzir načela europskog stupa socijalnih prava i ciljeve utvrđene u akcijskom planu za provedbu europskog stupa socijalnih prava,</w:t>
      </w:r>
    </w:p>
    <w:p w:rsidR="00B721DB" w:rsidRPr="00D65584" w:rsidRDefault="00B721DB" w:rsidP="00B721DB">
      <w:pPr>
        <w:pStyle w:val="NormalHanging12a"/>
        <w:jc w:val="both"/>
      </w:pPr>
      <w:r w:rsidRPr="00D65584">
        <w:t>–</w:t>
      </w:r>
      <w:r w:rsidRPr="00D65584">
        <w:tab/>
        <w:t>uzimajući u obzir pismo Odbora za zapošljavanje i socijalna pitanja,</w:t>
      </w:r>
    </w:p>
    <w:p w:rsidR="00B721DB" w:rsidRPr="00D65584" w:rsidRDefault="00B721DB" w:rsidP="00B721DB">
      <w:pPr>
        <w:pStyle w:val="NormalHanging12a"/>
      </w:pPr>
      <w:r w:rsidRPr="00D65584">
        <w:t>–</w:t>
      </w:r>
      <w:r w:rsidRPr="00D65584">
        <w:tab/>
        <w:t>uzimajući u obzir izvješće Odbora za proračune (A10</w:t>
      </w:r>
      <w:r w:rsidRPr="00D65584">
        <w:noBreakHyphen/>
        <w:t>0019/2024),</w:t>
      </w:r>
    </w:p>
    <w:p w:rsidR="00B721DB" w:rsidRPr="00D65584" w:rsidRDefault="00B721DB" w:rsidP="007E56CB">
      <w:pPr>
        <w:pStyle w:val="NormalHanging12a"/>
      </w:pPr>
      <w:r w:rsidRPr="00D65584">
        <w:t>A.</w:t>
      </w:r>
      <w:r w:rsidRPr="00D65584">
        <w:tab/>
        <w:t>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rada; budući da se ta pomoć ostvaruje u obliku financijske potpore radnicima i poduzećima za koja su radili;</w:t>
      </w:r>
    </w:p>
    <w:p w:rsidR="00B721DB" w:rsidRPr="00D65584" w:rsidRDefault="00B721DB" w:rsidP="007E56CB">
      <w:pPr>
        <w:pStyle w:val="NormalHanging12a"/>
      </w:pPr>
      <w:r w:rsidRPr="00D65584">
        <w:t>B.</w:t>
      </w:r>
      <w:r w:rsidRPr="00D65584">
        <w:tab/>
        <w:t xml:space="preserve">budući da je Belgija podnijela zahtjev EGF/2024/002 BE/Strojevi i papir </w:t>
      </w:r>
      <w:proofErr w:type="spellStart"/>
      <w:r w:rsidRPr="00D65584">
        <w:t>Limburg</w:t>
      </w:r>
      <w:proofErr w:type="spellEnd"/>
      <w:r w:rsidRPr="00D65584">
        <w:t xml:space="preserve"> za financijski doprinos iz Europskog fonda za prilagodbu globalizaciji (EGF) nakon otpuštanja 681 radnika</w:t>
      </w:r>
      <w:r w:rsidRPr="00D65584">
        <w:rPr>
          <w:rStyle w:val="FootnoteReference"/>
        </w:rPr>
        <w:footnoteReference w:id="5"/>
      </w:r>
      <w:r w:rsidRPr="00D65584">
        <w:t xml:space="preserve"> u sektoru gospodarstva svrstanom u odjeljak 17. (Proizvodnja papira i proizvoda od papira) i odjeljak 28. (Proizvodnja strojeva i uređaja) NACE-a </w:t>
      </w:r>
      <w:proofErr w:type="spellStart"/>
      <w:r w:rsidRPr="00D65584">
        <w:t>Rev</w:t>
      </w:r>
      <w:proofErr w:type="spellEnd"/>
      <w:r w:rsidRPr="00D65584">
        <w:t xml:space="preserve">. 2 u pokrajini </w:t>
      </w:r>
      <w:proofErr w:type="spellStart"/>
      <w:r w:rsidRPr="00D65584">
        <w:t>Limburg</w:t>
      </w:r>
      <w:proofErr w:type="spellEnd"/>
      <w:r w:rsidRPr="00D65584">
        <w:t>, u referentnom razdoblju za podnošenje zahtjeva od 31. prosinca 2023. do 30. travnja 2024.;</w:t>
      </w:r>
    </w:p>
    <w:p w:rsidR="00B721DB" w:rsidRPr="00D65584" w:rsidRDefault="00B721DB" w:rsidP="007E56CB">
      <w:pPr>
        <w:pStyle w:val="NormalHanging12a"/>
      </w:pPr>
      <w:r w:rsidRPr="00D65584">
        <w:t>C.</w:t>
      </w:r>
      <w:r w:rsidRPr="00D65584">
        <w:tab/>
        <w:t xml:space="preserve">budući da se zahtjev odnosi na 567 radnika otpuštenih iz poduzeća </w:t>
      </w:r>
      <w:proofErr w:type="spellStart"/>
      <w:r w:rsidRPr="00D65584">
        <w:t>Sappi</w:t>
      </w:r>
      <w:proofErr w:type="spellEnd"/>
      <w:r w:rsidRPr="00D65584">
        <w:t xml:space="preserve"> </w:t>
      </w:r>
      <w:proofErr w:type="spellStart"/>
      <w:r w:rsidRPr="00D65584">
        <w:t>Lanaken</w:t>
      </w:r>
      <w:proofErr w:type="spellEnd"/>
      <w:r w:rsidRPr="00D65584">
        <w:t xml:space="preserve"> NV (papir) i 114 radnika otpuštenih iz poduzeća </w:t>
      </w:r>
      <w:proofErr w:type="spellStart"/>
      <w:r w:rsidRPr="00D65584">
        <w:t>Purmo</w:t>
      </w:r>
      <w:proofErr w:type="spellEnd"/>
      <w:r w:rsidRPr="00D65584">
        <w:t xml:space="preserve"> Group </w:t>
      </w:r>
      <w:proofErr w:type="spellStart"/>
      <w:r w:rsidRPr="00D65584">
        <w:t>Belgium</w:t>
      </w:r>
      <w:proofErr w:type="spellEnd"/>
      <w:r w:rsidRPr="00D65584">
        <w:t xml:space="preserve"> NV (strojevi); </w:t>
      </w:r>
    </w:p>
    <w:p w:rsidR="00B721DB" w:rsidRPr="00D65584" w:rsidRDefault="00B721DB" w:rsidP="007E56CB">
      <w:pPr>
        <w:pStyle w:val="NormalHanging12a"/>
      </w:pPr>
      <w:r w:rsidRPr="00D65584">
        <w:t>D.</w:t>
      </w:r>
      <w:r w:rsidRPr="00D65584">
        <w:tab/>
        <w:t>budući da se zahtjev temelji na intervencijskim kriterijima iz članka 4. stavka 2. točke (c) Uredbe o EGF-u kojima se uvjetuje da je najmanje 200 radnika proglašeno viškom u referentnom razdoblju od četiri mjeseca u poduzeć</w:t>
      </w:r>
      <w:r w:rsidR="003907DF" w:rsidRPr="00D65584">
        <w:t>ima</w:t>
      </w:r>
      <w:r w:rsidRPr="00D65584">
        <w:t xml:space="preserve"> </w:t>
      </w:r>
      <w:r w:rsidR="003907DF" w:rsidRPr="00D65584">
        <w:t xml:space="preserve">koja </w:t>
      </w:r>
      <w:r w:rsidRPr="00D65584">
        <w:t>djeluj</w:t>
      </w:r>
      <w:r w:rsidR="003907DF" w:rsidRPr="00D65584">
        <w:t>u</w:t>
      </w:r>
      <w:r w:rsidRPr="00D65584">
        <w:t xml:space="preserve"> u istim ili različitim gospodarskim sektorima i </w:t>
      </w:r>
      <w:r w:rsidR="003907DF" w:rsidRPr="00D65584">
        <w:t xml:space="preserve">koja </w:t>
      </w:r>
      <w:r w:rsidRPr="00D65584">
        <w:t xml:space="preserve">se </w:t>
      </w:r>
      <w:r w:rsidR="003907DF" w:rsidRPr="00D65584">
        <w:t xml:space="preserve">nalaze </w:t>
      </w:r>
      <w:r w:rsidRPr="00D65584">
        <w:t>u istoj regiji;</w:t>
      </w:r>
    </w:p>
    <w:p w:rsidR="00B721DB" w:rsidRPr="00D65584" w:rsidRDefault="00B721DB" w:rsidP="007E56CB">
      <w:pPr>
        <w:pStyle w:val="NormalHanging12a"/>
      </w:pPr>
      <w:r w:rsidRPr="00D65584">
        <w:t>E.</w:t>
      </w:r>
      <w:r w:rsidRPr="00D65584">
        <w:tab/>
        <w:t xml:space="preserve">budući da su </w:t>
      </w:r>
      <w:proofErr w:type="spellStart"/>
      <w:r w:rsidRPr="00D65584">
        <w:t>pandemija</w:t>
      </w:r>
      <w:proofErr w:type="spellEnd"/>
      <w:r w:rsidRPr="00D65584">
        <w:t xml:space="preserve"> bolesti COVID-19 i ratna agresija Rusije na Ukrajinu smanjile razinu gospodarske konkurentnosti i negativno utjecale na gospodarski rast u Belgiji;</w:t>
      </w:r>
    </w:p>
    <w:p w:rsidR="00B721DB" w:rsidRPr="00D65584" w:rsidRDefault="00B721DB" w:rsidP="007E56CB">
      <w:pPr>
        <w:pStyle w:val="NormalHanging12a"/>
        <w:rPr>
          <w:rFonts w:eastAsia="Calibri"/>
          <w:szCs w:val="22"/>
        </w:rPr>
      </w:pPr>
      <w:r w:rsidRPr="00D65584">
        <w:t>F.</w:t>
      </w:r>
      <w:r w:rsidRPr="00D65584">
        <w:tab/>
        <w:t xml:space="preserve">budući da je </w:t>
      </w:r>
      <w:proofErr w:type="spellStart"/>
      <w:r w:rsidRPr="00D65584">
        <w:t>Sappi</w:t>
      </w:r>
      <w:proofErr w:type="spellEnd"/>
      <w:r w:rsidRPr="00D65584">
        <w:t xml:space="preserve"> </w:t>
      </w:r>
      <w:proofErr w:type="spellStart"/>
      <w:r w:rsidRPr="00D65584">
        <w:t>Lanaken</w:t>
      </w:r>
      <w:proofErr w:type="spellEnd"/>
      <w:r w:rsidRPr="00D65584">
        <w:t xml:space="preserve"> poduzeće specijalizirano za proizvodnju premazanog bezdrvnog papira; budući da je sve manja potražnja za grafičkim proizvodima zbog povećane digitalizacije dovela do sve veće prekapacitiranosti europske industrije premazanog bezdrvnog papira; budući da se proizvodnja u </w:t>
      </w:r>
      <w:proofErr w:type="spellStart"/>
      <w:r w:rsidRPr="00D65584">
        <w:t>Sappi</w:t>
      </w:r>
      <w:proofErr w:type="spellEnd"/>
      <w:r w:rsidRPr="00D65584">
        <w:t xml:space="preserve"> </w:t>
      </w:r>
      <w:proofErr w:type="spellStart"/>
      <w:r w:rsidRPr="00D65584">
        <w:t>Lanakenu</w:t>
      </w:r>
      <w:proofErr w:type="spellEnd"/>
      <w:r w:rsidRPr="00D65584">
        <w:t xml:space="preserve"> nije mogla preusmjeriti na druge proizvode od papira za kojima postoji veća potražnja bez velikih ulaganja i da je grupa </w:t>
      </w:r>
      <w:proofErr w:type="spellStart"/>
      <w:r w:rsidRPr="00D65584">
        <w:t>Sappi</w:t>
      </w:r>
      <w:proofErr w:type="spellEnd"/>
      <w:r w:rsidRPr="00D65584">
        <w:t xml:space="preserve"> stoga odlučila prekinuti proizvodnju u </w:t>
      </w:r>
      <w:proofErr w:type="spellStart"/>
      <w:r w:rsidRPr="00D65584">
        <w:t>Lanakenu</w:t>
      </w:r>
      <w:proofErr w:type="spellEnd"/>
      <w:r w:rsidRPr="00D65584">
        <w:t xml:space="preserve"> i zatvoriti pogon jer se nije mogao pronaći odgovarajući kupac zbog strukturnog viška kapaciteta u toj industriji; </w:t>
      </w:r>
    </w:p>
    <w:p w:rsidR="00B721DB" w:rsidRPr="00D65584" w:rsidRDefault="00B721DB" w:rsidP="007E56CB">
      <w:pPr>
        <w:pStyle w:val="NormalHanging12a"/>
        <w:rPr>
          <w:noProof/>
        </w:rPr>
      </w:pPr>
      <w:r w:rsidRPr="00D65584">
        <w:t>G.</w:t>
      </w:r>
      <w:r w:rsidRPr="00D65584">
        <w:tab/>
        <w:t xml:space="preserve">budući da se obujam proizvodnje pločastih radijatora grupe </w:t>
      </w:r>
      <w:proofErr w:type="spellStart"/>
      <w:r w:rsidRPr="00D65584">
        <w:t>Purmo</w:t>
      </w:r>
      <w:proofErr w:type="spellEnd"/>
      <w:r w:rsidRPr="00D65584">
        <w:t xml:space="preserve"> u razdoblju 2018. – 2023. postojano smanjivao, s 820 000 jedinica 2018. na 320 000 jedinica 2023. (-60 %); budući da je pri usporedbi troškova proizvodnje raznih postrojenja grupe </w:t>
      </w:r>
      <w:proofErr w:type="spellStart"/>
      <w:r w:rsidRPr="00D65584">
        <w:t>Purmo</w:t>
      </w:r>
      <w:proofErr w:type="spellEnd"/>
      <w:r w:rsidRPr="00D65584">
        <w:t xml:space="preserve"> u Europi lokacija </w:t>
      </w:r>
      <w:proofErr w:type="spellStart"/>
      <w:r w:rsidRPr="00D65584">
        <w:t>Zonhoven</w:t>
      </w:r>
      <w:proofErr w:type="spellEnd"/>
      <w:r w:rsidRPr="00D65584">
        <w:t xml:space="preserve"> u nepovoljnom položaju jer su njezini troškovi od 17 % do 35 % viši; budući da je grupa </w:t>
      </w:r>
      <w:proofErr w:type="spellStart"/>
      <w:r w:rsidRPr="00D65584">
        <w:t>Purmo</w:t>
      </w:r>
      <w:proofErr w:type="spellEnd"/>
      <w:r w:rsidRPr="00D65584">
        <w:t xml:space="preserve"> odlučila prekinuti proizvodnju pločastih radijatora od 50 mm u svojem postrojenju u </w:t>
      </w:r>
      <w:proofErr w:type="spellStart"/>
      <w:r w:rsidRPr="00D65584">
        <w:t>Zonhovenu</w:t>
      </w:r>
      <w:proofErr w:type="spellEnd"/>
      <w:r w:rsidRPr="00D65584">
        <w:t xml:space="preserve"> i zatvoriti relevantnu proizvodnu liniju;  budući da, s obzirom na neočekivano stanje u pogledu dostupnosti i cijene plina, koje je posljedica ruske ratne agresije na Ukrajinu, i zakonodavstvo Unije koje pogoduje </w:t>
      </w:r>
      <w:proofErr w:type="spellStart"/>
      <w:r w:rsidRPr="00D65584">
        <w:t>niskotemperaturnim</w:t>
      </w:r>
      <w:proofErr w:type="spellEnd"/>
      <w:r w:rsidRPr="00D65584">
        <w:t xml:space="preserve"> sustavima grijanja nauštrb pločastih radijatora, nije izgledno da će se potražnja oporaviti jer će tržište pločastih radijatora biti sve </w:t>
      </w:r>
      <w:r w:rsidRPr="00D65584">
        <w:lastRenderedPageBreak/>
        <w:t xml:space="preserve">ograničenije na zamjenu već postojećih jedinica u uporabi; </w:t>
      </w:r>
    </w:p>
    <w:p w:rsidR="00B721DB" w:rsidRPr="00D65584" w:rsidRDefault="00B721DB" w:rsidP="007E56CB">
      <w:pPr>
        <w:pStyle w:val="NormalHanging12a"/>
      </w:pPr>
      <w:r w:rsidRPr="00D65584">
        <w:t>H.</w:t>
      </w:r>
      <w:r w:rsidRPr="00D65584">
        <w:tab/>
        <w:t xml:space="preserve">budući da su ta dva poduzeća, u skladu s belgijskim pravom, slijedila obvezni postupak obavješćivanja predstavnika radnika i savjetovanja s njima te su osnovala odjel za zapošljavanje čija je svrha radnicima otpuštenima u kontekstu kolektivnog otpuštanja pružiti usluge traženja zamjenskog posla; </w:t>
      </w:r>
    </w:p>
    <w:p w:rsidR="00B721DB" w:rsidRPr="00D65584" w:rsidRDefault="00B721DB" w:rsidP="007E56CB">
      <w:pPr>
        <w:pStyle w:val="NormalHanging12a"/>
      </w:pPr>
      <w:r w:rsidRPr="00D65584">
        <w:t>I.</w:t>
      </w:r>
      <w:r w:rsidRPr="00D65584">
        <w:tab/>
        <w:t>budući da bi financijski doprinos iz EGF-a ponajprije trebao biti usmjeren na aktivne mjere politike tržišta rada i personalizirane usluge čiji je cilj brza reintegracija korisnika na dostojanstvena i održiva radna mjesta u istom ili drugom sektoru, pri čemu ih treba pripremiti na zelenije i digitalnije europsko gospodarstvo;</w:t>
      </w:r>
    </w:p>
    <w:p w:rsidR="00B721DB" w:rsidRPr="00D65584" w:rsidRDefault="00B721DB" w:rsidP="007E56CB">
      <w:pPr>
        <w:pStyle w:val="NormalHanging12a"/>
      </w:pPr>
      <w:r w:rsidRPr="00D65584">
        <w:t>J.</w:t>
      </w:r>
      <w:r w:rsidRPr="00D65584">
        <w:tab/>
        <w:t xml:space="preserve">budući da EGF ne smije premašiti najveći godišnji iznos od 30 milijuna EUR (u cijenama iz 2018.), kako je utvrđeno člankom 8. Uredbe </w:t>
      </w:r>
      <w:r w:rsidR="0060260F" w:rsidRPr="00D65584">
        <w:t xml:space="preserve">Vijeća </w:t>
      </w:r>
      <w:r w:rsidRPr="00D65584">
        <w:t xml:space="preserve">(EU, Euratom) 2020/2093 kako je izmijenjena Uredbom </w:t>
      </w:r>
      <w:r w:rsidR="0060260F" w:rsidRPr="00D65584">
        <w:t xml:space="preserve">Vijeća </w:t>
      </w:r>
      <w:r w:rsidRPr="00D65584">
        <w:t>(EU, Euratom) 2024/765;</w:t>
      </w:r>
    </w:p>
    <w:p w:rsidR="00B721DB" w:rsidRPr="00D65584" w:rsidRDefault="00B721DB" w:rsidP="007E56CB">
      <w:pPr>
        <w:pStyle w:val="NormalHanging12a"/>
      </w:pPr>
      <w:r w:rsidRPr="00D65584">
        <w:t>1.</w:t>
      </w:r>
      <w:r w:rsidRPr="00D65584">
        <w:tab/>
        <w:t>slaže se s Komisijom da su uvjeti iz članka 4. stavka 2. točke (c) Uredbe o EGF-u ispunjeni i da Belgija u skladu s tom Uredbom ima pravo na financijski doprinos u iznosu od 704 135 EUR, odnosno 60 % ukupnog troška od 1 173 559 EUR, što obuhvaća troškove za personalizirane usluge u iznosu od 1 126 559 EUR i troškove za aktivnosti pripreme, upravljanja, informiranja i promidžbe te kontrole i izvješćivanja u iznosu od 47 000 EUR;</w:t>
      </w:r>
    </w:p>
    <w:p w:rsidR="00B721DB" w:rsidRPr="00D65584" w:rsidRDefault="00B721DB" w:rsidP="007E56CB">
      <w:pPr>
        <w:pStyle w:val="NormalHanging12a"/>
      </w:pPr>
      <w:r w:rsidRPr="00D65584">
        <w:t>2.</w:t>
      </w:r>
      <w:r w:rsidRPr="00D65584">
        <w:tab/>
        <w:t xml:space="preserve">napominje da su belgijske vlasti zahtjev podnijele 19. srpnja 2024. te da je, na temelju dodatnih informacija koje je Belgija pružila, Komisija dovršila ocjenjivanje zahtjeva 5. studenoga 2024. i o tome istoga dana obavijestila Parlament; </w:t>
      </w:r>
    </w:p>
    <w:p w:rsidR="00B721DB" w:rsidRPr="00D65584" w:rsidRDefault="00B721DB" w:rsidP="007E56CB">
      <w:pPr>
        <w:pStyle w:val="NormalHanging12a"/>
      </w:pPr>
      <w:r w:rsidRPr="00D65584">
        <w:t>3.</w:t>
      </w:r>
      <w:r w:rsidRPr="00D65584">
        <w:tab/>
        <w:t xml:space="preserve">napominje da se zahtjev odnosi na 567 radnika otpuštenih iz poduzeća </w:t>
      </w:r>
      <w:proofErr w:type="spellStart"/>
      <w:r w:rsidRPr="00D65584">
        <w:t>Sappi</w:t>
      </w:r>
      <w:proofErr w:type="spellEnd"/>
      <w:r w:rsidRPr="00D65584">
        <w:t xml:space="preserve"> </w:t>
      </w:r>
      <w:proofErr w:type="spellStart"/>
      <w:r w:rsidRPr="00D65584">
        <w:t>Lanaken</w:t>
      </w:r>
      <w:proofErr w:type="spellEnd"/>
      <w:r w:rsidRPr="00D65584">
        <w:t xml:space="preserve"> i 114 radnika otpuštenih iz poduzeća </w:t>
      </w:r>
      <w:proofErr w:type="spellStart"/>
      <w:r w:rsidRPr="00D65584">
        <w:t>Purmo</w:t>
      </w:r>
      <w:proofErr w:type="spellEnd"/>
      <w:r w:rsidRPr="00D65584">
        <w:t xml:space="preserve"> Group </w:t>
      </w:r>
      <w:proofErr w:type="spellStart"/>
      <w:r w:rsidRPr="00D65584">
        <w:t>Belgium</w:t>
      </w:r>
      <w:proofErr w:type="spellEnd"/>
      <w:r w:rsidRPr="00D65584">
        <w:t>;</w:t>
      </w:r>
      <w:r w:rsidRPr="00D65584">
        <w:rPr>
          <w:color w:val="000000"/>
        </w:rPr>
        <w:t xml:space="preserve"> nadalje, napominje da će ukupno 632 radnika biti ciljani korisnici, od čega su gotovo svi muškarci;</w:t>
      </w:r>
    </w:p>
    <w:p w:rsidR="00B721DB" w:rsidRPr="00D65584" w:rsidRDefault="00B721DB" w:rsidP="007E56CB">
      <w:pPr>
        <w:pStyle w:val="NormalHanging12a"/>
      </w:pPr>
      <w:r w:rsidRPr="00D65584">
        <w:t>4.</w:t>
      </w:r>
      <w:r w:rsidRPr="00D65584">
        <w:tab/>
        <w:t xml:space="preserve">ističe da su tržišta rada u </w:t>
      </w:r>
      <w:proofErr w:type="spellStart"/>
      <w:r w:rsidRPr="00D65584">
        <w:t>Lanakenu</w:t>
      </w:r>
      <w:proofErr w:type="spellEnd"/>
      <w:r w:rsidRPr="00D65584">
        <w:t xml:space="preserve"> i </w:t>
      </w:r>
      <w:proofErr w:type="spellStart"/>
      <w:r w:rsidRPr="00D65584">
        <w:t>Zonhovenu</w:t>
      </w:r>
      <w:proofErr w:type="spellEnd"/>
      <w:r w:rsidRPr="00D65584">
        <w:t xml:space="preserve"> u nepovoljnom položaju u usporedbi s </w:t>
      </w:r>
      <w:proofErr w:type="spellStart"/>
      <w:r w:rsidRPr="00D65584">
        <w:t>Limburgom</w:t>
      </w:r>
      <w:proofErr w:type="spellEnd"/>
      <w:r w:rsidRPr="00D65584">
        <w:t xml:space="preserve"> u cjelini ili Flandrijom, pri čemu je omjer radno sposobnog stanovništva i dostupnih radnih mjesta znatno niži nego u </w:t>
      </w:r>
      <w:proofErr w:type="spellStart"/>
      <w:r w:rsidRPr="00D65584">
        <w:t>Limburgu</w:t>
      </w:r>
      <w:proofErr w:type="spellEnd"/>
      <w:r w:rsidRPr="00D65584">
        <w:t xml:space="preserve"> u cjelini ili u Flandriji; ističe da se broj radnih mjesta u industriji u </w:t>
      </w:r>
      <w:proofErr w:type="spellStart"/>
      <w:r w:rsidRPr="00D65584">
        <w:t>Limburgu</w:t>
      </w:r>
      <w:proofErr w:type="spellEnd"/>
      <w:r w:rsidRPr="00D65584">
        <w:t xml:space="preserve"> 2023. smanjio za 15 %;</w:t>
      </w:r>
    </w:p>
    <w:p w:rsidR="00B721DB" w:rsidRPr="00D65584" w:rsidRDefault="00B721DB" w:rsidP="007E56CB">
      <w:pPr>
        <w:pStyle w:val="NormalHanging12a"/>
      </w:pPr>
      <w:r w:rsidRPr="00D65584">
        <w:t>5.</w:t>
      </w:r>
      <w:r w:rsidRPr="00D65584">
        <w:tab/>
        <w:t xml:space="preserve">naglašava da profili radnika koji su proglašeni viškom, od kojih je jedna trećina u dobi od 55 ili više godina, a 30 % ih ima nisku razinu obrazovanja, znače da će se suočavati s ozbiljnim preprekama na tržištu rada; ističe da će, uzimajući u obzir silazni trend u pogledu slobodnih radnih mjesta i njihovu geografsku raspodjelu, radnicima biti potrebna dodatna prilagođena potpora kako bi im se pomoglo da se ponovno uključe na tržište rada; </w:t>
      </w:r>
    </w:p>
    <w:p w:rsidR="00B721DB" w:rsidRPr="00D65584" w:rsidRDefault="00B721DB" w:rsidP="007E56CB">
      <w:pPr>
        <w:pStyle w:val="NormalHanging12a"/>
      </w:pPr>
      <w:r w:rsidRPr="00D65584">
        <w:t>6.</w:t>
      </w:r>
      <w:r w:rsidRPr="00D65584">
        <w:tab/>
        <w:t>podsjeća da belgijske vlasti moraju priznati izvor financiranja, kao i jamčiti vidljivost financiranja Unije, te isticati dodanu vrijednost Unije do koje je došlo zahvaljujući intervenciji, i to pružanjem koherentnih, učinkovitih i ciljanih informacija različitoj publici, uključujući usmjerene informacije korisnicima, lokalnim i regionalnim vlastima, socijalnim partnerima, medijima i javnosti;</w:t>
      </w:r>
    </w:p>
    <w:p w:rsidR="00B721DB" w:rsidRPr="00D65584" w:rsidRDefault="00B721DB" w:rsidP="007E56CB">
      <w:pPr>
        <w:pStyle w:val="NormalHanging12a"/>
      </w:pPr>
      <w:r w:rsidRPr="00D65584">
        <w:t>7.</w:t>
      </w:r>
      <w:r w:rsidRPr="00D65584">
        <w:tab/>
        <w:t xml:space="preserve">smatra da je socijalna odgovornost Unije i država članica pružiti pogođenim radnicima mogućnost stjecanja potrebnih kvalifikacija za buduće zapošljavanje, uzimajući u obzir da digitalna i ekološka tranzicija znatno utječu na sektore u kojima rade i da istodobno dovode do smanjenja potražnje; pozdravlja činjenicu da je Belgija, nakon savjetovanja s </w:t>
      </w:r>
      <w:r w:rsidRPr="00D65584">
        <w:lastRenderedPageBreak/>
        <w:t>ciljanim korisnicima, njihovim predstavnicima i socijalnim partnerima, sastavila koordinirani paket personaliziranih usluga;</w:t>
      </w:r>
    </w:p>
    <w:p w:rsidR="00B721DB" w:rsidRPr="00D65584" w:rsidRDefault="00B721DB" w:rsidP="007E56CB">
      <w:pPr>
        <w:pStyle w:val="NormalHanging12a"/>
      </w:pPr>
      <w:r w:rsidRPr="00D65584">
        <w:t>8.</w:t>
      </w:r>
      <w:r w:rsidRPr="00D65584">
        <w:tab/>
        <w:t xml:space="preserve">naglašava da potpora iz EGF-a mora biti dio šire strategije za pogođene radnike i regiju na svim političkim razinama, što uključuje pružanje potpore iz relevantnih </w:t>
      </w:r>
      <w:proofErr w:type="spellStart"/>
      <w:r w:rsidRPr="00D65584">
        <w:t>Unijinih</w:t>
      </w:r>
      <w:proofErr w:type="spellEnd"/>
      <w:r w:rsidRPr="00D65584">
        <w:t xml:space="preserve"> instrumenata financiranja, kako bi se osiguralo da nitko ne bude zapostavljen u digitalnoj i klimatskoj tranziciji;</w:t>
      </w:r>
    </w:p>
    <w:p w:rsidR="00B721DB" w:rsidRPr="00D65584" w:rsidRDefault="00B721DB" w:rsidP="007E56CB">
      <w:pPr>
        <w:pStyle w:val="NormalHanging12a"/>
      </w:pPr>
      <w:r w:rsidRPr="00D65584">
        <w:t>9.</w:t>
      </w:r>
      <w:r w:rsidRPr="00D65584">
        <w:tab/>
        <w:t>podsjeća na to da se personalizirane usluge koje će se pružati radnicima sastoje od sljedećih mjera: savjetnik za socijalnu intervenciju, usmjeravanje, savjetovanje i profesionalna orijentacija, aktivna potpora pri traženju posla, osposobljavanje, prekvalifikacija i strukovno osposobljavanje, uključujući osposobljavanje u području digitalnih vještina, te obuka na radnome mjestu;</w:t>
      </w:r>
    </w:p>
    <w:p w:rsidR="00B721DB" w:rsidRPr="00D65584" w:rsidRDefault="00B721DB" w:rsidP="007E56CB">
      <w:pPr>
        <w:pStyle w:val="NormalHanging12a"/>
      </w:pPr>
      <w:r w:rsidRPr="00D65584">
        <w:t>10.</w:t>
      </w:r>
      <w:r w:rsidRPr="00D65584">
        <w:tab/>
        <w:t>napominje da je Belgija ciljanim korisnicima počela pružati personalizirane usluge 26. prosinca 2023. i da će stoga razdoblje prihvatljivosti za financijski doprinos iz EGF-a trajati od tog datuma do datuma koji nastupi 24 mjeseca nakon stupanja na snagu odluke o financiranju;</w:t>
      </w:r>
    </w:p>
    <w:p w:rsidR="00B721DB" w:rsidRPr="00D65584" w:rsidRDefault="00B721DB" w:rsidP="007E56CB">
      <w:pPr>
        <w:pStyle w:val="NormalHanging12a"/>
        <w:rPr>
          <w:sz w:val="23"/>
          <w:szCs w:val="23"/>
        </w:rPr>
      </w:pPr>
      <w:r w:rsidRPr="00D65584">
        <w:t>11.</w:t>
      </w:r>
      <w:r w:rsidRPr="00D65584">
        <w:tab/>
        <w:t>napominje da Belgija od 20. studenoga 2023. snosi administrativne izdatke provedbe EGF-a te da ti izdaci stoga ispunjavaju uvjete za financijski doprinos iz EGF-a od tog datuma do datuma koji nastupi 31 mjesec nakon stupanja na snagu odluke o financiranju;</w:t>
      </w:r>
    </w:p>
    <w:p w:rsidR="00B721DB" w:rsidRPr="00D65584" w:rsidRDefault="00B721DB" w:rsidP="007E56CB">
      <w:pPr>
        <w:pStyle w:val="NormalHanging12a"/>
      </w:pPr>
      <w:r w:rsidRPr="00D65584">
        <w:t>12.</w:t>
      </w:r>
      <w:r w:rsidRPr="00D65584">
        <w:tab/>
        <w:t>naglašava da su belgijske vlasti potvrdile da će se u pristupu predloženim mjerama i u njihovoj provedbi poštovati načela jednakog postupanja i nediskriminacije te da će se spriječiti svako dvostruko financiranje;</w:t>
      </w:r>
    </w:p>
    <w:p w:rsidR="00B721DB" w:rsidRPr="00D65584" w:rsidRDefault="00B721DB" w:rsidP="007E56CB">
      <w:pPr>
        <w:pStyle w:val="NormalHanging12a"/>
      </w:pPr>
      <w:r w:rsidRPr="00D65584">
        <w:t>13.</w:t>
      </w:r>
      <w:r w:rsidRPr="00D65584">
        <w:tab/>
        <w:t xml:space="preserve">ponovno ističe da pomoć iz EGF-a ne smije zamijeniti mjere za koje su prema nacionalnom pravu ili kolektivnim ugovorima odgovorna poduzeća, kao ni bilo kakve naknade ili prava radnika proglašenih viškom, kako bi se osigurala potpuna </w:t>
      </w:r>
      <w:proofErr w:type="spellStart"/>
      <w:r w:rsidRPr="00D65584">
        <w:t>dodatnost</w:t>
      </w:r>
      <w:proofErr w:type="spellEnd"/>
      <w:r w:rsidRPr="00D65584">
        <w:t xml:space="preserve"> te pomoći; podsjeća da države članice koje podnose zahtjev za financijsku potporu iz EGF-a moraju osigurati da su ispunjeni uvjeti utvrđeni nacionalnim pravom i pravom Unije o kolektivnom otpuštanju te da se predmetno poduzeće u skladu s time pobrinulo za svoje radnike;</w:t>
      </w:r>
    </w:p>
    <w:p w:rsidR="00B721DB" w:rsidRPr="00D65584" w:rsidRDefault="00B721DB" w:rsidP="007E56CB">
      <w:pPr>
        <w:pStyle w:val="NormalHanging12a"/>
      </w:pPr>
      <w:r w:rsidRPr="00D65584">
        <w:t>14.</w:t>
      </w:r>
      <w:r w:rsidRPr="00D65584">
        <w:tab/>
        <w:t xml:space="preserve">poziva belgijske vlasti i druge države članice da </w:t>
      </w:r>
      <w:proofErr w:type="spellStart"/>
      <w:r w:rsidRPr="00D65584">
        <w:t>proaktivno</w:t>
      </w:r>
      <w:proofErr w:type="spellEnd"/>
      <w:r w:rsidRPr="00D65584">
        <w:t xml:space="preserve"> poduzmu preventivne mjere kako bi se industrije prilagodile globalizaciji te tehnološkim i okolišnim promjenama te kako bi se radnike zaštitilo od gubitka radnih mjesta i drugih negativnih posljedica globalizacije;</w:t>
      </w:r>
    </w:p>
    <w:p w:rsidR="00B721DB" w:rsidRPr="00D65584" w:rsidRDefault="00B721DB" w:rsidP="007E56CB">
      <w:pPr>
        <w:pStyle w:val="NormalHanging12a"/>
      </w:pPr>
      <w:r w:rsidRPr="00D65584">
        <w:t>15.</w:t>
      </w:r>
      <w:r w:rsidRPr="00D65584">
        <w:tab/>
        <w:t>odobrava Odluku priloženu ovoj Rezoluciji;</w:t>
      </w:r>
    </w:p>
    <w:p w:rsidR="00B721DB" w:rsidRPr="00D65584" w:rsidRDefault="00B721DB" w:rsidP="007E56CB">
      <w:pPr>
        <w:pStyle w:val="NormalHanging12a"/>
      </w:pPr>
      <w:r w:rsidRPr="00D65584">
        <w:t>16.</w:t>
      </w:r>
      <w:r w:rsidRPr="00D65584">
        <w:tab/>
        <w:t xml:space="preserve">nalaže svojoj predsjednici da potpiše ovu Odluku zajedno s predsjednikom Vijeća te da je da na objavu u </w:t>
      </w:r>
      <w:r w:rsidRPr="00D65584">
        <w:rPr>
          <w:i/>
        </w:rPr>
        <w:t>Službenom listu Europske unije</w:t>
      </w:r>
      <w:r w:rsidRPr="00D65584">
        <w:t>;</w:t>
      </w:r>
    </w:p>
    <w:p w:rsidR="00B721DB" w:rsidRPr="00D65584" w:rsidRDefault="00B721DB" w:rsidP="00792B19">
      <w:pPr>
        <w:pStyle w:val="NormalHanging12a"/>
        <w:rPr>
          <w:noProof/>
        </w:rPr>
      </w:pPr>
      <w:r w:rsidRPr="00D65584">
        <w:t>17.</w:t>
      </w:r>
      <w:r w:rsidRPr="00D65584">
        <w:tab/>
        <w:t>nalaže svojoj predsjednici da ovu Rezoluciju, zajedno s njezinim Prilogom, proslijedi Vijeću i Komisiji.</w:t>
      </w:r>
    </w:p>
    <w:p w:rsidR="00B721DB" w:rsidRPr="00D65584" w:rsidRDefault="00B721DB" w:rsidP="00B721DB">
      <w:pPr>
        <w:pStyle w:val="PageHeading"/>
        <w:rPr>
          <w:noProof/>
        </w:rPr>
        <w:sectPr w:rsidR="00B721DB" w:rsidRPr="00D65584" w:rsidSect="00650DD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E56CB" w:rsidRPr="00D65584" w:rsidRDefault="00B721DB" w:rsidP="00B71A2A">
      <w:pPr>
        <w:pStyle w:val="PageHeading"/>
        <w:rPr>
          <w:rFonts w:ascii="Times New Roman" w:hAnsi="Times New Roman" w:cs="Times New Roman"/>
        </w:rPr>
      </w:pPr>
      <w:bookmarkStart w:id="7" w:name="_Toc183771357"/>
      <w:r w:rsidRPr="00D65584">
        <w:rPr>
          <w:rFonts w:ascii="Times New Roman" w:hAnsi="Times New Roman" w:cs="Times New Roman"/>
        </w:rPr>
        <w:lastRenderedPageBreak/>
        <w:t>PRILOG</w:t>
      </w:r>
    </w:p>
    <w:p w:rsidR="00B721DB" w:rsidRPr="00D65584" w:rsidRDefault="00B721DB" w:rsidP="00B721DB">
      <w:pPr>
        <w:pStyle w:val="PageHeading"/>
        <w:rPr>
          <w:rFonts w:ascii="Times New Roman" w:hAnsi="Times New Roman" w:cs="Times New Roman"/>
          <w:noProof/>
        </w:rPr>
      </w:pPr>
      <w:r w:rsidRPr="00D65584">
        <w:rPr>
          <w:rFonts w:ascii="Times New Roman" w:hAnsi="Times New Roman" w:cs="Times New Roman"/>
        </w:rPr>
        <w:t>ODLUKA EUROPSKOG PARLAMENTA I VIJEĆA</w:t>
      </w:r>
      <w:bookmarkEnd w:id="7"/>
    </w:p>
    <w:p w:rsidR="00B721DB" w:rsidRDefault="00B721DB" w:rsidP="00B71A2A">
      <w:pPr>
        <w:pStyle w:val="NormalBold24a"/>
        <w:jc w:val="center"/>
      </w:pPr>
      <w:r w:rsidRPr="00D65584">
        <w:t xml:space="preserve">o mobilizaciji Europskog fonda za prilagodbu globalizaciji za radnike koji su proglašeni viškom na temelju zahtjeva Belgije </w:t>
      </w:r>
      <w:r w:rsidR="00B71A2A" w:rsidRPr="000620A7">
        <w:t>–</w:t>
      </w:r>
      <w:r w:rsidR="00B71A2A">
        <w:t xml:space="preserve"> </w:t>
      </w:r>
      <w:r w:rsidRPr="00D65584">
        <w:t>EGF/2024/002 BE/</w:t>
      </w:r>
      <w:proofErr w:type="spellStart"/>
      <w:r w:rsidR="007E56CB" w:rsidRPr="00D65584">
        <w:t>Limburg</w:t>
      </w:r>
      <w:proofErr w:type="spellEnd"/>
      <w:r w:rsidR="007E56CB" w:rsidRPr="00D65584">
        <w:t xml:space="preserve"> </w:t>
      </w:r>
      <w:proofErr w:type="spellStart"/>
      <w:r w:rsidR="007E56CB" w:rsidRPr="00D65584">
        <w:t>machiner</w:t>
      </w:r>
      <w:bookmarkStart w:id="8" w:name="_GoBack"/>
      <w:bookmarkEnd w:id="8"/>
      <w:r w:rsidR="007E56CB" w:rsidRPr="00D65584">
        <w:t>y</w:t>
      </w:r>
      <w:proofErr w:type="spellEnd"/>
      <w:r w:rsidR="007E56CB" w:rsidRPr="00D65584">
        <w:t xml:space="preserve"> </w:t>
      </w:r>
      <w:proofErr w:type="spellStart"/>
      <w:r w:rsidR="007E56CB" w:rsidRPr="00D65584">
        <w:t>and</w:t>
      </w:r>
      <w:proofErr w:type="spellEnd"/>
      <w:r w:rsidR="007E56CB" w:rsidRPr="00D65584">
        <w:t xml:space="preserve"> </w:t>
      </w:r>
      <w:proofErr w:type="spellStart"/>
      <w:r w:rsidR="007E56CB" w:rsidRPr="00D65584">
        <w:t>paper</w:t>
      </w:r>
      <w:proofErr w:type="spellEnd"/>
    </w:p>
    <w:p w:rsidR="00B71A2A" w:rsidRPr="00B71A2A" w:rsidRDefault="00B71A2A" w:rsidP="00B71A2A">
      <w:pPr>
        <w:widowControl/>
        <w:rPr>
          <w:rFonts w:eastAsia="Calibri"/>
          <w:i/>
          <w:szCs w:val="24"/>
          <w:lang w:val="fr-BE" w:eastAsia="en-US"/>
        </w:rPr>
      </w:pPr>
      <w:r w:rsidRPr="00B71A2A">
        <w:rPr>
          <w:rFonts w:eastAsia="Calibri"/>
          <w:i/>
          <w:szCs w:val="24"/>
          <w:lang w:eastAsia="en-US"/>
        </w:rPr>
        <w:t xml:space="preserve">(Tekst ovog priloga nije naveden ovdje budući da odgovara konačnom aktu, Odluci </w:t>
      </w:r>
      <w:r>
        <w:rPr>
          <w:rFonts w:eastAsia="Calibri"/>
          <w:i/>
          <w:szCs w:val="24"/>
          <w:lang w:val="fr-BE" w:eastAsia="en-US"/>
        </w:rPr>
        <w:t>(</w:t>
      </w:r>
      <w:r w:rsidRPr="00B71A2A">
        <w:rPr>
          <w:rFonts w:eastAsia="Calibri"/>
          <w:i/>
          <w:szCs w:val="24"/>
          <w:lang w:val="fr-BE" w:eastAsia="en-US"/>
        </w:rPr>
        <w:t>EU</w:t>
      </w:r>
      <w:r>
        <w:rPr>
          <w:rFonts w:eastAsia="Calibri"/>
          <w:i/>
          <w:szCs w:val="24"/>
          <w:lang w:val="fr-BE" w:eastAsia="en-US"/>
        </w:rPr>
        <w:t>) 2025/47.</w:t>
      </w:r>
      <w:r w:rsidRPr="00B71A2A">
        <w:rPr>
          <w:rFonts w:eastAsia="Calibri"/>
          <w:i/>
          <w:szCs w:val="24"/>
          <w:lang w:val="fr-BE" w:eastAsia="en-US"/>
        </w:rPr>
        <w:t>)</w:t>
      </w:r>
    </w:p>
    <w:p w:rsidR="00B71A2A" w:rsidRPr="00D65584" w:rsidRDefault="00B71A2A" w:rsidP="00B721DB">
      <w:pPr>
        <w:pStyle w:val="NormalBold24a"/>
      </w:pPr>
    </w:p>
    <w:sectPr w:rsidR="00B71A2A" w:rsidRPr="00D65584" w:rsidSect="00650D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59C" w:rsidRPr="00650DDB" w:rsidRDefault="000B459C">
      <w:r w:rsidRPr="00650DDB">
        <w:separator/>
      </w:r>
    </w:p>
  </w:endnote>
  <w:endnote w:type="continuationSeparator" w:id="0">
    <w:p w:rsidR="000B459C" w:rsidRPr="00650DDB" w:rsidRDefault="000B459C">
      <w:r w:rsidRPr="00650D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DB" w:rsidRPr="00650DDB" w:rsidRDefault="00B721DB" w:rsidP="00955387">
    <w:pPr>
      <w:pStyle w:val="EPFooter"/>
    </w:pPr>
    <w:r w:rsidRPr="00650DDB">
      <w:t>PE</w:t>
    </w:r>
    <w:r w:rsidRPr="00650DDB">
      <w:rPr>
        <w:rStyle w:val="HideTWBExt"/>
      </w:rPr>
      <w:t>&lt;NoPE&gt;</w:t>
    </w:r>
    <w:r w:rsidRPr="00650DDB">
      <w:t>765.241</w:t>
    </w:r>
    <w:r w:rsidRPr="00650DDB">
      <w:rPr>
        <w:rStyle w:val="HideTWBExt"/>
      </w:rPr>
      <w:t>&lt;/NoPE&gt;&lt;Version&gt;</w:t>
    </w:r>
    <w:r w:rsidRPr="00650DDB">
      <w:t>v03-00</w:t>
    </w:r>
    <w:r w:rsidRPr="00650DDB">
      <w:rPr>
        <w:rStyle w:val="HideTWBExt"/>
      </w:rPr>
      <w:t>&lt;/Version&gt;</w:t>
    </w:r>
    <w:r w:rsidRPr="00650DDB">
      <w:tab/>
    </w:r>
    <w:r w:rsidRPr="00650DDB">
      <w:fldChar w:fldCharType="begin"/>
    </w:r>
    <w:r w:rsidRPr="00650DDB">
      <w:instrText xml:space="preserve"> PAGE  \* MERGEFORMAT </w:instrText>
    </w:r>
    <w:r w:rsidRPr="00650DDB">
      <w:fldChar w:fldCharType="separate"/>
    </w:r>
    <w:r w:rsidR="00650DDB" w:rsidRPr="00650DDB">
      <w:rPr>
        <w:noProof/>
      </w:rPr>
      <w:t>2</w:t>
    </w:r>
    <w:r w:rsidRPr="00650DDB">
      <w:fldChar w:fldCharType="end"/>
    </w:r>
    <w:r w:rsidRPr="00650DDB">
      <w:t>/</w:t>
    </w:r>
    <w:fldSimple w:instr=" NUMPAGES  \* MERGEFORMAT ">
      <w:r w:rsidR="00650DDB" w:rsidRPr="00650DDB">
        <w:rPr>
          <w:noProof/>
        </w:rPr>
        <w:t>8</w:t>
      </w:r>
    </w:fldSimple>
    <w:r w:rsidRPr="00650DDB">
      <w:tab/>
    </w:r>
    <w:r w:rsidRPr="00650DDB">
      <w:rPr>
        <w:rStyle w:val="HideTWBExt"/>
      </w:rPr>
      <w:t>&lt;PathFdR&gt;</w:t>
    </w:r>
    <w:r w:rsidRPr="00650DDB">
      <w:t>RR\1310799HR.docx</w:t>
    </w:r>
    <w:r w:rsidRPr="00650DDB">
      <w:rPr>
        <w:rStyle w:val="HideTWBExt"/>
      </w:rPr>
      <w:t>&lt;/PathFdR&gt;</w:t>
    </w:r>
  </w:p>
  <w:p w:rsidR="00B721DB" w:rsidRPr="00650DDB" w:rsidRDefault="00B721DB" w:rsidP="00955387">
    <w:pPr>
      <w:pStyle w:val="EPFooter2"/>
    </w:pPr>
    <w:r w:rsidRPr="00650DDB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DB" w:rsidRPr="00650DDB" w:rsidRDefault="00B721DB" w:rsidP="00955387">
    <w:pPr>
      <w:pStyle w:val="EPFooter"/>
    </w:pPr>
    <w:r w:rsidRPr="00650DDB">
      <w:rPr>
        <w:rStyle w:val="HideTWBExt"/>
      </w:rPr>
      <w:t>&lt;PathFdR&gt;</w:t>
    </w:r>
    <w:r w:rsidRPr="00650DDB">
      <w:t>RR\1310799HR.docx</w:t>
    </w:r>
    <w:r w:rsidRPr="00650DDB">
      <w:rPr>
        <w:rStyle w:val="HideTWBExt"/>
      </w:rPr>
      <w:t>&lt;/PathFdR&gt;</w:t>
    </w:r>
    <w:r w:rsidRPr="00650DDB">
      <w:tab/>
    </w:r>
    <w:r w:rsidRPr="00650DDB">
      <w:tab/>
      <w:t>PE</w:t>
    </w:r>
    <w:r w:rsidRPr="00650DDB">
      <w:rPr>
        <w:rStyle w:val="HideTWBExt"/>
      </w:rPr>
      <w:t>&lt;NoPE&gt;</w:t>
    </w:r>
    <w:r w:rsidRPr="00650DDB">
      <w:t>765.241</w:t>
    </w:r>
    <w:r w:rsidRPr="00650DDB">
      <w:rPr>
        <w:rStyle w:val="HideTWBExt"/>
      </w:rPr>
      <w:t>&lt;/NoPE&gt;&lt;Version&gt;</w:t>
    </w:r>
    <w:r w:rsidRPr="00650DDB">
      <w:t>v03-00</w:t>
    </w:r>
    <w:r w:rsidRPr="00650DDB">
      <w:rPr>
        <w:rStyle w:val="HideTWBExt"/>
      </w:rPr>
      <w:t>&lt;/Version&gt;</w:t>
    </w:r>
  </w:p>
  <w:p w:rsidR="00B721DB" w:rsidRPr="00650DDB" w:rsidRDefault="00B721DB" w:rsidP="00955387">
    <w:pPr>
      <w:pStyle w:val="EPFooter2"/>
    </w:pPr>
    <w:r w:rsidRPr="00650DDB">
      <w:t>HR</w:t>
    </w:r>
    <w:r w:rsidRPr="00650DDB">
      <w:tab/>
    </w:r>
    <w:r w:rsidRPr="00650DDB">
      <w:rPr>
        <w:b w:val="0"/>
        <w:i/>
        <w:color w:val="C0C0C0"/>
        <w:sz w:val="22"/>
      </w:rPr>
      <w:t>Ujedinjena u raznolikosti</w:t>
    </w:r>
    <w:r w:rsidRPr="00650DDB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DD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DD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D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59C" w:rsidRPr="00650DDB" w:rsidRDefault="000B459C">
      <w:r w:rsidRPr="00650DDB">
        <w:separator/>
      </w:r>
    </w:p>
  </w:footnote>
  <w:footnote w:type="continuationSeparator" w:id="0">
    <w:p w:rsidR="000B459C" w:rsidRPr="00650DDB" w:rsidRDefault="000B459C">
      <w:r w:rsidRPr="00650DDB">
        <w:continuationSeparator/>
      </w:r>
    </w:p>
  </w:footnote>
  <w:footnote w:id="1">
    <w:p w:rsidR="00B721DB" w:rsidRPr="00650DDB" w:rsidRDefault="00B721DB" w:rsidP="00650DDB">
      <w:pPr>
        <w:pStyle w:val="FootnoteText"/>
        <w:ind w:left="567" w:hanging="567"/>
        <w:rPr>
          <w:sz w:val="24"/>
          <w:lang w:val="hr-HR"/>
        </w:rPr>
      </w:pPr>
      <w:r w:rsidRPr="00650DDB">
        <w:rPr>
          <w:rStyle w:val="FootnoteReference"/>
          <w:sz w:val="24"/>
          <w:lang w:val="hr-HR"/>
        </w:rPr>
        <w:footnoteRef/>
      </w:r>
      <w:r w:rsidR="00650DDB" w:rsidRPr="00650DDB">
        <w:rPr>
          <w:sz w:val="24"/>
          <w:lang w:val="hr-HR"/>
        </w:rPr>
        <w:t xml:space="preserve"> </w:t>
      </w:r>
      <w:r w:rsidR="00650DDB" w:rsidRPr="00650DDB">
        <w:rPr>
          <w:sz w:val="24"/>
          <w:lang w:val="hr-HR"/>
        </w:rPr>
        <w:tab/>
      </w:r>
      <w:r w:rsidRPr="00650DDB">
        <w:rPr>
          <w:sz w:val="24"/>
          <w:lang w:val="hr-HR"/>
        </w:rPr>
        <w:t>SL L 153, 3.5.2021., str. 48.,</w:t>
      </w:r>
      <w:r w:rsidR="0060260F">
        <w:rPr>
          <w:sz w:val="24"/>
          <w:lang w:val="hr-HR"/>
        </w:rPr>
        <w:t xml:space="preserve"> </w:t>
      </w:r>
      <w:r w:rsidR="0060260F" w:rsidRPr="0060260F">
        <w:rPr>
          <w:sz w:val="24"/>
          <w:lang w:val="fi-FI"/>
        </w:rPr>
        <w:t>ELI:</w:t>
      </w:r>
      <w:r w:rsidRPr="00650DDB">
        <w:rPr>
          <w:sz w:val="24"/>
          <w:lang w:val="hr-HR"/>
        </w:rPr>
        <w:t xml:space="preserve"> </w:t>
      </w:r>
      <w:hyperlink r:id="rId1" w:history="1">
        <w:r w:rsidRPr="007E56CB">
          <w:rPr>
            <w:rStyle w:val="Hyperlink"/>
            <w:sz w:val="24"/>
            <w:lang w:val="hr-HR"/>
          </w:rPr>
          <w:t>http://data.europa.eu/eli/reg/2021/691/oj</w:t>
        </w:r>
      </w:hyperlink>
      <w:r w:rsidRPr="00650DDB">
        <w:rPr>
          <w:sz w:val="24"/>
          <w:lang w:val="hr-HR"/>
        </w:rPr>
        <w:t>.</w:t>
      </w:r>
    </w:p>
  </w:footnote>
  <w:footnote w:id="2">
    <w:p w:rsidR="00B721DB" w:rsidRPr="00650DDB" w:rsidRDefault="00B721DB" w:rsidP="00650DDB">
      <w:pPr>
        <w:pStyle w:val="FootnoteText"/>
        <w:ind w:left="567" w:hanging="567"/>
        <w:rPr>
          <w:sz w:val="24"/>
          <w:lang w:val="hr-HR"/>
        </w:rPr>
      </w:pPr>
      <w:r w:rsidRPr="00650DDB">
        <w:rPr>
          <w:rStyle w:val="FootnoteReference"/>
          <w:sz w:val="24"/>
          <w:lang w:val="hr-HR"/>
        </w:rPr>
        <w:footnoteRef/>
      </w:r>
      <w:r w:rsidR="00650DDB" w:rsidRPr="00650DDB">
        <w:rPr>
          <w:sz w:val="24"/>
          <w:lang w:val="hr-HR"/>
        </w:rPr>
        <w:t xml:space="preserve"> </w:t>
      </w:r>
      <w:r w:rsidR="00650DDB" w:rsidRPr="00650DDB">
        <w:rPr>
          <w:sz w:val="24"/>
          <w:lang w:val="hr-HR"/>
        </w:rPr>
        <w:tab/>
      </w:r>
      <w:r w:rsidRPr="00650DDB">
        <w:rPr>
          <w:sz w:val="24"/>
          <w:lang w:val="hr-HR"/>
        </w:rPr>
        <w:t xml:space="preserve">SL L 433 I, 22.12.2020., str. </w:t>
      </w:r>
      <w:r w:rsidRPr="00650DDB">
        <w:rPr>
          <w:sz w:val="24"/>
          <w:lang w:val="hr-HR"/>
        </w:rPr>
        <w:t xml:space="preserve">11., ELI: </w:t>
      </w:r>
      <w:hyperlink r:id="rId2" w:history="1">
        <w:r w:rsidRPr="007E56CB">
          <w:rPr>
            <w:rStyle w:val="Hyperlink"/>
            <w:sz w:val="24"/>
            <w:lang w:val="hr-HR"/>
          </w:rPr>
          <w:t>http://data.europa.eu/eli/reg/2020/2093/oj</w:t>
        </w:r>
      </w:hyperlink>
      <w:r w:rsidRPr="00650DDB">
        <w:rPr>
          <w:sz w:val="24"/>
          <w:lang w:val="hr-HR"/>
        </w:rPr>
        <w:t>.</w:t>
      </w:r>
    </w:p>
  </w:footnote>
  <w:footnote w:id="3">
    <w:p w:rsidR="00B721DB" w:rsidRPr="00650DDB" w:rsidRDefault="00B721DB" w:rsidP="00650DDB">
      <w:pPr>
        <w:pStyle w:val="FootnoteText"/>
        <w:ind w:left="567" w:hanging="567"/>
        <w:rPr>
          <w:sz w:val="24"/>
          <w:lang w:val="hr-HR"/>
        </w:rPr>
      </w:pPr>
      <w:r w:rsidRPr="00650DDB">
        <w:rPr>
          <w:rStyle w:val="FootnoteReference"/>
          <w:sz w:val="24"/>
          <w:lang w:val="hr-HR"/>
        </w:rPr>
        <w:footnoteRef/>
      </w:r>
      <w:r w:rsidR="00650DDB" w:rsidRPr="00650DDB">
        <w:rPr>
          <w:color w:val="333333"/>
          <w:sz w:val="24"/>
          <w:shd w:val="clear" w:color="auto" w:fill="FFFFFF"/>
          <w:lang w:val="hr-HR"/>
        </w:rPr>
        <w:t xml:space="preserve"> </w:t>
      </w:r>
      <w:r w:rsidR="00650DDB" w:rsidRPr="00650DDB">
        <w:rPr>
          <w:color w:val="333333"/>
          <w:sz w:val="24"/>
          <w:shd w:val="clear" w:color="auto" w:fill="FFFFFF"/>
          <w:lang w:val="hr-HR"/>
        </w:rPr>
        <w:tab/>
      </w:r>
      <w:r w:rsidRPr="00650DDB">
        <w:rPr>
          <w:color w:val="333333"/>
          <w:sz w:val="24"/>
          <w:shd w:val="clear" w:color="auto" w:fill="FFFFFF"/>
          <w:lang w:val="hr-HR"/>
        </w:rPr>
        <w:t xml:space="preserve">Uredba Vijeća (EU, Euratom) 2024/765 od 29. veljače 2024. o izmjeni Uredbe (EU, Euratom) 2020/2093 kojom se utvrđuje višegodišnji financijski okvir za razdoblje 2021. – 2027. </w:t>
      </w:r>
      <w:r w:rsidRPr="00650DDB">
        <w:rPr>
          <w:color w:val="333333"/>
          <w:sz w:val="24"/>
          <w:shd w:val="clear" w:color="auto" w:fill="FFFFFF"/>
          <w:lang w:val="hr-HR"/>
        </w:rPr>
        <w:t>(</w:t>
      </w:r>
      <w:r w:rsidRPr="00650DDB">
        <w:rPr>
          <w:sz w:val="24"/>
          <w:lang w:val="hr-HR"/>
        </w:rPr>
        <w:t>SL L, 2024/765, 29.2.2024.,</w:t>
      </w:r>
      <w:r w:rsidRPr="00650DDB">
        <w:rPr>
          <w:rStyle w:val="Emphasis"/>
          <w:color w:val="333333"/>
          <w:sz w:val="24"/>
          <w:shd w:val="clear" w:color="auto" w:fill="FFFFFF"/>
          <w:lang w:val="hr-HR"/>
        </w:rPr>
        <w:t xml:space="preserve"> </w:t>
      </w:r>
      <w:r w:rsidRPr="00792B19">
        <w:rPr>
          <w:rStyle w:val="Emphasis"/>
          <w:i w:val="0"/>
          <w:color w:val="333333"/>
          <w:sz w:val="24"/>
          <w:shd w:val="clear" w:color="auto" w:fill="FFFFFF"/>
          <w:lang w:val="hr-HR"/>
        </w:rPr>
        <w:t xml:space="preserve">ELI: </w:t>
      </w:r>
      <w:hyperlink r:id="rId3" w:history="1">
        <w:r w:rsidRPr="007E56CB">
          <w:rPr>
            <w:rStyle w:val="Hyperlink"/>
            <w:sz w:val="24"/>
            <w:shd w:val="clear" w:color="auto" w:fill="FFFFFF"/>
            <w:lang w:val="hr-HR"/>
          </w:rPr>
          <w:t>http://data.europa.eu/eli/reg/2024/765/oj</w:t>
        </w:r>
      </w:hyperlink>
      <w:r w:rsidRPr="00650DDB">
        <w:rPr>
          <w:rStyle w:val="Emphasis"/>
          <w:color w:val="333333"/>
          <w:sz w:val="24"/>
          <w:shd w:val="clear" w:color="auto" w:fill="FFFFFF"/>
          <w:lang w:val="hr-HR"/>
        </w:rPr>
        <w:t>).</w:t>
      </w:r>
    </w:p>
  </w:footnote>
  <w:footnote w:id="4">
    <w:p w:rsidR="00B721DB" w:rsidRPr="00650DDB" w:rsidRDefault="00B721DB" w:rsidP="00650DDB">
      <w:pPr>
        <w:pStyle w:val="FootnoteText"/>
        <w:ind w:left="567" w:hanging="567"/>
        <w:rPr>
          <w:sz w:val="24"/>
          <w:lang w:val="hr-HR"/>
        </w:rPr>
      </w:pPr>
      <w:r w:rsidRPr="00650DDB">
        <w:rPr>
          <w:rStyle w:val="FootnoteReference"/>
          <w:sz w:val="24"/>
          <w:lang w:val="hr-HR"/>
        </w:rPr>
        <w:footnoteRef/>
      </w:r>
      <w:r w:rsidR="00650DDB" w:rsidRPr="00650DDB">
        <w:rPr>
          <w:sz w:val="24"/>
          <w:lang w:val="hr-HR"/>
        </w:rPr>
        <w:t xml:space="preserve"> </w:t>
      </w:r>
      <w:r w:rsidR="00650DDB" w:rsidRPr="00650DDB">
        <w:rPr>
          <w:sz w:val="24"/>
          <w:lang w:val="hr-HR"/>
        </w:rPr>
        <w:tab/>
      </w:r>
      <w:r w:rsidRPr="00650DDB">
        <w:rPr>
          <w:sz w:val="24"/>
          <w:lang w:val="hr-HR"/>
        </w:rPr>
        <w:t xml:space="preserve">SL L 433 I, 22.12.2020., str. </w:t>
      </w:r>
      <w:r w:rsidRPr="00650DDB">
        <w:rPr>
          <w:sz w:val="24"/>
          <w:lang w:val="hr-HR"/>
        </w:rPr>
        <w:t xml:space="preserve">28., ELI: </w:t>
      </w:r>
      <w:hyperlink r:id="rId4" w:history="1">
        <w:r w:rsidRPr="00650DDB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650DDB">
        <w:rPr>
          <w:sz w:val="24"/>
          <w:lang w:val="hr-HR"/>
        </w:rPr>
        <w:t>.</w:t>
      </w:r>
    </w:p>
  </w:footnote>
  <w:footnote w:id="5">
    <w:p w:rsidR="00B721DB" w:rsidRPr="00650DDB" w:rsidRDefault="00B721DB" w:rsidP="00650DDB">
      <w:pPr>
        <w:pStyle w:val="FootnoteText"/>
        <w:ind w:left="567" w:hanging="567"/>
        <w:rPr>
          <w:sz w:val="24"/>
          <w:lang w:val="hr-HR"/>
        </w:rPr>
      </w:pPr>
      <w:r w:rsidRPr="00650DDB">
        <w:rPr>
          <w:rStyle w:val="FootnoteReference"/>
          <w:sz w:val="24"/>
          <w:lang w:val="hr-HR"/>
        </w:rPr>
        <w:footnoteRef/>
      </w:r>
      <w:r w:rsidR="00650DDB" w:rsidRPr="00650DDB">
        <w:rPr>
          <w:sz w:val="24"/>
          <w:lang w:val="hr-HR"/>
        </w:rPr>
        <w:t xml:space="preserve"> </w:t>
      </w:r>
      <w:r w:rsidR="00650DDB" w:rsidRPr="00650DDB">
        <w:rPr>
          <w:sz w:val="24"/>
          <w:lang w:val="hr-HR"/>
        </w:rPr>
        <w:tab/>
      </w:r>
      <w:r w:rsidRPr="00650DDB">
        <w:rPr>
          <w:sz w:val="24"/>
          <w:lang w:val="hr-HR"/>
        </w:rPr>
        <w:t>U smislu članka 3. Uredbe o EGF-u.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D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D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D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4"/>
    <w:docVar w:name="dvlangue" w:val="HR"/>
    <w:docVar w:name="dvnumam" w:val="0"/>
    <w:docVar w:name="dvpe" w:val="765.241"/>
    <w:docVar w:name="dvrapporteur" w:val="Izvjestitelj: "/>
    <w:docVar w:name="dvtitre" w:val="Rezolucija Europskog parlamenta od .... 2024. o Prijedlogu odluke Europskog parlamenta i Vijeća o mobilizaciji Europskog fonda za prilagodbu globalizaciji za radnike koji su proglašeni viškom na temelju zahtjeva Belgije – EGF/2024/002 BE/Strojevi i papir Limbourg(COM(2024)0370 – C10-0166/2024 – 2024/0286(BUD))"/>
  </w:docVars>
  <w:rsids>
    <w:rsidRoot w:val="000B459C"/>
    <w:rsid w:val="00002272"/>
    <w:rsid w:val="00064002"/>
    <w:rsid w:val="000677B9"/>
    <w:rsid w:val="000831BA"/>
    <w:rsid w:val="000A42CC"/>
    <w:rsid w:val="000B459C"/>
    <w:rsid w:val="000E7DD9"/>
    <w:rsid w:val="0010095E"/>
    <w:rsid w:val="00125B37"/>
    <w:rsid w:val="00171EBD"/>
    <w:rsid w:val="00187494"/>
    <w:rsid w:val="001F32AE"/>
    <w:rsid w:val="002767FF"/>
    <w:rsid w:val="002B18FE"/>
    <w:rsid w:val="002B5493"/>
    <w:rsid w:val="00343214"/>
    <w:rsid w:val="00361C00"/>
    <w:rsid w:val="003907D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5AB"/>
    <w:rsid w:val="00560270"/>
    <w:rsid w:val="005C1212"/>
    <w:rsid w:val="005C2568"/>
    <w:rsid w:val="005F1B17"/>
    <w:rsid w:val="0060260F"/>
    <w:rsid w:val="006037C0"/>
    <w:rsid w:val="00650DD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B19"/>
    <w:rsid w:val="007D1690"/>
    <w:rsid w:val="007E22AD"/>
    <w:rsid w:val="007E56CB"/>
    <w:rsid w:val="00817416"/>
    <w:rsid w:val="00842779"/>
    <w:rsid w:val="00865F67"/>
    <w:rsid w:val="00881A7B"/>
    <w:rsid w:val="008840E5"/>
    <w:rsid w:val="00887B3E"/>
    <w:rsid w:val="008C2AC6"/>
    <w:rsid w:val="008D164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A2A"/>
    <w:rsid w:val="00B721D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58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7DBD1"/>
  <w15:chartTrackingRefBased/>
  <w15:docId w15:val="{2FEDFE1A-4F86-4370-8072-8CFDF422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721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B721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721D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721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21DB"/>
    <w:rPr>
      <w:sz w:val="24"/>
      <w:lang w:val="hr-HR"/>
    </w:rPr>
  </w:style>
  <w:style w:type="paragraph" w:customStyle="1" w:styleId="NormalBold24a">
    <w:name w:val="NormalBold24a"/>
    <w:basedOn w:val="Normal"/>
    <w:rsid w:val="00B721DB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B721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721D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721DB"/>
    <w:rPr>
      <w:sz w:val="24"/>
      <w:lang w:val="hr-HR"/>
    </w:rPr>
  </w:style>
  <w:style w:type="character" w:styleId="Hyperlink">
    <w:name w:val="Hyperlink"/>
    <w:basedOn w:val="DefaultParagraphFont"/>
    <w:rsid w:val="00B721DB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721DB"/>
    <w:rPr>
      <w:i/>
      <w:iCs/>
    </w:rPr>
  </w:style>
  <w:style w:type="paragraph" w:customStyle="1" w:styleId="Institutionquisigne">
    <w:name w:val="Institution qui signe"/>
    <w:basedOn w:val="Normal"/>
    <w:next w:val="Normal"/>
    <w:rsid w:val="00B721D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721D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721D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721D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721D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721DB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B721DB"/>
    <w:rPr>
      <w:rFonts w:ascii="Arial" w:hAnsi="Arial" w:cs="Arial"/>
      <w:b/>
      <w:sz w:val="24"/>
      <w:lang w:val="hr-HR"/>
    </w:rPr>
  </w:style>
  <w:style w:type="character" w:styleId="FollowedHyperlink">
    <w:name w:val="FollowedHyperlink"/>
    <w:basedOn w:val="DefaultParagraphFont"/>
    <w:rsid w:val="007E56C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5C12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1212"/>
    <w:rPr>
      <w:rFonts w:ascii="Segoe UI" w:hAnsi="Segoe UI" w:cs="Segoe UI"/>
      <w:sz w:val="18"/>
      <w:szCs w:val="18"/>
      <w:lang w:val="hr-HR"/>
    </w:rPr>
  </w:style>
  <w:style w:type="paragraph" w:styleId="Footer">
    <w:name w:val="footer"/>
    <w:basedOn w:val="Normal"/>
    <w:link w:val="FooterChar"/>
    <w:rsid w:val="00B71A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71A2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A8E7F-6AA2-4200-840F-584E8E95F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1618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2025-02-13T15:17:00Z</dcterms:created>
  <dcterms:modified xsi:type="dcterms:W3CDTF">2025-02-13T15:17:00Z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P10_TA(2024)0062_</vt:lpwstr>
  </property>
  <property fmtid="{D5CDD505-2E9C-101B-9397-08002B2CF9AE}" pid="4" name="&lt;Type&gt;">
    <vt:lpwstr>RR</vt:lpwstr>
  </property>
</Properties>
</file>