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1CCD" w:rsidTr="0010095E">
        <w:trPr>
          <w:trHeight w:hRule="exact" w:val="1418"/>
        </w:trPr>
        <w:tc>
          <w:tcPr>
            <w:tcW w:w="6804" w:type="dxa"/>
            <w:shd w:val="clear" w:color="auto" w:fill="auto"/>
            <w:vAlign w:val="center"/>
          </w:tcPr>
          <w:p w:rsidR="00751A4A" w:rsidRPr="008D1CCD" w:rsidRDefault="007A0CE0" w:rsidP="0010095E">
            <w:pPr>
              <w:pStyle w:val="EPName"/>
            </w:pPr>
            <w:r w:rsidRPr="008D1CCD">
              <w:t>Eiropas Parlaments</w:t>
            </w:r>
          </w:p>
          <w:p w:rsidR="00751A4A" w:rsidRPr="008D1CCD" w:rsidRDefault="005F1B17" w:rsidP="005F1B17">
            <w:pPr>
              <w:pStyle w:val="EPTerm"/>
              <w:rPr>
                <w:rStyle w:val="HideTWBExt"/>
                <w:noProof w:val="0"/>
                <w:vanish w:val="0"/>
                <w:color w:val="auto"/>
              </w:rPr>
            </w:pPr>
            <w:r w:rsidRPr="008D1CCD">
              <w:t>2024</w:t>
            </w:r>
            <w:r w:rsidR="00817416" w:rsidRPr="008D1CCD">
              <w:t>-202</w:t>
            </w:r>
            <w:r w:rsidRPr="008D1CCD">
              <w:t>9</w:t>
            </w:r>
          </w:p>
        </w:tc>
        <w:tc>
          <w:tcPr>
            <w:tcW w:w="2268" w:type="dxa"/>
            <w:shd w:val="clear" w:color="auto" w:fill="auto"/>
          </w:tcPr>
          <w:p w:rsidR="00751A4A" w:rsidRPr="008D1CCD" w:rsidRDefault="00187494" w:rsidP="0010095E">
            <w:pPr>
              <w:pStyle w:val="EPLogo"/>
            </w:pPr>
            <w:r w:rsidRPr="008D1C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1CCD" w:rsidRDefault="00D058B8" w:rsidP="004C5D52">
      <w:pPr>
        <w:pStyle w:val="LineTop"/>
      </w:pPr>
    </w:p>
    <w:p w:rsidR="00680577" w:rsidRPr="008D1CCD" w:rsidRDefault="007A0CE0" w:rsidP="00680577">
      <w:pPr>
        <w:pStyle w:val="EPBodyTA1"/>
      </w:pPr>
      <w:r w:rsidRPr="008D1CCD">
        <w:t>PIEŅEMTIE TEKSTI</w:t>
      </w:r>
    </w:p>
    <w:p w:rsidR="00D058B8" w:rsidRPr="008D1CCD" w:rsidRDefault="00D058B8" w:rsidP="00D058B8">
      <w:pPr>
        <w:pStyle w:val="LineBottom"/>
      </w:pPr>
    </w:p>
    <w:p w:rsidR="007A0CE0" w:rsidRPr="008D1CCD" w:rsidRDefault="007A0CE0" w:rsidP="007A0CE0">
      <w:pPr>
        <w:pStyle w:val="ATHeading1"/>
      </w:pPr>
      <w:bookmarkStart w:id="0" w:name="TANumber"/>
      <w:r w:rsidRPr="008D1CCD">
        <w:t>P10_TA(2024)00</w:t>
      </w:r>
      <w:bookmarkEnd w:id="0"/>
      <w:r w:rsidR="008D1CCD" w:rsidRPr="008D1CCD">
        <w:t>62</w:t>
      </w:r>
    </w:p>
    <w:p w:rsidR="007A0CE0" w:rsidRPr="008D1CCD" w:rsidRDefault="0034535F" w:rsidP="0034535F">
      <w:pPr>
        <w:pStyle w:val="ATHeading2"/>
      </w:pPr>
      <w:r w:rsidRPr="008D1CCD">
        <w:t>Eiropas Globalizācijas pielāgošanās fonda darbu zaudējušiem darba ņēmējiem izmantošana — Beļģijas pieteikums EGF/2024/002 BE/</w:t>
      </w:r>
      <w:proofErr w:type="spellStart"/>
      <w:r w:rsidRPr="008D1CCD">
        <w:rPr>
          <w:i/>
        </w:rPr>
        <w:t>Limburg</w:t>
      </w:r>
      <w:proofErr w:type="spellEnd"/>
      <w:r w:rsidRPr="008D1CCD">
        <w:rPr>
          <w:i/>
        </w:rPr>
        <w:t xml:space="preserve"> </w:t>
      </w:r>
      <w:proofErr w:type="spellStart"/>
      <w:r w:rsidRPr="008D1CCD">
        <w:rPr>
          <w:i/>
        </w:rPr>
        <w:t>machinery</w:t>
      </w:r>
      <w:proofErr w:type="spellEnd"/>
      <w:r w:rsidRPr="008D1CCD">
        <w:rPr>
          <w:i/>
        </w:rPr>
        <w:t xml:space="preserve"> </w:t>
      </w:r>
      <w:proofErr w:type="spellStart"/>
      <w:r w:rsidRPr="008D1CCD">
        <w:rPr>
          <w:i/>
        </w:rPr>
        <w:t>and</w:t>
      </w:r>
      <w:proofErr w:type="spellEnd"/>
      <w:r w:rsidRPr="008D1CCD">
        <w:rPr>
          <w:i/>
        </w:rPr>
        <w:t xml:space="preserve"> paper</w:t>
      </w:r>
    </w:p>
    <w:p w:rsidR="007A0CE0" w:rsidRPr="008D1CCD" w:rsidRDefault="007A0CE0" w:rsidP="007A0CE0">
      <w:pPr>
        <w:rPr>
          <w:i/>
          <w:vanish/>
        </w:rPr>
      </w:pPr>
      <w:r w:rsidRPr="008D1CCD">
        <w:rPr>
          <w:i/>
        </w:rPr>
        <w:fldChar w:fldCharType="begin"/>
      </w:r>
      <w:r w:rsidRPr="008D1CCD">
        <w:rPr>
          <w:i/>
        </w:rPr>
        <w:instrText xml:space="preserve"> TC"(</w:instrText>
      </w:r>
      <w:bookmarkStart w:id="1" w:name="DocNumber"/>
      <w:r w:rsidRPr="008D1CCD">
        <w:rPr>
          <w:i/>
        </w:rPr>
        <w:instrText>A10-0019/2024</w:instrText>
      </w:r>
      <w:bookmarkEnd w:id="1"/>
      <w:r w:rsidRPr="008D1CCD">
        <w:rPr>
          <w:i/>
        </w:rPr>
        <w:instrText xml:space="preserve"> - Referents: Matjaž Nemec)"\l3 \n&gt; \* MERGEFORMAT </w:instrText>
      </w:r>
      <w:r w:rsidRPr="008D1CCD">
        <w:rPr>
          <w:i/>
        </w:rPr>
        <w:fldChar w:fldCharType="end"/>
      </w:r>
    </w:p>
    <w:p w:rsidR="007A0CE0" w:rsidRPr="008D1CCD" w:rsidRDefault="007A0CE0" w:rsidP="007A0CE0">
      <w:pPr>
        <w:rPr>
          <w:vanish/>
        </w:rPr>
      </w:pPr>
      <w:bookmarkStart w:id="2" w:name="Commission"/>
      <w:r w:rsidRPr="008D1CCD">
        <w:rPr>
          <w:vanish/>
        </w:rPr>
        <w:t>Budžeta komiteja</w:t>
      </w:r>
      <w:bookmarkEnd w:id="2"/>
    </w:p>
    <w:p w:rsidR="007A0CE0" w:rsidRPr="008D1CCD" w:rsidRDefault="007A0CE0" w:rsidP="007A0CE0">
      <w:pPr>
        <w:rPr>
          <w:vanish/>
        </w:rPr>
      </w:pPr>
      <w:bookmarkStart w:id="3" w:name="PE"/>
      <w:r w:rsidRPr="008D1CCD">
        <w:rPr>
          <w:vanish/>
        </w:rPr>
        <w:t>PE765.241</w:t>
      </w:r>
      <w:bookmarkEnd w:id="3"/>
    </w:p>
    <w:p w:rsidR="00125C35" w:rsidRPr="008D1CCD" w:rsidRDefault="007A0CE0" w:rsidP="0034535F">
      <w:pPr>
        <w:pStyle w:val="ATHeading3"/>
      </w:pPr>
      <w:bookmarkStart w:id="4" w:name="Sujet"/>
      <w:r w:rsidRPr="008D1CCD">
        <w:t xml:space="preserve">Eiropas Parlamenta 2024. gada </w:t>
      </w:r>
      <w:r w:rsidR="0034535F" w:rsidRPr="008D1CCD">
        <w:t>17</w:t>
      </w:r>
      <w:r w:rsidRPr="008D1CCD">
        <w:t xml:space="preserve">. </w:t>
      </w:r>
      <w:r w:rsidR="0034535F" w:rsidRPr="008D1CCD">
        <w:t>decembra</w:t>
      </w:r>
      <w:r w:rsidRPr="008D1CCD">
        <w:t xml:space="preserve"> rezolūcija par priekšlikumu Eiropas Parlamenta un Padomes lēmumam par Eiropas Globalizācijas pielāgošanās fonda darbu zaudējušiem darba ņēmējiem izmantošanu saistībā ar Beļģijas iesniegto pieteikumu EGF/2024/002 BE/</w:t>
      </w:r>
      <w:proofErr w:type="spellStart"/>
      <w:r w:rsidRPr="008D1CCD">
        <w:rPr>
          <w:i/>
        </w:rPr>
        <w:t>Limburg</w:t>
      </w:r>
      <w:proofErr w:type="spellEnd"/>
      <w:r w:rsidRPr="008D1CCD">
        <w:rPr>
          <w:i/>
        </w:rPr>
        <w:t xml:space="preserve"> </w:t>
      </w:r>
      <w:proofErr w:type="spellStart"/>
      <w:r w:rsidRPr="008D1CCD">
        <w:rPr>
          <w:i/>
        </w:rPr>
        <w:t>machinery</w:t>
      </w:r>
      <w:proofErr w:type="spellEnd"/>
      <w:r w:rsidRPr="008D1CCD">
        <w:rPr>
          <w:i/>
        </w:rPr>
        <w:t xml:space="preserve"> </w:t>
      </w:r>
      <w:proofErr w:type="spellStart"/>
      <w:r w:rsidRPr="008D1CCD">
        <w:rPr>
          <w:i/>
        </w:rPr>
        <w:t>and</w:t>
      </w:r>
      <w:proofErr w:type="spellEnd"/>
      <w:r w:rsidRPr="008D1CCD">
        <w:rPr>
          <w:i/>
        </w:rPr>
        <w:t xml:space="preserve"> paper</w:t>
      </w:r>
      <w:bookmarkEnd w:id="4"/>
      <w:r w:rsidRPr="008D1CCD">
        <w:t xml:space="preserve"> </w:t>
      </w:r>
      <w:bookmarkStart w:id="5" w:name="References"/>
      <w:r w:rsidRPr="008D1CCD">
        <w:t>(COM(2024)0370 – C10-0166/2024 – 2024/0286(BUD))</w:t>
      </w:r>
      <w:bookmarkEnd w:id="5"/>
    </w:p>
    <w:p w:rsidR="00125C35" w:rsidRPr="008D1CCD" w:rsidRDefault="00125C35" w:rsidP="00125C35">
      <w:pPr>
        <w:pStyle w:val="EPComma"/>
        <w:rPr>
          <w:noProof/>
        </w:rPr>
      </w:pPr>
      <w:r w:rsidRPr="008D1CCD">
        <w:rPr>
          <w:i/>
        </w:rPr>
        <w:t>Eiropas Parlaments</w:t>
      </w:r>
      <w:r w:rsidRPr="008D1CCD">
        <w:t>,</w:t>
      </w:r>
    </w:p>
    <w:p w:rsidR="00125C35" w:rsidRPr="008D1CCD" w:rsidRDefault="00125C35" w:rsidP="00DF2D18">
      <w:pPr>
        <w:pStyle w:val="NormalHanging12a"/>
        <w:rPr>
          <w:noProof/>
        </w:rPr>
      </w:pPr>
      <w:r w:rsidRPr="008D1CCD">
        <w:t>–</w:t>
      </w:r>
      <w:r w:rsidRPr="008D1CCD">
        <w:tab/>
        <w:t>ņemot vērā Komisijas priekšlikumu Eiropas Parlamentam un Padomei (COM(2024)0370 – C10</w:t>
      </w:r>
      <w:r w:rsidRPr="008D1CCD">
        <w:noBreakHyphen/>
        <w:t>0166/2024),</w:t>
      </w:r>
    </w:p>
    <w:p w:rsidR="00125C35" w:rsidRPr="008D1CCD" w:rsidRDefault="00125C35" w:rsidP="002B2BC0">
      <w:pPr>
        <w:pStyle w:val="NormalHanging12a"/>
      </w:pPr>
      <w:r w:rsidRPr="008D1CCD">
        <w:t>–</w:t>
      </w:r>
      <w:r w:rsidRPr="008D1CCD">
        <w:tab/>
        <w:t>ņemot vērā Eiropas Parlamenta un Padomes 2021. gada 28. aprīļa Regulu (ES) 2021/691 par Eiropas Globalizācijas pielāgošanās fondu darbu zaudējušiem darba ņēmējiem (EGF) un ar ko atceļ Regulu (ES) Nr. 1309/2013</w:t>
      </w:r>
      <w:r w:rsidRPr="008D1CCD">
        <w:rPr>
          <w:rStyle w:val="FootnoteReference"/>
          <w:noProof/>
        </w:rPr>
        <w:footnoteReference w:id="1"/>
      </w:r>
      <w:r w:rsidRPr="008D1CCD">
        <w:t xml:space="preserve"> (“EGF regula”),</w:t>
      </w:r>
    </w:p>
    <w:p w:rsidR="00125C35" w:rsidRPr="008D1CCD" w:rsidRDefault="00125C35" w:rsidP="002B2BC0">
      <w:pPr>
        <w:pStyle w:val="NormalHanging12a"/>
        <w:rPr>
          <w:noProof/>
        </w:rPr>
      </w:pPr>
      <w:r w:rsidRPr="008D1CCD">
        <w:t>–</w:t>
      </w:r>
      <w:r w:rsidRPr="008D1CCD">
        <w:tab/>
        <w:t xml:space="preserve">ņemot vērā Padomes 2020. gada 17. decembra Regulu (ES, </w:t>
      </w:r>
      <w:r w:rsidRPr="008D1CCD">
        <w:rPr>
          <w:i/>
        </w:rPr>
        <w:t>Euratom</w:t>
      </w:r>
      <w:r w:rsidRPr="008D1CCD">
        <w:t>) 2020/2093, ar ko nosaka daudzgadu finanšu shēmu 2021.–2027. gadam</w:t>
      </w:r>
      <w:r w:rsidRPr="008D1CCD">
        <w:rPr>
          <w:rStyle w:val="FootnoteReference"/>
          <w:noProof/>
        </w:rPr>
        <w:footnoteReference w:id="2"/>
      </w:r>
      <w:r w:rsidRPr="008D1CCD">
        <w:t xml:space="preserve">, kurā izdarīti grozījumi ar </w:t>
      </w:r>
      <w:r w:rsidR="0034535F" w:rsidRPr="008D1CCD">
        <w:t xml:space="preserve">Padomes </w:t>
      </w:r>
      <w:r w:rsidRPr="008D1CCD">
        <w:t xml:space="preserve">Regulu (ES, </w:t>
      </w:r>
      <w:r w:rsidRPr="008D1CCD">
        <w:rPr>
          <w:i/>
        </w:rPr>
        <w:t>Euratom</w:t>
      </w:r>
      <w:r w:rsidRPr="008D1CCD">
        <w:t>) 2024/765</w:t>
      </w:r>
      <w:r w:rsidRPr="008D1CCD">
        <w:rPr>
          <w:rStyle w:val="FootnoteReference"/>
          <w:bdr w:val="none" w:sz="0" w:space="0" w:color="auto" w:frame="1"/>
        </w:rPr>
        <w:footnoteReference w:id="3"/>
      </w:r>
      <w:r w:rsidRPr="008D1CCD">
        <w:t>, un jo īpaši tās 8. pantu,</w:t>
      </w:r>
    </w:p>
    <w:p w:rsidR="00125C35" w:rsidRPr="008D1CCD" w:rsidRDefault="00125C35" w:rsidP="002B2BC0">
      <w:pPr>
        <w:pStyle w:val="NormalHanging12a"/>
        <w:rPr>
          <w:noProof/>
        </w:rPr>
      </w:pPr>
      <w:r w:rsidRPr="008D1CCD">
        <w:t>–</w:t>
      </w:r>
      <w:r w:rsidRPr="008D1CCD">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8D1CCD">
        <w:rPr>
          <w:rStyle w:val="FootnoteReference"/>
          <w:noProof/>
        </w:rPr>
        <w:footnoteReference w:id="4"/>
      </w:r>
      <w:r w:rsidRPr="008D1CCD">
        <w:t>, un jo īpaši tā 9. punktu,</w:t>
      </w:r>
    </w:p>
    <w:p w:rsidR="00125C35" w:rsidRPr="008D1CCD" w:rsidRDefault="00125C35" w:rsidP="002B2BC0">
      <w:pPr>
        <w:pStyle w:val="NormalHanging12a"/>
        <w:rPr>
          <w:noProof/>
        </w:rPr>
      </w:pPr>
      <w:r w:rsidRPr="008D1CCD">
        <w:t>–</w:t>
      </w:r>
      <w:r w:rsidRPr="008D1CCD">
        <w:tab/>
        <w:t xml:space="preserve">ņemot vērā Eiropas sociālo tiesību pīlāra principus un Eiropas sociālo tiesību pīlāra rīcības plānā noteiktos </w:t>
      </w:r>
      <w:proofErr w:type="spellStart"/>
      <w:r w:rsidRPr="008D1CCD">
        <w:t>mērķrādītājus</w:t>
      </w:r>
      <w:proofErr w:type="spellEnd"/>
      <w:r w:rsidRPr="008D1CCD">
        <w:t>,</w:t>
      </w:r>
    </w:p>
    <w:p w:rsidR="00125C35" w:rsidRPr="008D1CCD" w:rsidRDefault="00125C35" w:rsidP="002B2BC0">
      <w:pPr>
        <w:pStyle w:val="NormalHanging12a"/>
      </w:pPr>
      <w:r w:rsidRPr="008D1CCD">
        <w:lastRenderedPageBreak/>
        <w:t>–</w:t>
      </w:r>
      <w:r w:rsidRPr="008D1CCD">
        <w:tab/>
        <w:t>ņemot vērā Nodarbinātības un sociālo lietu komitejas vēstuli,</w:t>
      </w:r>
    </w:p>
    <w:p w:rsidR="00125C35" w:rsidRPr="008D1CCD" w:rsidRDefault="00125C35" w:rsidP="002B2BC0">
      <w:pPr>
        <w:pStyle w:val="NormalHanging12a"/>
      </w:pPr>
      <w:r w:rsidRPr="008D1CCD">
        <w:t>–</w:t>
      </w:r>
      <w:r w:rsidRPr="008D1CCD">
        <w:tab/>
        <w:t>ņemot vērā Budžeta komitejas ziņojumu (A10-0019/2024),</w:t>
      </w:r>
    </w:p>
    <w:p w:rsidR="00125C35" w:rsidRPr="008D1CCD" w:rsidRDefault="00125C35" w:rsidP="002B2BC0">
      <w:pPr>
        <w:pStyle w:val="NormalHanging12a"/>
      </w:pPr>
      <w:r w:rsidRPr="008D1CCD">
        <w:t>A.</w:t>
      </w:r>
      <w:r w:rsidRPr="008D1CCD">
        <w:tab/>
        <w:t>tā kā Savienība ir izveidojusi likumdošanas un budžeta instrumentus, lai sniegtu papildu atbalstu darba ņēmējiem, kurus nelabvēlīgi ietekmējušas lielas strukturālas pārmaiņas pasaules tirdzniecības modeļos vai globālā finanšu un ekonomikas krīze, un lai palīdzētu viņiem no jauna iekļauties darba tirgū; tā kā šī palīdzība izpaužas kā finansiāls atbalsts darba ņēmējiem un uzņēmumiem, kuros tie strādājuši;</w:t>
      </w:r>
    </w:p>
    <w:p w:rsidR="00125C35" w:rsidRPr="008D1CCD" w:rsidRDefault="00125C35" w:rsidP="002B2BC0">
      <w:pPr>
        <w:pStyle w:val="NormalHanging12a"/>
      </w:pPr>
      <w:r w:rsidRPr="008D1CCD">
        <w:t>B.</w:t>
      </w:r>
      <w:r w:rsidRPr="008D1CCD">
        <w:tab/>
        <w:t>tā kā Beļģija ir iesniegusi pieteikumu EGF/2024/002 BE</w:t>
      </w:r>
      <w:r w:rsidRPr="008D1CCD">
        <w:rPr>
          <w:i/>
        </w:rPr>
        <w:t>/</w:t>
      </w:r>
      <w:proofErr w:type="spellStart"/>
      <w:r w:rsidRPr="008D1CCD">
        <w:rPr>
          <w:i/>
        </w:rPr>
        <w:t>Limburg</w:t>
      </w:r>
      <w:proofErr w:type="spellEnd"/>
      <w:r w:rsidRPr="008D1CCD">
        <w:rPr>
          <w:i/>
        </w:rPr>
        <w:t xml:space="preserve"> </w:t>
      </w:r>
      <w:proofErr w:type="spellStart"/>
      <w:r w:rsidRPr="008D1CCD">
        <w:rPr>
          <w:i/>
        </w:rPr>
        <w:t>machinery</w:t>
      </w:r>
      <w:proofErr w:type="spellEnd"/>
      <w:r w:rsidRPr="008D1CCD">
        <w:rPr>
          <w:i/>
        </w:rPr>
        <w:t xml:space="preserve"> </w:t>
      </w:r>
      <w:proofErr w:type="spellStart"/>
      <w:r w:rsidRPr="008D1CCD">
        <w:rPr>
          <w:i/>
        </w:rPr>
        <w:t>and</w:t>
      </w:r>
      <w:proofErr w:type="spellEnd"/>
      <w:r w:rsidRPr="008D1CCD">
        <w:rPr>
          <w:i/>
        </w:rPr>
        <w:t xml:space="preserve"> paper</w:t>
      </w:r>
      <w:r w:rsidRPr="008D1CCD">
        <w:t xml:space="preserve">, lai saņemtu finansiālu ieguldījumu no Eiropas Globalizācijas pielāgošanās fonda (EGF) saistībā ar to, ka atsauces periodā, kas attiecas uz pieteikumu, no 2023. gada 31. decembra līdz 2024. gada 30. aprīlim </w:t>
      </w:r>
      <w:proofErr w:type="spellStart"/>
      <w:r w:rsidRPr="008D1CCD">
        <w:t>Limburgas</w:t>
      </w:r>
      <w:proofErr w:type="spellEnd"/>
      <w:r w:rsidRPr="008D1CCD">
        <w:t xml:space="preserve"> provincē ir atlaists 681 darbinieks</w:t>
      </w:r>
      <w:r w:rsidRPr="008D1CCD">
        <w:rPr>
          <w:rStyle w:val="FootnoteReference"/>
        </w:rPr>
        <w:footnoteReference w:id="5"/>
      </w:r>
      <w:r w:rsidRPr="008D1CCD">
        <w:t xml:space="preserve"> saimnieciskās darbības nozarēs, kas klasificētas </w:t>
      </w:r>
      <w:r w:rsidRPr="008D1CCD">
        <w:rPr>
          <w:i/>
        </w:rPr>
        <w:t>NACE</w:t>
      </w:r>
      <w:r w:rsidRPr="008D1CCD">
        <w:t xml:space="preserve"> 2. redakcijas 17. nodaļā (“Papīra un papīra izstrādājumu ražošana”) un 28. nodaļā (“Citur neklasificētu iekārtu, mehānismu un darba mašīnu ražošana”);</w:t>
      </w:r>
    </w:p>
    <w:p w:rsidR="00125C35" w:rsidRPr="008D1CCD" w:rsidRDefault="00125C35" w:rsidP="002B2BC0">
      <w:pPr>
        <w:pStyle w:val="NormalHanging12a"/>
      </w:pPr>
      <w:r w:rsidRPr="008D1CCD">
        <w:t>C.</w:t>
      </w:r>
      <w:r w:rsidRPr="008D1CCD">
        <w:tab/>
        <w:t xml:space="preserve">tā kā šis pieteikums attiecas uz 567 darbiniekiem, kas atlaisti uzņēmumā </w:t>
      </w:r>
      <w:proofErr w:type="spellStart"/>
      <w:r w:rsidRPr="008D1CCD">
        <w:rPr>
          <w:i/>
        </w:rPr>
        <w:t>Sappi</w:t>
      </w:r>
      <w:proofErr w:type="spellEnd"/>
      <w:r w:rsidRPr="008D1CCD">
        <w:rPr>
          <w:i/>
        </w:rPr>
        <w:t xml:space="preserve"> </w:t>
      </w:r>
      <w:proofErr w:type="spellStart"/>
      <w:r w:rsidRPr="008D1CCD">
        <w:rPr>
          <w:i/>
        </w:rPr>
        <w:t>Lanaken</w:t>
      </w:r>
      <w:proofErr w:type="spellEnd"/>
      <w:r w:rsidRPr="008D1CCD">
        <w:rPr>
          <w:i/>
        </w:rPr>
        <w:t xml:space="preserve"> NV</w:t>
      </w:r>
      <w:r w:rsidRPr="008D1CCD">
        <w:t xml:space="preserve"> (papīrs), un 114 darbiniekiem</w:t>
      </w:r>
      <w:r w:rsidR="00AB42F1" w:rsidRPr="008D1CCD">
        <w:t>, kas atlaisti</w:t>
      </w:r>
      <w:r w:rsidRPr="008D1CCD">
        <w:t xml:space="preserve"> uzņēmumā </w:t>
      </w:r>
      <w:proofErr w:type="spellStart"/>
      <w:r w:rsidRPr="008D1CCD">
        <w:rPr>
          <w:i/>
        </w:rPr>
        <w:t>Purmo</w:t>
      </w:r>
      <w:proofErr w:type="spellEnd"/>
      <w:r w:rsidRPr="008D1CCD">
        <w:rPr>
          <w:i/>
        </w:rPr>
        <w:t xml:space="preserve"> </w:t>
      </w:r>
      <w:proofErr w:type="spellStart"/>
      <w:r w:rsidRPr="008D1CCD">
        <w:rPr>
          <w:i/>
        </w:rPr>
        <w:t>Group</w:t>
      </w:r>
      <w:proofErr w:type="spellEnd"/>
      <w:r w:rsidRPr="008D1CCD">
        <w:rPr>
          <w:i/>
        </w:rPr>
        <w:t xml:space="preserve"> </w:t>
      </w:r>
      <w:proofErr w:type="spellStart"/>
      <w:r w:rsidRPr="008D1CCD">
        <w:rPr>
          <w:i/>
        </w:rPr>
        <w:t>Belgium</w:t>
      </w:r>
      <w:proofErr w:type="spellEnd"/>
      <w:r w:rsidRPr="008D1CCD">
        <w:rPr>
          <w:i/>
        </w:rPr>
        <w:t xml:space="preserve"> NV</w:t>
      </w:r>
      <w:r w:rsidRPr="008D1CCD">
        <w:t xml:space="preserve"> (mehānismi);</w:t>
      </w:r>
    </w:p>
    <w:p w:rsidR="00125C35" w:rsidRPr="008D1CCD" w:rsidRDefault="00125C35" w:rsidP="002B2BC0">
      <w:pPr>
        <w:pStyle w:val="NormalHanging12a"/>
      </w:pPr>
      <w:r w:rsidRPr="008D1CCD">
        <w:t>D.</w:t>
      </w:r>
      <w:r w:rsidRPr="008D1CCD">
        <w:tab/>
        <w:t>tā kā pieteikums pamatojas uz EGF regulas 4. panta 2. punkta c) apakšpunktā minētajiem intervences kritērijiem, kuri par nosacījumu izvirza to, ka uzņēmumos, kas darbojas tajā pašā vai dažādās saimnieciskās darbības nozarēs un atrodas vienā un tajā pašā reģionā, četru mēnešu atsauces periodā ir atlaisti vismaz 200 darbinieki;</w:t>
      </w:r>
    </w:p>
    <w:p w:rsidR="00125C35" w:rsidRPr="008D1CCD" w:rsidRDefault="00125C35" w:rsidP="002B2BC0">
      <w:pPr>
        <w:pStyle w:val="NormalHanging12a"/>
      </w:pPr>
      <w:r w:rsidRPr="008D1CCD">
        <w:t>E.</w:t>
      </w:r>
      <w:r w:rsidRPr="008D1CCD">
        <w:tab/>
        <w:t>tā kā Covid-19 pandēmija un Krievijas agresijas karš pret Ukrainu ir samazinājuši ekonomikas konkurētspēju un negatīvi ietekmē ekonomikas izaugsmi Beļģijā;</w:t>
      </w:r>
    </w:p>
    <w:p w:rsidR="00125C35" w:rsidRPr="008D1CCD" w:rsidRDefault="00125C35" w:rsidP="002B2BC0">
      <w:pPr>
        <w:pStyle w:val="NormalHanging12a"/>
        <w:rPr>
          <w:rFonts w:eastAsia="Calibri"/>
          <w:szCs w:val="22"/>
        </w:rPr>
      </w:pPr>
      <w:r w:rsidRPr="008D1CCD">
        <w:t>F.</w:t>
      </w:r>
      <w:r w:rsidRPr="008D1CCD">
        <w:tab/>
        <w:t xml:space="preserve">tā kā </w:t>
      </w:r>
      <w:proofErr w:type="spellStart"/>
      <w:r w:rsidRPr="008D1CCD">
        <w:rPr>
          <w:i/>
        </w:rPr>
        <w:t>Sappi</w:t>
      </w:r>
      <w:proofErr w:type="spellEnd"/>
      <w:r w:rsidRPr="008D1CCD">
        <w:rPr>
          <w:i/>
        </w:rPr>
        <w:t xml:space="preserve"> </w:t>
      </w:r>
      <w:proofErr w:type="spellStart"/>
      <w:r w:rsidRPr="008D1CCD">
        <w:rPr>
          <w:i/>
        </w:rPr>
        <w:t>Lanaken</w:t>
      </w:r>
      <w:proofErr w:type="spellEnd"/>
      <w:r w:rsidRPr="008D1CCD">
        <w:t xml:space="preserve"> bija specializējies </w:t>
      </w:r>
      <w:proofErr w:type="spellStart"/>
      <w:r w:rsidRPr="008D1CCD">
        <w:t>bezkoksnes</w:t>
      </w:r>
      <w:proofErr w:type="spellEnd"/>
      <w:r w:rsidRPr="008D1CCD">
        <w:t xml:space="preserve"> </w:t>
      </w:r>
      <w:proofErr w:type="spellStart"/>
      <w:r w:rsidRPr="008D1CCD">
        <w:t>krītotā</w:t>
      </w:r>
      <w:proofErr w:type="spellEnd"/>
      <w:r w:rsidRPr="008D1CCD">
        <w:t xml:space="preserve"> papīra (</w:t>
      </w:r>
      <w:r w:rsidRPr="008D1CCD">
        <w:rPr>
          <w:i/>
        </w:rPr>
        <w:t>WCP</w:t>
      </w:r>
      <w:r w:rsidRPr="008D1CCD">
        <w:t xml:space="preserve">) ražošanā; tā kā pieaugošās </w:t>
      </w:r>
      <w:proofErr w:type="spellStart"/>
      <w:r w:rsidRPr="008D1CCD">
        <w:t>digitalizācijas</w:t>
      </w:r>
      <w:proofErr w:type="spellEnd"/>
      <w:r w:rsidRPr="008D1CCD">
        <w:t xml:space="preserve"> dēļ samazinās pieprasījums pēc grafiskiem izstrādājumiem un tāpēc Eiropas </w:t>
      </w:r>
      <w:r w:rsidRPr="008D1CCD">
        <w:rPr>
          <w:i/>
        </w:rPr>
        <w:t>WCP</w:t>
      </w:r>
      <w:r w:rsidRPr="008D1CCD">
        <w:t xml:space="preserve"> nozarē ir palielinājies jaudas pārpalikums; tā kā </w:t>
      </w:r>
      <w:proofErr w:type="spellStart"/>
      <w:r w:rsidRPr="008D1CCD">
        <w:rPr>
          <w:i/>
        </w:rPr>
        <w:t>Sappi</w:t>
      </w:r>
      <w:proofErr w:type="spellEnd"/>
      <w:r w:rsidRPr="008D1CCD">
        <w:rPr>
          <w:i/>
        </w:rPr>
        <w:t xml:space="preserve"> </w:t>
      </w:r>
      <w:proofErr w:type="spellStart"/>
      <w:r w:rsidRPr="008D1CCD">
        <w:rPr>
          <w:i/>
        </w:rPr>
        <w:t>Lanaken</w:t>
      </w:r>
      <w:proofErr w:type="spellEnd"/>
      <w:r w:rsidRPr="008D1CCD">
        <w:t xml:space="preserve"> nevarēja pāriet uz citu pieprasītāku papīra izstrādājumu ražošanu bez lieliem ieguldījumiem un šī iemesla dēļ </w:t>
      </w:r>
      <w:proofErr w:type="spellStart"/>
      <w:r w:rsidRPr="008D1CCD">
        <w:rPr>
          <w:i/>
        </w:rPr>
        <w:t>Sappi</w:t>
      </w:r>
      <w:proofErr w:type="spellEnd"/>
      <w:r w:rsidRPr="008D1CCD">
        <w:t xml:space="preserve"> grupa nolēma pārtraukt ražošanu </w:t>
      </w:r>
      <w:proofErr w:type="spellStart"/>
      <w:r w:rsidRPr="008D1CCD">
        <w:t>Lanākenā</w:t>
      </w:r>
      <w:proofErr w:type="spellEnd"/>
      <w:r w:rsidRPr="008D1CCD">
        <w:t xml:space="preserve"> un slēgt ražotni, jo ražošanas nozares strukturālā jaudas pārpalikuma dēļ nebija iespējams atrast piemērotu pircēju;</w:t>
      </w:r>
    </w:p>
    <w:p w:rsidR="00125C35" w:rsidRPr="008D1CCD" w:rsidRDefault="00125C35" w:rsidP="002B2BC0">
      <w:pPr>
        <w:pStyle w:val="NormalHanging12a"/>
        <w:rPr>
          <w:noProof/>
        </w:rPr>
      </w:pPr>
      <w:r w:rsidRPr="008D1CCD">
        <w:t>G.</w:t>
      </w:r>
      <w:r w:rsidRPr="008D1CCD">
        <w:tab/>
        <w:t xml:space="preserve">tā kā </w:t>
      </w:r>
      <w:proofErr w:type="spellStart"/>
      <w:r w:rsidRPr="008D1CCD">
        <w:rPr>
          <w:i/>
        </w:rPr>
        <w:t>Purmo</w:t>
      </w:r>
      <w:proofErr w:type="spellEnd"/>
      <w:r w:rsidRPr="008D1CCD">
        <w:rPr>
          <w:i/>
        </w:rPr>
        <w:t xml:space="preserve"> </w:t>
      </w:r>
      <w:proofErr w:type="spellStart"/>
      <w:r w:rsidRPr="008D1CCD">
        <w:rPr>
          <w:i/>
        </w:rPr>
        <w:t>Group</w:t>
      </w:r>
      <w:proofErr w:type="spellEnd"/>
      <w:r w:rsidRPr="008D1CCD">
        <w:t xml:space="preserve"> paneļu radiatoru ražošanas apjoms laikposmā no 2018. līdz 2023. gadam ir pastāvīgi samazinājies — no 820 000 vienībām 2018. gadā uz 320 000 vienībām 2023. gadā (-60 %); tā kā, salīdzinot dažādo </w:t>
      </w:r>
      <w:proofErr w:type="spellStart"/>
      <w:r w:rsidRPr="008D1CCD">
        <w:rPr>
          <w:i/>
        </w:rPr>
        <w:t>Purmo</w:t>
      </w:r>
      <w:proofErr w:type="spellEnd"/>
      <w:r w:rsidRPr="008D1CCD">
        <w:rPr>
          <w:i/>
        </w:rPr>
        <w:t xml:space="preserve"> </w:t>
      </w:r>
      <w:proofErr w:type="spellStart"/>
      <w:r w:rsidRPr="008D1CCD">
        <w:rPr>
          <w:i/>
        </w:rPr>
        <w:t>Group</w:t>
      </w:r>
      <w:proofErr w:type="spellEnd"/>
      <w:r w:rsidRPr="008D1CCD">
        <w:t xml:space="preserve"> rūpnīcu ražošanas izmaksas Eiropā, </w:t>
      </w:r>
      <w:proofErr w:type="spellStart"/>
      <w:r w:rsidRPr="008D1CCD">
        <w:t>Zonhovenas</w:t>
      </w:r>
      <w:proofErr w:type="spellEnd"/>
      <w:r w:rsidRPr="008D1CCD">
        <w:t xml:space="preserve"> ražotne ir nelabvēlīgā situācijā, jo tās izmaksas ir par 17–35 % augstākas; tā kā </w:t>
      </w:r>
      <w:proofErr w:type="spellStart"/>
      <w:r w:rsidRPr="008D1CCD">
        <w:rPr>
          <w:i/>
        </w:rPr>
        <w:t>Purmo</w:t>
      </w:r>
      <w:proofErr w:type="spellEnd"/>
      <w:r w:rsidRPr="008D1CCD">
        <w:rPr>
          <w:i/>
        </w:rPr>
        <w:t xml:space="preserve"> </w:t>
      </w:r>
      <w:proofErr w:type="spellStart"/>
      <w:r w:rsidRPr="008D1CCD">
        <w:rPr>
          <w:i/>
        </w:rPr>
        <w:t>Group</w:t>
      </w:r>
      <w:proofErr w:type="spellEnd"/>
      <w:r w:rsidRPr="008D1CCD">
        <w:t xml:space="preserve"> nolēma pārtraukt 50 mm paneļu radiatoru ražošanu </w:t>
      </w:r>
      <w:proofErr w:type="spellStart"/>
      <w:r w:rsidRPr="008D1CCD">
        <w:t>Zonhovenas</w:t>
      </w:r>
      <w:proofErr w:type="spellEnd"/>
      <w:r w:rsidRPr="008D1CCD">
        <w:t xml:space="preserve"> ražotnē un slēgt attiecīgo ražošanas līniju;  tā kā, ņemot vērā negaidīto situāciju saistībā ar gāzes pieejamību un cenām, ko izraisīja Krievijas agresijas karš pret Ukrainu, un Savienības tiesību aktus, kuri atbalsta zemas temperatūras siltumapgādes sistēmas, tādējādi negatīvi ietekmējot paneļu radiatorus, pieprasījuma atjaunošanās ir maz ticama, jo paneļu radiatoru tirgus arvien vairāk </w:t>
      </w:r>
      <w:r w:rsidRPr="008D1CCD">
        <w:lastRenderedPageBreak/>
        <w:t>pievērsīsies tikai lietošanā esošo vienību aizstāšanai;</w:t>
      </w:r>
    </w:p>
    <w:p w:rsidR="00125C35" w:rsidRPr="008D1CCD" w:rsidRDefault="00125C35" w:rsidP="002B2BC0">
      <w:pPr>
        <w:pStyle w:val="NormalHanging12a"/>
      </w:pPr>
      <w:r w:rsidRPr="008D1CCD">
        <w:t>H.</w:t>
      </w:r>
      <w:r w:rsidRPr="008D1CCD">
        <w:tab/>
        <w:t>tā kā abi uzņēmumi saskaņā ar Beļģijas tiesību aktiem ievēroja obligāto procedūru, kas paredzēta darbinieku pārstāvju informēšanai un uzklausīšanai, un ir izveidojuši nodarbinātības vienību, kuras mērķis ir nodrošināt pārcelšanas pakalpojumus kolektīvi atlaistajiem darbiniekiem;</w:t>
      </w:r>
    </w:p>
    <w:p w:rsidR="00125C35" w:rsidRPr="008D1CCD" w:rsidRDefault="00125C35" w:rsidP="002B2BC0">
      <w:pPr>
        <w:pStyle w:val="NormalHanging12a"/>
      </w:pPr>
      <w:r w:rsidRPr="008D1CCD">
        <w:t>I.</w:t>
      </w:r>
      <w:r w:rsidRPr="008D1CCD">
        <w:tab/>
        <w:t>tā kā EGF finansiālais ieguldījums galvenokārt būtu jānovirza aktīviem darba tirgus politikas pasākumiem un individualizētiem pakalpojumiem, kuru mērķis ir ātri no jauna integrēt atbalsta saņēmējus pienācīgā un ilgtspējīgā nodarbinātībā viņu sākotnējā darbības nozarē vai ārpus tās, vienlaikus sagatavojot tos zaļākai un digitālākai Eiropas ekonomikai;</w:t>
      </w:r>
    </w:p>
    <w:p w:rsidR="00125C35" w:rsidRPr="008D1CCD" w:rsidRDefault="00125C35" w:rsidP="002B2BC0">
      <w:pPr>
        <w:pStyle w:val="NormalHanging12a"/>
      </w:pPr>
      <w:r w:rsidRPr="008D1CCD">
        <w:t>J.</w:t>
      </w:r>
      <w:r w:rsidRPr="008D1CCD">
        <w:tab/>
        <w:t xml:space="preserve">tā kā EGF maksimālā gada summa nedrīkst pārsniegt 30 miljonus EUR (2018. gada cenās), kā noteikts 8. pantā </w:t>
      </w:r>
      <w:r w:rsidR="00DF2D18" w:rsidRPr="008D1CCD">
        <w:t xml:space="preserve">Padomes </w:t>
      </w:r>
      <w:r w:rsidRPr="008D1CCD">
        <w:t xml:space="preserve">Regulā (ES, </w:t>
      </w:r>
      <w:r w:rsidRPr="008D1CCD">
        <w:rPr>
          <w:i/>
        </w:rPr>
        <w:t>Euratom</w:t>
      </w:r>
      <w:r w:rsidRPr="008D1CCD">
        <w:t xml:space="preserve">) 2020/2093, kas grozīta ar </w:t>
      </w:r>
      <w:r w:rsidR="00DF2D18" w:rsidRPr="008D1CCD">
        <w:t xml:space="preserve">Padomes </w:t>
      </w:r>
      <w:r w:rsidRPr="008D1CCD">
        <w:t xml:space="preserve">Regulu (ES, </w:t>
      </w:r>
      <w:r w:rsidRPr="008D1CCD">
        <w:rPr>
          <w:i/>
        </w:rPr>
        <w:t>Euratom</w:t>
      </w:r>
      <w:r w:rsidRPr="008D1CCD">
        <w:t>) 2024/765,</w:t>
      </w:r>
    </w:p>
    <w:p w:rsidR="00125C35" w:rsidRPr="008D1CCD" w:rsidRDefault="00125C35" w:rsidP="002B2BC0">
      <w:pPr>
        <w:pStyle w:val="NormalHanging12a"/>
      </w:pPr>
      <w:r w:rsidRPr="008D1CCD">
        <w:t>1.</w:t>
      </w:r>
      <w:r w:rsidRPr="008D1CCD">
        <w:tab/>
        <w:t>piekrīt Komisijai, ka EGF regulas 4. panta 2. punkta c) apakšpunktā paredzētie nosacījumi ir ievēroti un ka Beļģija saskaņā ar minēto regulu ir tiesīga saņemt finansiālu ieguldījumu 704 135 EUR apmērā, kas ir 60 % no kopējām izmaksām, proti, 1 173 559 EUR, kuras ietver izdevumus par individualizētajiem pakalpojumiem 1 126 559 EUR apmērā un izdevumus par sagatavošanās, pārvaldības, informācijas un publicitātes, kontroles un ziņošanas darbībām 47 000 EUR apmērā;</w:t>
      </w:r>
    </w:p>
    <w:p w:rsidR="00125C35" w:rsidRPr="008D1CCD" w:rsidRDefault="00125C35" w:rsidP="002B2BC0">
      <w:pPr>
        <w:pStyle w:val="NormalHanging12a"/>
      </w:pPr>
      <w:r w:rsidRPr="008D1CCD">
        <w:t>2.</w:t>
      </w:r>
      <w:r w:rsidRPr="008D1CCD">
        <w:tab/>
        <w:t>pieņem zināšanai, ka Beļģijas iestādes pieteikumu iesniedza 2024. gada 19. jūlijā un ka pēc tam, kad Beļģija bija sniegusi papildu informāciju, Komisija pieteikuma novērtēšanu pabeidza 2024. gada 5. novembrī, tajā pašā dienā to darot zināmu Parlamentam;</w:t>
      </w:r>
    </w:p>
    <w:p w:rsidR="00125C35" w:rsidRPr="008D1CCD" w:rsidRDefault="00125C35" w:rsidP="002B2BC0">
      <w:pPr>
        <w:pStyle w:val="NormalHanging12a"/>
      </w:pPr>
      <w:r w:rsidRPr="008D1CCD">
        <w:t>3.</w:t>
      </w:r>
      <w:r w:rsidRPr="008D1CCD">
        <w:tab/>
        <w:t xml:space="preserve">norāda, ka pieteikums attiecas uz 567 darbiniekiem, kas atlaisti uzņēmumā </w:t>
      </w:r>
      <w:proofErr w:type="spellStart"/>
      <w:r w:rsidRPr="008D1CCD">
        <w:rPr>
          <w:i/>
        </w:rPr>
        <w:t>Sappi</w:t>
      </w:r>
      <w:proofErr w:type="spellEnd"/>
      <w:r w:rsidRPr="008D1CCD">
        <w:rPr>
          <w:i/>
        </w:rPr>
        <w:t xml:space="preserve"> </w:t>
      </w:r>
      <w:proofErr w:type="spellStart"/>
      <w:r w:rsidRPr="008D1CCD">
        <w:rPr>
          <w:i/>
        </w:rPr>
        <w:t>Lanaken</w:t>
      </w:r>
      <w:proofErr w:type="spellEnd"/>
      <w:r w:rsidRPr="008D1CCD">
        <w:t>, un 114 darbiniekiem</w:t>
      </w:r>
      <w:r w:rsidR="00AB42F1" w:rsidRPr="008D1CCD">
        <w:t>, kas atlaisti</w:t>
      </w:r>
      <w:r w:rsidRPr="008D1CCD">
        <w:t xml:space="preserve"> </w:t>
      </w:r>
      <w:proofErr w:type="spellStart"/>
      <w:r w:rsidRPr="008D1CCD">
        <w:rPr>
          <w:i/>
        </w:rPr>
        <w:t>Purmo</w:t>
      </w:r>
      <w:proofErr w:type="spellEnd"/>
      <w:r w:rsidRPr="008D1CCD">
        <w:rPr>
          <w:i/>
        </w:rPr>
        <w:t xml:space="preserve"> </w:t>
      </w:r>
      <w:proofErr w:type="spellStart"/>
      <w:r w:rsidRPr="008D1CCD">
        <w:rPr>
          <w:i/>
        </w:rPr>
        <w:t>Group</w:t>
      </w:r>
      <w:proofErr w:type="spellEnd"/>
      <w:r w:rsidRPr="008D1CCD">
        <w:rPr>
          <w:i/>
        </w:rPr>
        <w:t xml:space="preserve"> </w:t>
      </w:r>
      <w:proofErr w:type="spellStart"/>
      <w:r w:rsidRPr="008D1CCD">
        <w:rPr>
          <w:i/>
        </w:rPr>
        <w:t>Belgium</w:t>
      </w:r>
      <w:proofErr w:type="spellEnd"/>
      <w:r w:rsidRPr="008D1CCD">
        <w:t>;</w:t>
      </w:r>
      <w:r w:rsidRPr="008D1CCD">
        <w:rPr>
          <w:color w:val="000000"/>
        </w:rPr>
        <w:t xml:space="preserve"> turklāt norāda, ka kopumā paredzētie atbalsta saņēmēji būs 632 darba ņēmēji, gandrīz tikai vīrieši;</w:t>
      </w:r>
    </w:p>
    <w:p w:rsidR="00125C35" w:rsidRPr="008D1CCD" w:rsidRDefault="00125C35" w:rsidP="002B2BC0">
      <w:pPr>
        <w:pStyle w:val="NormalHanging12a"/>
      </w:pPr>
      <w:r w:rsidRPr="008D1CCD">
        <w:t>4.</w:t>
      </w:r>
      <w:r w:rsidRPr="008D1CCD">
        <w:tab/>
        <w:t xml:space="preserve">uzsver, ka </w:t>
      </w:r>
      <w:proofErr w:type="spellStart"/>
      <w:r w:rsidRPr="008D1CCD">
        <w:t>Lanākenas</w:t>
      </w:r>
      <w:proofErr w:type="spellEnd"/>
      <w:r w:rsidRPr="008D1CCD">
        <w:t xml:space="preserve"> un </w:t>
      </w:r>
      <w:proofErr w:type="spellStart"/>
      <w:r w:rsidRPr="008D1CCD">
        <w:t>Zonhovenas</w:t>
      </w:r>
      <w:proofErr w:type="spellEnd"/>
      <w:r w:rsidRPr="008D1CCD">
        <w:t xml:space="preserve"> darba tirgi ir nelabvēlīgākā situācijā salīdzinājumā ar </w:t>
      </w:r>
      <w:proofErr w:type="spellStart"/>
      <w:r w:rsidRPr="008D1CCD">
        <w:t>Limburgu</w:t>
      </w:r>
      <w:proofErr w:type="spellEnd"/>
      <w:r w:rsidRPr="008D1CCD">
        <w:t xml:space="preserve"> kopumā vai Flandriju, jo tur strādājošo iedzīvotāju attiecība pret pieejamajām darbvietām ir ievērojami zemāka nekā </w:t>
      </w:r>
      <w:proofErr w:type="spellStart"/>
      <w:r w:rsidRPr="008D1CCD">
        <w:t>Limburgā</w:t>
      </w:r>
      <w:proofErr w:type="spellEnd"/>
      <w:r w:rsidRPr="008D1CCD">
        <w:t xml:space="preserve"> kopumā vai Flandrijā; uzsver, ka </w:t>
      </w:r>
      <w:proofErr w:type="spellStart"/>
      <w:r w:rsidRPr="008D1CCD">
        <w:t>Limburgā</w:t>
      </w:r>
      <w:proofErr w:type="spellEnd"/>
      <w:r w:rsidRPr="008D1CCD">
        <w:t xml:space="preserve"> pieejamo darbvietu skaits rūpniecībā 2023. gadā samazinājās par 15 %;</w:t>
      </w:r>
    </w:p>
    <w:p w:rsidR="00125C35" w:rsidRPr="008D1CCD" w:rsidRDefault="00125C35" w:rsidP="002B2BC0">
      <w:pPr>
        <w:pStyle w:val="NormalHanging12a"/>
      </w:pPr>
      <w:r w:rsidRPr="008D1CCD">
        <w:t>5.</w:t>
      </w:r>
      <w:r w:rsidRPr="008D1CCD">
        <w:tab/>
        <w:t>norāda, ka darbu zaudējušo darba ņēmēju, no kuriem viena trešdaļa ir 55 gadus veci vai vecāki un 30 % ir ar zemu izglītības līmeni, profili ir tādi, kas rada nopietnus šķēršļus darba tirgū; uzsver, ka, ņemot vērā vakanču samazināšanās tendenci un to ģeogrāfisko sadalījumu, darba ņēmējiem būs vajadzīgs pielāgots papildu atbalsts, lai palīdzētu viņiem sekmīgi pāriet uz nodarbinātību;</w:t>
      </w:r>
    </w:p>
    <w:p w:rsidR="00125C35" w:rsidRPr="008D1CCD" w:rsidRDefault="00125C35" w:rsidP="002B2BC0">
      <w:pPr>
        <w:pStyle w:val="NormalHanging12a"/>
      </w:pPr>
      <w:r w:rsidRPr="008D1CCD">
        <w:t>6.</w:t>
      </w:r>
      <w:r w:rsidRPr="008D1CCD">
        <w:tab/>
        <w:t xml:space="preserve">atgādina, ka Beļģijas iestādēm ir jānorāda uz Savienības finansējuma izcelsmi, jānodrošina tā </w:t>
      </w:r>
      <w:proofErr w:type="spellStart"/>
      <w:r w:rsidRPr="008D1CCD">
        <w:t>pamanāmība</w:t>
      </w:r>
      <w:proofErr w:type="spellEnd"/>
      <w:r w:rsidRPr="008D1CCD">
        <w:t xml:space="preserve"> un jāuzsver intervences pasākuma pievienotā vērtība, ko nodrošina Savienība, un tas jādara, sniedzot konsekventu, lietderīgu un mērķtiecīgu informāciju dažādām auditorijām, cita starpā mērķtiecīgu informāciju atbalsta saņēmējiem, vietējām un reģionālajām pašvaldībām, sociālajiem partneriem, medijiem un sabiedrībai;</w:t>
      </w:r>
    </w:p>
    <w:p w:rsidR="00125C35" w:rsidRPr="008D1CCD" w:rsidRDefault="00125C35" w:rsidP="002B2BC0">
      <w:pPr>
        <w:pStyle w:val="NormalHanging12a"/>
      </w:pPr>
      <w:r w:rsidRPr="008D1CCD">
        <w:lastRenderedPageBreak/>
        <w:t>7.</w:t>
      </w:r>
      <w:r w:rsidRPr="008D1CCD">
        <w:tab/>
        <w:t>uzskata, ka Savienības un dalībvalstu sociālā atbildība ir nodrošināt skartajiem darba ņēmējiem iespēju iegūt turpmākai nodarbinātībai nepieciešamo kvalifikāciju, ņemot vērā to, ka digitālā un ekoloģiskā pārkārtošanās būtiski ietekmē viņu nozares, vienlaikus samazinot pieprasījumu; atzinīgi vērtē to, ka saskaņoto individualizēto pakalpojumu kopumu Beļģija sagatavoja, apspriežoties ar paredzētajiem atbalsta saņēmējiem, viņu pārstāvjiem un sociālajiem partneriem;</w:t>
      </w:r>
    </w:p>
    <w:p w:rsidR="00125C35" w:rsidRPr="008D1CCD" w:rsidRDefault="00125C35" w:rsidP="002B2BC0">
      <w:pPr>
        <w:pStyle w:val="NormalHanging12a"/>
      </w:pPr>
      <w:r w:rsidRPr="008D1CCD">
        <w:t>8.</w:t>
      </w:r>
      <w:r w:rsidRPr="008D1CCD">
        <w:tab/>
        <w:t>uzsver, ka EGF sniegtais atbalsts ir jāiekļauj plašākā stratēģijā skartajiem darba ņēmējiem un reģionam visos politiskajos līmeņos, cita starpā ar attiecīgo Savienības finansēšanas instrumentu atbalstu, lai nodrošinātu, ka digitālās un klimatiskās pārkārtošanās procesā neviens netiek atstāts novārtā;</w:t>
      </w:r>
    </w:p>
    <w:p w:rsidR="00125C35" w:rsidRPr="008D1CCD" w:rsidRDefault="00125C35" w:rsidP="002B2BC0">
      <w:pPr>
        <w:pStyle w:val="NormalHanging12a"/>
      </w:pPr>
      <w:r w:rsidRPr="008D1CCD">
        <w:t>9.</w:t>
      </w:r>
      <w:r w:rsidRPr="008D1CCD">
        <w:tab/>
        <w:t xml:space="preserve">atgādina, ka atlaistajiem darba ņēmējiem sniedzamie individualizētie pakalpojumi ietver šādas darbības: sociālās intervences konsultants, konsultācijas un profesionālā orientācija, atbalsts aktīvai darba meklēšanai, apmācība, </w:t>
      </w:r>
      <w:proofErr w:type="spellStart"/>
      <w:r w:rsidRPr="008D1CCD">
        <w:t>pārkvalifikācija</w:t>
      </w:r>
      <w:proofErr w:type="spellEnd"/>
      <w:r w:rsidRPr="008D1CCD">
        <w:t xml:space="preserve"> un arodmācības, tostarp digitālo prasmju apmācību, kā arī apmācība darbavietā;</w:t>
      </w:r>
    </w:p>
    <w:p w:rsidR="00125C35" w:rsidRPr="008D1CCD" w:rsidRDefault="00125C35" w:rsidP="002B2BC0">
      <w:pPr>
        <w:pStyle w:val="NormalHanging12a"/>
      </w:pPr>
      <w:r w:rsidRPr="008D1CCD">
        <w:t>10.</w:t>
      </w:r>
      <w:r w:rsidRPr="008D1CCD">
        <w:tab/>
        <w:t>pieņem zināšanai to, ka Beļģija sāka sniegt individualizētus pakalpojumus paredzētajiem atbalsta saņēmējiem 2023. gada 26. decembrī un ka tāpēc tiesības saņemt finansiālu ieguldījumu no EGF būs laikposmā, kas sākas šajā datumā un beidzas 24 mēnešus pēc finansēšanas lēmuma spēkā stāšanās dienas;</w:t>
      </w:r>
    </w:p>
    <w:p w:rsidR="00125C35" w:rsidRPr="008D1CCD" w:rsidRDefault="00125C35" w:rsidP="002B2BC0">
      <w:pPr>
        <w:pStyle w:val="NormalHanging12a"/>
        <w:rPr>
          <w:sz w:val="23"/>
          <w:szCs w:val="23"/>
        </w:rPr>
      </w:pPr>
      <w:r w:rsidRPr="008D1CCD">
        <w:t>11.</w:t>
      </w:r>
      <w:r w:rsidRPr="008D1CCD">
        <w:tab/>
        <w:t>norāda, ka administratīvie izdevumi saistībā ar EGF īstenošanu Beļģijai sāka rasties 2023. gada 20. novembrī un tāpēc par šādiem izdevumiem ir tiesības saņemt finansiālu ieguldījumu no EGF par laikposmu, kas sākas minētajā datumā un beidzas 31 mēnesi pēc finansēšanas lēmuma spēkā stāšanās dienas;</w:t>
      </w:r>
    </w:p>
    <w:p w:rsidR="00125C35" w:rsidRPr="008D1CCD" w:rsidRDefault="00125C35" w:rsidP="002B2BC0">
      <w:pPr>
        <w:pStyle w:val="NormalHanging12a"/>
      </w:pPr>
      <w:r w:rsidRPr="008D1CCD">
        <w:t>12.</w:t>
      </w:r>
      <w:r w:rsidRPr="008D1CCD">
        <w:tab/>
        <w:t xml:space="preserve">uzsver, ka Beļģijas iestādes ir apstiprinājušas, ka attiecībā uz piekļuvi ierosinātajām darbībām un to īstenošanu tiks ievēroti vienlīdzīgas attieksmes un </w:t>
      </w:r>
      <w:proofErr w:type="spellStart"/>
      <w:r w:rsidRPr="008D1CCD">
        <w:t>nediskriminācijas</w:t>
      </w:r>
      <w:proofErr w:type="spellEnd"/>
      <w:r w:rsidRPr="008D1CCD">
        <w:t xml:space="preserve"> principi un ka tiks novērsta jebkāda dubulta finansēšana;</w:t>
      </w:r>
    </w:p>
    <w:p w:rsidR="00125C35" w:rsidRPr="008D1CCD" w:rsidRDefault="00125C35" w:rsidP="002B2BC0">
      <w:pPr>
        <w:pStyle w:val="NormalHanging12a"/>
      </w:pPr>
      <w:r w:rsidRPr="008D1CCD">
        <w:t>13.</w:t>
      </w:r>
      <w:r w:rsidRPr="008D1CCD">
        <w:tab/>
        <w:t>atkārtoti norāda, ka EGF palīdzība nedrīkst aizstāt darbības, par kurām saskaņā ar attiecīgās valsts tiesību aktiem vai koplīgumiem atbild uzņēmumi, ne arī jebkādus pabalstus vai tiesības, kas pienākas darbu zaudējušiem darba ņēmējiem, lai nodrošinātu, ka šis piešķīrums ir pilnībā papildinošs; atgādina, ka dalībvalstīm, kas piesakās EGF finansējuma saņemšanai, ir jānodrošina, ka tiek ievērotas valsts un Savienības tiesību aktos noteiktās prasības attiecībā uz kolektīvo atlaišanu un ka attiecīgais uzņēmums ir sniedzis saviem darba ņēmējiem atbilstošu palīdzību;</w:t>
      </w:r>
    </w:p>
    <w:p w:rsidR="00125C35" w:rsidRPr="008D1CCD" w:rsidRDefault="00125C35" w:rsidP="002B2BC0">
      <w:pPr>
        <w:pStyle w:val="NormalHanging12a"/>
      </w:pPr>
      <w:r w:rsidRPr="008D1CCD">
        <w:t>14.</w:t>
      </w:r>
      <w:r w:rsidRPr="008D1CCD">
        <w:tab/>
        <w:t xml:space="preserve">aicina Beļģijas iestādes un citas dalībvalstis </w:t>
      </w:r>
      <w:proofErr w:type="spellStart"/>
      <w:r w:rsidRPr="008D1CCD">
        <w:t>proaktīvi</w:t>
      </w:r>
      <w:proofErr w:type="spellEnd"/>
      <w:r w:rsidRPr="008D1CCD">
        <w:t xml:space="preserve"> veikt preventīvus pasākumus, lai nozares pielāgotu globalizācijai un tehnoloģiskajām un vides pārmaiņām un aizsargātu darba ņēmējus no darba zaudēšanas un citām negatīvām globalizācijas sekām;</w:t>
      </w:r>
    </w:p>
    <w:p w:rsidR="00125C35" w:rsidRPr="008D1CCD" w:rsidRDefault="00125C35" w:rsidP="002B2BC0">
      <w:pPr>
        <w:pStyle w:val="NormalHanging12a"/>
      </w:pPr>
      <w:r w:rsidRPr="008D1CCD">
        <w:t>15.</w:t>
      </w:r>
      <w:r w:rsidRPr="008D1CCD">
        <w:tab/>
        <w:t>apstiprina šai rezolūcijai pievienoto lēmumu;</w:t>
      </w:r>
    </w:p>
    <w:p w:rsidR="00125C35" w:rsidRPr="008D1CCD" w:rsidRDefault="00125C35" w:rsidP="002B2BC0">
      <w:pPr>
        <w:pStyle w:val="NormalHanging12a"/>
      </w:pPr>
      <w:r w:rsidRPr="008D1CCD">
        <w:t>16.</w:t>
      </w:r>
      <w:r w:rsidRPr="008D1CCD">
        <w:tab/>
        <w:t xml:space="preserve">uzdod priekšsēdētājai parakstīt šo lēmumu kopā ar Padomes priekšsēdētāju un nodrošināt tā publicēšanu </w:t>
      </w:r>
      <w:r w:rsidRPr="008D1CCD">
        <w:rPr>
          <w:i/>
        </w:rPr>
        <w:t>Eiropas Savienības Oficiālajā Vēstnesī</w:t>
      </w:r>
      <w:r w:rsidRPr="008D1CCD">
        <w:t>;</w:t>
      </w:r>
    </w:p>
    <w:p w:rsidR="00125C35" w:rsidRPr="008D1CCD" w:rsidRDefault="00125C35" w:rsidP="002B2BC0">
      <w:pPr>
        <w:pStyle w:val="NormalHanging12a"/>
      </w:pPr>
      <w:r w:rsidRPr="008D1CCD">
        <w:t>17.</w:t>
      </w:r>
      <w:r w:rsidRPr="008D1CCD">
        <w:tab/>
        <w:t>uzdod priekšsēdētājai šo rezolūciju, kā arī tās pielikumu nosūtīt Padomei un Komisijai.</w:t>
      </w:r>
    </w:p>
    <w:p w:rsidR="00125C35" w:rsidRPr="008D1CCD" w:rsidRDefault="00125C35" w:rsidP="00125C35">
      <w:pPr>
        <w:pStyle w:val="NormalHanging12a"/>
        <w:jc w:val="both"/>
        <w:rPr>
          <w:szCs w:val="24"/>
        </w:rPr>
      </w:pPr>
      <w:r w:rsidRPr="008D1CCD">
        <w:br w:type="page"/>
      </w:r>
    </w:p>
    <w:p w:rsidR="00DF2D18" w:rsidRPr="006959CD" w:rsidRDefault="00125C35" w:rsidP="006959CD">
      <w:pPr>
        <w:pStyle w:val="PageHeading"/>
        <w:rPr>
          <w:rFonts w:ascii="Times New Roman" w:hAnsi="Times New Roman" w:cs="Times New Roman"/>
        </w:rPr>
      </w:pPr>
      <w:bookmarkStart w:id="6" w:name="_Toc183775474"/>
      <w:r w:rsidRPr="006959CD">
        <w:rPr>
          <w:rFonts w:ascii="Times New Roman" w:hAnsi="Times New Roman" w:cs="Times New Roman"/>
        </w:rPr>
        <w:lastRenderedPageBreak/>
        <w:t>PIELIKUMS</w:t>
      </w:r>
    </w:p>
    <w:p w:rsidR="00125C35" w:rsidRPr="006959CD" w:rsidRDefault="00125C35" w:rsidP="00125C35">
      <w:pPr>
        <w:pStyle w:val="PageHeading"/>
        <w:rPr>
          <w:rFonts w:ascii="Times New Roman" w:hAnsi="Times New Roman" w:cs="Times New Roman"/>
          <w:noProof/>
        </w:rPr>
      </w:pPr>
      <w:r w:rsidRPr="006959CD">
        <w:rPr>
          <w:rFonts w:ascii="Times New Roman" w:hAnsi="Times New Roman" w:cs="Times New Roman"/>
        </w:rPr>
        <w:t>EIROPAS PARLAMENTA UN PADOMES LĒMUMS</w:t>
      </w:r>
      <w:bookmarkEnd w:id="6"/>
    </w:p>
    <w:p w:rsidR="00125C35" w:rsidRDefault="00125C35" w:rsidP="006959CD">
      <w:pPr>
        <w:pStyle w:val="NormalBold24a"/>
        <w:jc w:val="center"/>
      </w:pPr>
      <w:r w:rsidRPr="008D1CCD">
        <w:t>par Eiropas Globalizācijas pielāgošanās fonda darbu zaudējušiem darba ņēmējiem izmantošanu saistībā ar Beļģijas iesniegto pieteikumu (EGF/2024/002 BE/</w:t>
      </w:r>
      <w:proofErr w:type="spellStart"/>
      <w:r w:rsidRPr="008D1CCD">
        <w:rPr>
          <w:i/>
          <w:iCs/>
        </w:rPr>
        <w:t>Limburg</w:t>
      </w:r>
      <w:proofErr w:type="spellEnd"/>
      <w:r w:rsidRPr="008D1CCD">
        <w:rPr>
          <w:i/>
          <w:iCs/>
        </w:rPr>
        <w:t xml:space="preserve"> </w:t>
      </w:r>
      <w:proofErr w:type="spellStart"/>
      <w:r w:rsidRPr="008D1CCD">
        <w:rPr>
          <w:i/>
          <w:iCs/>
        </w:rPr>
        <w:t>machinery</w:t>
      </w:r>
      <w:proofErr w:type="spellEnd"/>
      <w:r w:rsidRPr="008D1CCD">
        <w:rPr>
          <w:i/>
          <w:iCs/>
        </w:rPr>
        <w:t xml:space="preserve"> </w:t>
      </w:r>
      <w:proofErr w:type="spellStart"/>
      <w:r w:rsidRPr="008D1CCD">
        <w:rPr>
          <w:i/>
          <w:iCs/>
        </w:rPr>
        <w:t>and</w:t>
      </w:r>
      <w:proofErr w:type="spellEnd"/>
      <w:r w:rsidRPr="008D1CCD">
        <w:rPr>
          <w:i/>
          <w:iCs/>
        </w:rPr>
        <w:t xml:space="preserve"> paper</w:t>
      </w:r>
      <w:r w:rsidRPr="008D1CCD">
        <w:t>)</w:t>
      </w:r>
    </w:p>
    <w:p w:rsidR="006959CD" w:rsidRDefault="006959CD" w:rsidP="006959CD">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25</w:t>
      </w:r>
      <w:r w:rsidRPr="00611295">
        <w:rPr>
          <w:b w:val="0"/>
          <w:i/>
          <w:iCs/>
          <w:noProof/>
        </w:rPr>
        <w:t>/</w:t>
      </w:r>
      <w:r>
        <w:rPr>
          <w:b w:val="0"/>
          <w:i/>
          <w:iCs/>
          <w:noProof/>
        </w:rPr>
        <w:t>47</w:t>
      </w:r>
      <w:r w:rsidRPr="00981C8E">
        <w:rPr>
          <w:b w:val="0"/>
          <w:i/>
          <w:iCs/>
          <w:noProof/>
        </w:rPr>
        <w:t>.</w:t>
      </w:r>
      <w:r w:rsidRPr="00EB02AD">
        <w:rPr>
          <w:b w:val="0"/>
          <w:i/>
          <w:iCs/>
          <w:noProof/>
        </w:rPr>
        <w:t>)</w:t>
      </w:r>
    </w:p>
    <w:p w:rsidR="006959CD" w:rsidRDefault="006959CD" w:rsidP="006959CD">
      <w:pPr>
        <w:pStyle w:val="Normal24Bold"/>
        <w:rPr>
          <w:b w:val="0"/>
          <w:i/>
          <w:iCs/>
          <w:noProof/>
        </w:rPr>
      </w:pPr>
    </w:p>
    <w:p w:rsidR="006959CD" w:rsidRDefault="006959CD" w:rsidP="006959CD">
      <w:pPr>
        <w:pStyle w:val="Normal24Bold"/>
        <w:rPr>
          <w:b w:val="0"/>
          <w:i/>
          <w:iCs/>
          <w:noProof/>
        </w:rPr>
      </w:pPr>
      <w:bookmarkStart w:id="7" w:name="_GoBack"/>
      <w:bookmarkEnd w:id="7"/>
    </w:p>
    <w:p w:rsidR="006959CD" w:rsidRPr="008D1CCD" w:rsidRDefault="006959CD" w:rsidP="006959CD">
      <w:pPr>
        <w:pStyle w:val="NormalBold24a"/>
        <w:rPr>
          <w:color w:val="000000"/>
          <w:sz w:val="20"/>
        </w:rPr>
      </w:pPr>
    </w:p>
    <w:sectPr w:rsidR="006959CD" w:rsidRPr="008D1CCD" w:rsidSect="009B02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CE0" w:rsidRPr="009B0291" w:rsidRDefault="007A0CE0">
      <w:r w:rsidRPr="009B0291">
        <w:separator/>
      </w:r>
    </w:p>
  </w:endnote>
  <w:endnote w:type="continuationSeparator" w:id="0">
    <w:p w:rsidR="007A0CE0" w:rsidRPr="009B0291" w:rsidRDefault="007A0CE0">
      <w:r w:rsidRPr="009B02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2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2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2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CE0" w:rsidRPr="009B0291" w:rsidRDefault="007A0CE0">
      <w:r w:rsidRPr="009B0291">
        <w:separator/>
      </w:r>
    </w:p>
  </w:footnote>
  <w:footnote w:type="continuationSeparator" w:id="0">
    <w:p w:rsidR="007A0CE0" w:rsidRPr="009B0291" w:rsidRDefault="007A0CE0">
      <w:r w:rsidRPr="009B0291">
        <w:continuationSeparator/>
      </w:r>
    </w:p>
  </w:footnote>
  <w:footnote w:id="1">
    <w:p w:rsidR="00125C35" w:rsidRPr="0034535F" w:rsidRDefault="00125C35" w:rsidP="009B0291">
      <w:pPr>
        <w:pStyle w:val="FootnoteText"/>
        <w:ind w:left="567" w:hanging="567"/>
        <w:rPr>
          <w:sz w:val="24"/>
          <w:szCs w:val="24"/>
          <w:lang w:val="lv-LV"/>
        </w:rPr>
      </w:pPr>
      <w:r w:rsidRPr="009B0291">
        <w:rPr>
          <w:rStyle w:val="FootnoteReference"/>
          <w:sz w:val="24"/>
          <w:lang w:val="lv-LV"/>
        </w:rPr>
        <w:footnoteRef/>
      </w:r>
      <w:r w:rsidR="009B0291" w:rsidRPr="009B0291">
        <w:rPr>
          <w:sz w:val="24"/>
          <w:lang w:val="lv-LV"/>
        </w:rPr>
        <w:t xml:space="preserve"> </w:t>
      </w:r>
      <w:r w:rsidR="009B0291" w:rsidRPr="009B0291">
        <w:rPr>
          <w:sz w:val="24"/>
          <w:lang w:val="lv-LV"/>
        </w:rPr>
        <w:tab/>
      </w:r>
      <w:r w:rsidRPr="0034535F">
        <w:rPr>
          <w:sz w:val="24"/>
          <w:szCs w:val="24"/>
          <w:lang w:val="lv-LV"/>
        </w:rPr>
        <w:t>OV L 153, 3.5.2021., 48. lpp.</w:t>
      </w:r>
      <w:r w:rsidR="0034535F" w:rsidRPr="0034535F">
        <w:rPr>
          <w:sz w:val="24"/>
          <w:szCs w:val="24"/>
          <w:lang w:val="lv-LV"/>
        </w:rPr>
        <w:t>,</w:t>
      </w:r>
      <w:r w:rsidRPr="0034535F">
        <w:rPr>
          <w:sz w:val="24"/>
          <w:szCs w:val="24"/>
          <w:lang w:val="lv-LV"/>
        </w:rPr>
        <w:t xml:space="preserve"> </w:t>
      </w:r>
      <w:r w:rsidR="0034535F" w:rsidRPr="0034535F">
        <w:rPr>
          <w:sz w:val="24"/>
          <w:szCs w:val="24"/>
          <w:lang w:val="fi-FI"/>
        </w:rPr>
        <w:t xml:space="preserve">ELI: </w:t>
      </w:r>
      <w:hyperlink r:id="rId1" w:history="1">
        <w:r w:rsidR="0034535F" w:rsidRPr="002B2BC0">
          <w:rPr>
            <w:rStyle w:val="Hyperlink"/>
            <w:sz w:val="24"/>
            <w:szCs w:val="24"/>
            <w:lang w:val="fi-FI"/>
          </w:rPr>
          <w:t>http://data.europa.eu/eli/reg/2021/691/oj</w:t>
        </w:r>
      </w:hyperlink>
      <w:r w:rsidRPr="0034535F">
        <w:rPr>
          <w:sz w:val="24"/>
          <w:szCs w:val="24"/>
          <w:lang w:val="lv-LV"/>
        </w:rPr>
        <w:t>.</w:t>
      </w:r>
    </w:p>
  </w:footnote>
  <w:footnote w:id="2">
    <w:p w:rsidR="00125C35" w:rsidRPr="0034535F" w:rsidRDefault="00125C35" w:rsidP="009B0291">
      <w:pPr>
        <w:pStyle w:val="FootnoteText"/>
        <w:ind w:left="567" w:hanging="567"/>
        <w:rPr>
          <w:sz w:val="24"/>
          <w:szCs w:val="24"/>
          <w:lang w:val="lv-LV"/>
        </w:rPr>
      </w:pPr>
      <w:r w:rsidRPr="009B0291">
        <w:rPr>
          <w:rStyle w:val="FootnoteReference"/>
          <w:sz w:val="24"/>
          <w:lang w:val="lv-LV"/>
        </w:rPr>
        <w:footnoteRef/>
      </w:r>
      <w:r w:rsidR="009B0291" w:rsidRPr="009B0291">
        <w:rPr>
          <w:sz w:val="24"/>
          <w:lang w:val="lv-LV"/>
        </w:rPr>
        <w:t xml:space="preserve"> </w:t>
      </w:r>
      <w:r w:rsidR="009B0291" w:rsidRPr="009B0291">
        <w:rPr>
          <w:sz w:val="24"/>
          <w:lang w:val="lv-LV"/>
        </w:rPr>
        <w:tab/>
      </w:r>
      <w:r w:rsidRPr="009B0291">
        <w:rPr>
          <w:sz w:val="24"/>
          <w:lang w:val="lv-LV"/>
        </w:rPr>
        <w:t>OV L 433 I, 22.12.2020., 11. </w:t>
      </w:r>
      <w:r w:rsidRPr="009B0291">
        <w:rPr>
          <w:sz w:val="24"/>
          <w:lang w:val="lv-LV"/>
        </w:rPr>
        <w:t>lpp., ELI</w:t>
      </w:r>
      <w:r w:rsidRPr="0034535F">
        <w:rPr>
          <w:sz w:val="24"/>
          <w:szCs w:val="24"/>
          <w:lang w:val="lv-LV"/>
        </w:rPr>
        <w:t xml:space="preserve">: </w:t>
      </w:r>
      <w:hyperlink r:id="rId2" w:history="1">
        <w:r w:rsidR="0034535F" w:rsidRPr="002B2BC0">
          <w:rPr>
            <w:rStyle w:val="Hyperlink"/>
            <w:sz w:val="24"/>
            <w:szCs w:val="24"/>
            <w:lang w:val="lv-LV"/>
          </w:rPr>
          <w:t>http://data.europa.eu/eli/reg/2020/2093/oj</w:t>
        </w:r>
      </w:hyperlink>
      <w:r w:rsidRPr="0034535F">
        <w:rPr>
          <w:sz w:val="24"/>
          <w:szCs w:val="24"/>
          <w:lang w:val="lv-LV"/>
        </w:rPr>
        <w:t>.</w:t>
      </w:r>
    </w:p>
  </w:footnote>
  <w:footnote w:id="3">
    <w:p w:rsidR="00125C35" w:rsidRPr="002B2BC0" w:rsidRDefault="00125C35" w:rsidP="009B0291">
      <w:pPr>
        <w:pStyle w:val="FootnoteText"/>
        <w:ind w:left="567" w:hanging="567"/>
        <w:rPr>
          <w:i/>
          <w:sz w:val="24"/>
          <w:lang w:val="lv-LV"/>
        </w:rPr>
      </w:pPr>
      <w:r w:rsidRPr="009B0291">
        <w:rPr>
          <w:rStyle w:val="FootnoteReference"/>
          <w:sz w:val="24"/>
          <w:lang w:val="lv-LV"/>
        </w:rPr>
        <w:footnoteRef/>
      </w:r>
      <w:r w:rsidR="009B0291" w:rsidRPr="009B0291">
        <w:rPr>
          <w:sz w:val="24"/>
          <w:lang w:val="lv-LV"/>
        </w:rPr>
        <w:t xml:space="preserve"> </w:t>
      </w:r>
      <w:r w:rsidR="009B0291" w:rsidRPr="009B0291">
        <w:rPr>
          <w:sz w:val="24"/>
          <w:lang w:val="lv-LV"/>
        </w:rPr>
        <w:tab/>
      </w:r>
      <w:r w:rsidRPr="009B0291">
        <w:rPr>
          <w:sz w:val="24"/>
          <w:lang w:val="lv-LV"/>
        </w:rPr>
        <w:t xml:space="preserve">Padomes Regula (ES, </w:t>
      </w:r>
      <w:r w:rsidRPr="009B0291">
        <w:rPr>
          <w:i/>
          <w:sz w:val="24"/>
          <w:lang w:val="lv-LV"/>
        </w:rPr>
        <w:t>Euratom</w:t>
      </w:r>
      <w:r w:rsidRPr="009B0291">
        <w:rPr>
          <w:sz w:val="24"/>
          <w:lang w:val="lv-LV"/>
        </w:rPr>
        <w:t xml:space="preserve">) 2024/765 (2024. gada 29. februāris), ar kuru groza Regulu (ES, </w:t>
      </w:r>
      <w:r w:rsidRPr="009B0291">
        <w:rPr>
          <w:i/>
          <w:sz w:val="24"/>
          <w:lang w:val="lv-LV"/>
        </w:rPr>
        <w:t>Euratom</w:t>
      </w:r>
      <w:r w:rsidRPr="009B0291">
        <w:rPr>
          <w:sz w:val="24"/>
          <w:lang w:val="lv-LV"/>
        </w:rPr>
        <w:t>) 2020/2093, ar ko nosaka daudzgadu finanšu shēmu 2021.–2027. </w:t>
      </w:r>
      <w:r w:rsidRPr="009B0291">
        <w:rPr>
          <w:sz w:val="24"/>
          <w:lang w:val="lv-LV"/>
        </w:rPr>
        <w:t xml:space="preserve">gadam (OV L, 2024/765, 29.2.2024., </w:t>
      </w:r>
      <w:r w:rsidRPr="002B2BC0">
        <w:rPr>
          <w:rStyle w:val="Emphasis"/>
          <w:i w:val="0"/>
          <w:color w:val="333333"/>
          <w:sz w:val="24"/>
          <w:shd w:val="clear" w:color="auto" w:fill="FFFFFF"/>
          <w:lang w:val="lv-LV"/>
        </w:rPr>
        <w:t xml:space="preserve">ELI: </w:t>
      </w:r>
      <w:hyperlink r:id="rId3" w:history="1">
        <w:r w:rsidR="0034535F" w:rsidRPr="002B2BC0">
          <w:rPr>
            <w:rStyle w:val="Hyperlink"/>
            <w:sz w:val="24"/>
            <w:szCs w:val="24"/>
            <w:shd w:val="clear" w:color="auto" w:fill="FFFFFF"/>
            <w:lang w:val="lv-LV"/>
          </w:rPr>
          <w:t>http://data.europa.eu/eli/reg/2024/765/oj</w:t>
        </w:r>
      </w:hyperlink>
      <w:r w:rsidRPr="002B2BC0">
        <w:rPr>
          <w:rStyle w:val="Emphasis"/>
          <w:i w:val="0"/>
          <w:color w:val="333333"/>
          <w:sz w:val="24"/>
          <w:szCs w:val="24"/>
          <w:shd w:val="clear" w:color="auto" w:fill="FFFFFF"/>
          <w:lang w:val="lv-LV"/>
        </w:rPr>
        <w:t>)</w:t>
      </w:r>
      <w:r w:rsidRPr="002B2BC0">
        <w:rPr>
          <w:rStyle w:val="Emphasis"/>
          <w:i w:val="0"/>
          <w:color w:val="333333"/>
          <w:sz w:val="24"/>
          <w:shd w:val="clear" w:color="auto" w:fill="FFFFFF"/>
          <w:lang w:val="lv-LV"/>
        </w:rPr>
        <w:t>.</w:t>
      </w:r>
    </w:p>
  </w:footnote>
  <w:footnote w:id="4">
    <w:p w:rsidR="00125C35" w:rsidRPr="00DF2D18" w:rsidRDefault="00125C35" w:rsidP="009B0291">
      <w:pPr>
        <w:pStyle w:val="FootnoteText"/>
        <w:ind w:left="567" w:hanging="567"/>
        <w:rPr>
          <w:sz w:val="24"/>
          <w:szCs w:val="24"/>
          <w:lang w:val="lv-LV"/>
        </w:rPr>
      </w:pPr>
      <w:r w:rsidRPr="009B0291">
        <w:rPr>
          <w:rStyle w:val="FootnoteReference"/>
          <w:sz w:val="24"/>
          <w:lang w:val="lv-LV"/>
        </w:rPr>
        <w:footnoteRef/>
      </w:r>
      <w:r w:rsidR="009B0291" w:rsidRPr="009B0291">
        <w:rPr>
          <w:sz w:val="24"/>
          <w:lang w:val="lv-LV"/>
        </w:rPr>
        <w:t xml:space="preserve"> </w:t>
      </w:r>
      <w:r w:rsidR="009B0291" w:rsidRPr="009B0291">
        <w:rPr>
          <w:sz w:val="24"/>
          <w:lang w:val="lv-LV"/>
        </w:rPr>
        <w:tab/>
      </w:r>
      <w:r w:rsidRPr="009B0291">
        <w:rPr>
          <w:sz w:val="24"/>
          <w:lang w:val="lv-LV"/>
        </w:rPr>
        <w:t>OV L 433 I, 22.12.2020., 28. </w:t>
      </w:r>
      <w:r w:rsidRPr="009B0291">
        <w:rPr>
          <w:sz w:val="24"/>
          <w:lang w:val="lv-LV"/>
        </w:rPr>
        <w:t xml:space="preserve">lpp., ELI: </w:t>
      </w:r>
      <w:hyperlink r:id="rId4" w:history="1">
        <w:r w:rsidR="00DF2D18" w:rsidRPr="002B2BC0">
          <w:rPr>
            <w:rStyle w:val="Hyperlink"/>
            <w:sz w:val="24"/>
            <w:szCs w:val="24"/>
            <w:lang w:val="lv-LV"/>
          </w:rPr>
          <w:t>http://data.europa.eu/eli/agree_interinstit/2020/1222/oj</w:t>
        </w:r>
      </w:hyperlink>
      <w:r w:rsidRPr="00DF2D18">
        <w:rPr>
          <w:sz w:val="24"/>
          <w:szCs w:val="24"/>
          <w:lang w:val="lv-LV"/>
        </w:rPr>
        <w:t>.</w:t>
      </w:r>
    </w:p>
  </w:footnote>
  <w:footnote w:id="5">
    <w:p w:rsidR="00125C35" w:rsidRPr="009B0291" w:rsidRDefault="00125C35" w:rsidP="009B0291">
      <w:pPr>
        <w:pStyle w:val="FootnoteText"/>
        <w:ind w:left="567" w:hanging="567"/>
        <w:rPr>
          <w:sz w:val="24"/>
          <w:lang w:val="lv-LV"/>
        </w:rPr>
      </w:pPr>
      <w:r w:rsidRPr="009B0291">
        <w:rPr>
          <w:rStyle w:val="FootnoteReference"/>
          <w:sz w:val="24"/>
          <w:lang w:val="lv-LV"/>
        </w:rPr>
        <w:footnoteRef/>
      </w:r>
      <w:r w:rsidR="009B0291" w:rsidRPr="009B0291">
        <w:rPr>
          <w:sz w:val="24"/>
          <w:lang w:val="lv-LV"/>
        </w:rPr>
        <w:t xml:space="preserve"> </w:t>
      </w:r>
      <w:r w:rsidR="009B0291" w:rsidRPr="009B0291">
        <w:rPr>
          <w:sz w:val="24"/>
          <w:lang w:val="lv-LV"/>
        </w:rPr>
        <w:tab/>
      </w:r>
      <w:r w:rsidRPr="009B0291">
        <w:rPr>
          <w:sz w:val="24"/>
          <w:lang w:val="lv-LV"/>
        </w:rPr>
        <w:t>EGF regulas 3. panta nozīmē.</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2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2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2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LV"/>
    <w:docVar w:name="dvnumam" w:val="0"/>
    <w:docVar w:name="dvpe" w:val="765.241"/>
    <w:docVar w:name="dvrapporteur" w:val="Referents: "/>
    <w:docVar w:name="dvtitre" w:val="Eiropas Parlamenta 2024. gada XX. XXX  rezolūcija par priekšlikumu Eiropas Parlamenta un Padomes lēmumam par Eiropas Globalizācijas pielāgošanās fonda darbu zaudējušiem darba ņēmējiem izmantošanu saistībā ar Beļģijas iesniegto pieteikumu EGF/2024/002 BE/Limburg machinery and paper(COM(2024)0370 – C10-0166/2024 – 2024/0286(BUD))"/>
  </w:docVars>
  <w:rsids>
    <w:rsidRoot w:val="007A0CE0"/>
    <w:rsid w:val="00002272"/>
    <w:rsid w:val="00064002"/>
    <w:rsid w:val="000677B9"/>
    <w:rsid w:val="000831BA"/>
    <w:rsid w:val="000A42CC"/>
    <w:rsid w:val="000E7DD9"/>
    <w:rsid w:val="0010095E"/>
    <w:rsid w:val="00125B37"/>
    <w:rsid w:val="00125C35"/>
    <w:rsid w:val="00187494"/>
    <w:rsid w:val="001F32AE"/>
    <w:rsid w:val="002767FF"/>
    <w:rsid w:val="002B18FE"/>
    <w:rsid w:val="002B2BC0"/>
    <w:rsid w:val="002B5493"/>
    <w:rsid w:val="00343214"/>
    <w:rsid w:val="0034535F"/>
    <w:rsid w:val="00361C00"/>
    <w:rsid w:val="00392B6C"/>
    <w:rsid w:val="00395FA1"/>
    <w:rsid w:val="003C4BB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9CD"/>
    <w:rsid w:val="006F74FA"/>
    <w:rsid w:val="00731ADD"/>
    <w:rsid w:val="00734777"/>
    <w:rsid w:val="00747932"/>
    <w:rsid w:val="00751A4A"/>
    <w:rsid w:val="00756632"/>
    <w:rsid w:val="00762C74"/>
    <w:rsid w:val="00786EC0"/>
    <w:rsid w:val="007A0CE0"/>
    <w:rsid w:val="007D1690"/>
    <w:rsid w:val="007E22AD"/>
    <w:rsid w:val="00817416"/>
    <w:rsid w:val="00842779"/>
    <w:rsid w:val="00865F67"/>
    <w:rsid w:val="00881A7B"/>
    <w:rsid w:val="008840E5"/>
    <w:rsid w:val="00887B3E"/>
    <w:rsid w:val="008C2AC6"/>
    <w:rsid w:val="008D1CCD"/>
    <w:rsid w:val="00930C23"/>
    <w:rsid w:val="0093193B"/>
    <w:rsid w:val="009509D8"/>
    <w:rsid w:val="00950B64"/>
    <w:rsid w:val="00981893"/>
    <w:rsid w:val="009B0291"/>
    <w:rsid w:val="00A1687D"/>
    <w:rsid w:val="00A43E52"/>
    <w:rsid w:val="00A4678D"/>
    <w:rsid w:val="00A778C7"/>
    <w:rsid w:val="00AB42F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D1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03690"/>
  <w15:chartTrackingRefBased/>
  <w15:docId w15:val="{D5BA8E02-5108-4998-B4AE-17FAA5F10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125C35"/>
    <w:pPr>
      <w:keepNext/>
      <w:spacing w:after="480"/>
      <w:jc w:val="center"/>
    </w:pPr>
    <w:rPr>
      <w:rFonts w:ascii="Arial" w:hAnsi="Arial" w:cs="Arial"/>
      <w:b/>
    </w:rPr>
  </w:style>
  <w:style w:type="paragraph" w:customStyle="1" w:styleId="NormalBold">
    <w:name w:val="NormalBold"/>
    <w:basedOn w:val="Normal"/>
    <w:rsid w:val="00125C35"/>
    <w:rPr>
      <w:b/>
    </w:rPr>
  </w:style>
  <w:style w:type="paragraph" w:customStyle="1" w:styleId="NormalHanging12a">
    <w:name w:val="NormalHanging12a"/>
    <w:basedOn w:val="Normal"/>
    <w:link w:val="NormalHanging12aChar"/>
    <w:rsid w:val="00125C35"/>
    <w:pPr>
      <w:spacing w:after="240"/>
      <w:ind w:left="567" w:hanging="567"/>
    </w:pPr>
  </w:style>
  <w:style w:type="paragraph" w:customStyle="1" w:styleId="NormalBold24a">
    <w:name w:val="NormalBold24a"/>
    <w:basedOn w:val="Normal"/>
    <w:rsid w:val="00125C35"/>
    <w:pPr>
      <w:spacing w:after="480"/>
    </w:pPr>
    <w:rPr>
      <w:b/>
      <w:bCs/>
    </w:rPr>
  </w:style>
  <w:style w:type="paragraph" w:customStyle="1" w:styleId="EPComma">
    <w:name w:val="EPComma"/>
    <w:basedOn w:val="Normal"/>
    <w:rsid w:val="00125C35"/>
    <w:pPr>
      <w:spacing w:before="480" w:after="240"/>
    </w:pPr>
  </w:style>
  <w:style w:type="character" w:customStyle="1" w:styleId="NormalHanging12aChar">
    <w:name w:val="NormalHanging12a Char"/>
    <w:basedOn w:val="DefaultParagraphFont"/>
    <w:link w:val="NormalHanging12a"/>
    <w:locked/>
    <w:rsid w:val="00125C35"/>
    <w:rPr>
      <w:sz w:val="24"/>
      <w:lang w:val="lv-LV"/>
    </w:rPr>
  </w:style>
  <w:style w:type="character" w:styleId="Emphasis">
    <w:name w:val="Emphasis"/>
    <w:basedOn w:val="DefaultParagraphFont"/>
    <w:uiPriority w:val="20"/>
    <w:qFormat/>
    <w:rsid w:val="00125C35"/>
    <w:rPr>
      <w:i/>
      <w:iCs/>
    </w:rPr>
  </w:style>
  <w:style w:type="paragraph" w:customStyle="1" w:styleId="Institutionquisigne">
    <w:name w:val="Institution qui signe"/>
    <w:basedOn w:val="Normal"/>
    <w:next w:val="Normal"/>
    <w:rsid w:val="00125C3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25C3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25C3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25C3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25C3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25C35"/>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125C35"/>
    <w:rPr>
      <w:rFonts w:ascii="Arial" w:hAnsi="Arial" w:cs="Arial"/>
      <w:b/>
      <w:sz w:val="24"/>
      <w:lang w:val="lv-LV"/>
    </w:rPr>
  </w:style>
  <w:style w:type="character" w:styleId="Hyperlink">
    <w:name w:val="Hyperlink"/>
    <w:basedOn w:val="DefaultParagraphFont"/>
    <w:rsid w:val="0034535F"/>
    <w:rPr>
      <w:color w:val="0563C1" w:themeColor="hyperlink"/>
      <w:u w:val="single"/>
    </w:rPr>
  </w:style>
  <w:style w:type="paragraph" w:styleId="BalloonText">
    <w:name w:val="Balloon Text"/>
    <w:basedOn w:val="Normal"/>
    <w:link w:val="BalloonTextChar"/>
    <w:rsid w:val="0034535F"/>
    <w:rPr>
      <w:rFonts w:ascii="Segoe UI" w:hAnsi="Segoe UI" w:cs="Segoe UI"/>
      <w:sz w:val="18"/>
      <w:szCs w:val="18"/>
    </w:rPr>
  </w:style>
  <w:style w:type="character" w:customStyle="1" w:styleId="BalloonTextChar">
    <w:name w:val="Balloon Text Char"/>
    <w:basedOn w:val="DefaultParagraphFont"/>
    <w:link w:val="BalloonText"/>
    <w:rsid w:val="0034535F"/>
    <w:rPr>
      <w:rFonts w:ascii="Segoe UI" w:hAnsi="Segoe UI" w:cs="Segoe UI"/>
      <w:sz w:val="18"/>
      <w:szCs w:val="18"/>
      <w:lang w:val="lv-LV"/>
    </w:rPr>
  </w:style>
  <w:style w:type="paragraph" w:customStyle="1" w:styleId="Normal24Bold">
    <w:name w:val="Normal24Bold"/>
    <w:basedOn w:val="Normal"/>
    <w:rsid w:val="006959CD"/>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DEA02-B57F-4FB8-91FD-0BE7BE7BB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1476</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2025-02-10T15:58:00Z</dcterms:created>
  <dcterms:modified xsi:type="dcterms:W3CDTF">2025-02-10T15:58:00Z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P10_TA(2024)0062_</vt:lpwstr>
  </property>
  <property fmtid="{D5CDD505-2E9C-101B-9397-08002B2CF9AE}" pid="4" name="&lt;Type&gt;">
    <vt:lpwstr>RR</vt:lpwstr>
  </property>
</Properties>
</file>