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162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162E" w:rsidRDefault="00016813" w:rsidP="0010095E">
            <w:pPr>
              <w:pStyle w:val="EPName"/>
            </w:pPr>
            <w:r w:rsidRPr="0087162E">
              <w:t>Parlament Europejski</w:t>
            </w:r>
          </w:p>
          <w:p w:rsidR="00751A4A" w:rsidRPr="008716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162E">
              <w:t>2024</w:t>
            </w:r>
            <w:r w:rsidR="00817416" w:rsidRPr="0087162E">
              <w:t>-202</w:t>
            </w:r>
            <w:r w:rsidRPr="0087162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7162E" w:rsidRDefault="00187494" w:rsidP="0010095E">
            <w:pPr>
              <w:pStyle w:val="EPLogo"/>
            </w:pPr>
            <w:r w:rsidRPr="0087162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162E" w:rsidRDefault="00D058B8" w:rsidP="004C5D52">
      <w:pPr>
        <w:pStyle w:val="LineTop"/>
      </w:pPr>
    </w:p>
    <w:p w:rsidR="00680577" w:rsidRPr="0087162E" w:rsidRDefault="00016813" w:rsidP="00680577">
      <w:pPr>
        <w:pStyle w:val="EPBodyTA1"/>
      </w:pPr>
      <w:r w:rsidRPr="0087162E">
        <w:t>TEKSTY PRZYJĘTE</w:t>
      </w:r>
    </w:p>
    <w:p w:rsidR="00D058B8" w:rsidRPr="0087162E" w:rsidRDefault="00D058B8" w:rsidP="00D058B8">
      <w:pPr>
        <w:pStyle w:val="LineBottom"/>
      </w:pPr>
    </w:p>
    <w:p w:rsidR="00016813" w:rsidRPr="0087162E" w:rsidRDefault="00016813" w:rsidP="00016813">
      <w:pPr>
        <w:pStyle w:val="ATHeading1"/>
      </w:pPr>
      <w:bookmarkStart w:id="0" w:name="TANumber"/>
      <w:r w:rsidRPr="0087162E">
        <w:t>P10_TA(2024)00</w:t>
      </w:r>
      <w:bookmarkEnd w:id="0"/>
      <w:r w:rsidR="00F12292">
        <w:t>62</w:t>
      </w:r>
    </w:p>
    <w:p w:rsidR="00016813" w:rsidRPr="0087162E" w:rsidRDefault="00016813" w:rsidP="00016813">
      <w:pPr>
        <w:pStyle w:val="ATHeading2"/>
      </w:pPr>
      <w:bookmarkStart w:id="1" w:name="title"/>
      <w:r w:rsidRPr="0087162E">
        <w:t>Uruchomienie Europejskiego Funduszu Dostosowania do Globalizacji: wniosek złożony przez Belgię –</w:t>
      </w:r>
      <w:r w:rsidR="000D2D79">
        <w:t xml:space="preserve"> </w:t>
      </w:r>
      <w:r w:rsidRPr="0087162E">
        <w:t>EGF/2024/002 BE/Limburg machinery and paper</w:t>
      </w:r>
      <w:bookmarkEnd w:id="1"/>
    </w:p>
    <w:p w:rsidR="00016813" w:rsidRPr="0087162E" w:rsidRDefault="00016813" w:rsidP="00016813">
      <w:pPr>
        <w:rPr>
          <w:i/>
          <w:vanish/>
        </w:rPr>
      </w:pPr>
      <w:r w:rsidRPr="0087162E">
        <w:rPr>
          <w:i/>
        </w:rPr>
        <w:fldChar w:fldCharType="begin"/>
      </w:r>
      <w:r w:rsidRPr="0087162E">
        <w:rPr>
          <w:i/>
        </w:rPr>
        <w:instrText xml:space="preserve"> TC"(</w:instrText>
      </w:r>
      <w:bookmarkStart w:id="2" w:name="DocNumber"/>
      <w:r w:rsidRPr="0087162E">
        <w:rPr>
          <w:i/>
        </w:rPr>
        <w:instrText>A10-0019/2024</w:instrText>
      </w:r>
      <w:bookmarkEnd w:id="2"/>
      <w:r w:rsidRPr="0087162E">
        <w:rPr>
          <w:i/>
        </w:rPr>
        <w:instrText xml:space="preserve"> - Sprawozdawca: Matjaž Nemec)"\l3 \n&gt; \* MERGEFORMAT </w:instrText>
      </w:r>
      <w:r w:rsidRPr="0087162E">
        <w:rPr>
          <w:i/>
        </w:rPr>
        <w:fldChar w:fldCharType="end"/>
      </w:r>
    </w:p>
    <w:p w:rsidR="00016813" w:rsidRPr="0087162E" w:rsidRDefault="00016813" w:rsidP="00016813">
      <w:pPr>
        <w:rPr>
          <w:vanish/>
        </w:rPr>
      </w:pPr>
      <w:bookmarkStart w:id="3" w:name="Commission"/>
      <w:r w:rsidRPr="0087162E">
        <w:rPr>
          <w:vanish/>
        </w:rPr>
        <w:t>Komisja Budżetowa</w:t>
      </w:r>
      <w:bookmarkEnd w:id="3"/>
    </w:p>
    <w:p w:rsidR="00016813" w:rsidRPr="0087162E" w:rsidRDefault="00016813" w:rsidP="00016813">
      <w:pPr>
        <w:rPr>
          <w:vanish/>
        </w:rPr>
      </w:pPr>
      <w:bookmarkStart w:id="4" w:name="PE"/>
      <w:r w:rsidRPr="0087162E">
        <w:rPr>
          <w:vanish/>
        </w:rPr>
        <w:t>PE765.241</w:t>
      </w:r>
      <w:bookmarkEnd w:id="4"/>
    </w:p>
    <w:p w:rsidR="00016813" w:rsidRPr="0087162E" w:rsidRDefault="00016813" w:rsidP="00016813">
      <w:pPr>
        <w:pStyle w:val="ATHeading3"/>
      </w:pPr>
      <w:bookmarkStart w:id="5" w:name="Sujet"/>
      <w:r w:rsidRPr="0087162E">
        <w:t xml:space="preserve">Rezolucja Parlamentu Europejskiego z dnia </w:t>
      </w:r>
      <w:r w:rsidR="000D2D79">
        <w:t>17 grudnia</w:t>
      </w:r>
      <w:r w:rsidRPr="0087162E">
        <w:t xml:space="preserve"> 2024 r. w sprawie wniosku dotyczącego decyzji Parlamentu Europejskiego i Rady w sprawie uruchomienia Europejskiego Funduszu Dostosowania do Globalizacji dla Zwalnianych Pracowników w następstwie wniosku złożonego przez Belgię – EGF/2024/002 BE/Limburg machinery and paper</w:t>
      </w:r>
      <w:bookmarkEnd w:id="5"/>
      <w:r w:rsidRPr="0087162E">
        <w:t xml:space="preserve"> </w:t>
      </w:r>
      <w:bookmarkStart w:id="6" w:name="References"/>
      <w:r w:rsidRPr="0087162E">
        <w:t>(COM(2024)0370 – C10-0166/2024 – 2024/0286(BUD))</w:t>
      </w:r>
      <w:bookmarkEnd w:id="6"/>
    </w:p>
    <w:p w:rsidR="00286B1C" w:rsidRPr="0087162E" w:rsidRDefault="00286B1C" w:rsidP="00286B1C">
      <w:pPr>
        <w:pStyle w:val="EPComma"/>
        <w:rPr>
          <w:noProof/>
        </w:rPr>
      </w:pPr>
      <w:r w:rsidRPr="0087162E">
        <w:rPr>
          <w:i/>
        </w:rPr>
        <w:t>Parlament Europejski,</w:t>
      </w:r>
    </w:p>
    <w:p w:rsidR="00286B1C" w:rsidRPr="0087162E" w:rsidRDefault="00286B1C" w:rsidP="00286B1C">
      <w:pPr>
        <w:pStyle w:val="NormalHanging12a"/>
        <w:rPr>
          <w:noProof/>
        </w:rPr>
      </w:pPr>
      <w:r w:rsidRPr="0087162E">
        <w:t>–</w:t>
      </w:r>
      <w:r w:rsidRPr="0087162E">
        <w:tab/>
        <w:t>uwzględniając wniosek Komisji przedłożony Parlamentowi Europejskiemu i Radzie (COM(2024)0370 – C10</w:t>
      </w:r>
      <w:r w:rsidRPr="0087162E">
        <w:noBreakHyphen/>
        <w:t>0166/2024),</w:t>
      </w:r>
    </w:p>
    <w:p w:rsidR="00286B1C" w:rsidRPr="0087162E" w:rsidRDefault="00286B1C" w:rsidP="00286B1C">
      <w:pPr>
        <w:pStyle w:val="NormalHanging12a"/>
        <w:jc w:val="both"/>
      </w:pPr>
      <w:r w:rsidRPr="0087162E">
        <w:t>–</w:t>
      </w:r>
      <w:r w:rsidRPr="0087162E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87162E">
        <w:rPr>
          <w:rStyle w:val="FootnoteReference"/>
          <w:noProof/>
        </w:rPr>
        <w:footnoteReference w:id="1"/>
      </w:r>
      <w:r w:rsidRPr="0087162E">
        <w:t xml:space="preserve"> („rozporządzenie w sprawie EFG”),</w:t>
      </w:r>
    </w:p>
    <w:p w:rsidR="00286B1C" w:rsidRPr="0087162E" w:rsidRDefault="00286B1C" w:rsidP="00286B1C">
      <w:pPr>
        <w:pStyle w:val="NormalHanging12a"/>
        <w:jc w:val="both"/>
        <w:rPr>
          <w:noProof/>
        </w:rPr>
      </w:pPr>
      <w:r w:rsidRPr="0087162E">
        <w:t>–</w:t>
      </w:r>
      <w:r w:rsidRPr="0087162E">
        <w:tab/>
        <w:t>uwzględniając rozporządzenie Rady (UE, Euratom) 2020/2093 z dnia 17 grudnia 2020 r. określające wieloletnie ramy finansowe na lata 2021−2027</w:t>
      </w:r>
      <w:r w:rsidRPr="0087162E">
        <w:rPr>
          <w:rStyle w:val="FootnoteReference"/>
          <w:noProof/>
        </w:rPr>
        <w:footnoteReference w:id="2"/>
      </w:r>
      <w:r w:rsidRPr="0087162E">
        <w:t xml:space="preserve">, zmienione rozporządzeniem </w:t>
      </w:r>
      <w:r w:rsidR="00826DE7">
        <w:t xml:space="preserve">Rady </w:t>
      </w:r>
      <w:r w:rsidRPr="0087162E">
        <w:t>(UE, Euratom) 2024/765</w:t>
      </w:r>
      <w:r w:rsidRPr="0087162E">
        <w:rPr>
          <w:rStyle w:val="FootnoteReference"/>
          <w:bdr w:val="none" w:sz="0" w:space="0" w:color="auto" w:frame="1"/>
        </w:rPr>
        <w:footnoteReference w:id="3"/>
      </w:r>
      <w:r w:rsidRPr="0087162E">
        <w:t>, w szczególności jego art. 8,</w:t>
      </w:r>
    </w:p>
    <w:p w:rsidR="00286B1C" w:rsidRPr="0087162E" w:rsidRDefault="00286B1C" w:rsidP="00286B1C">
      <w:pPr>
        <w:pStyle w:val="NormalHanging12a"/>
        <w:jc w:val="both"/>
        <w:rPr>
          <w:noProof/>
        </w:rPr>
      </w:pPr>
      <w:r w:rsidRPr="0087162E">
        <w:t>–</w:t>
      </w:r>
      <w:r w:rsidRPr="0087162E">
        <w:tab/>
        <w:t xml:space="preserve">uwzględniając Porozumienie międzyinstytucjonalne z dnia 16 grudnia 2020 r. między Parlamentem Europejskim, Radą Unii Europejskiej i Komisją Europejską w sprawie dyscypliny budżetowej, współpracy w kwestiach budżetowych i należytego zarządzania finansami oraz w sprawie nowych zasobów własnych, w tym również harmonogramu </w:t>
      </w:r>
      <w:r w:rsidRPr="0087162E">
        <w:lastRenderedPageBreak/>
        <w:t>wprowadzania nowych zasobów własnych</w:t>
      </w:r>
      <w:r w:rsidRPr="0087162E">
        <w:rPr>
          <w:rStyle w:val="FootnoteReference"/>
          <w:noProof/>
        </w:rPr>
        <w:footnoteReference w:id="4"/>
      </w:r>
      <w:r w:rsidRPr="0087162E">
        <w:t>, w szczególności jego pkt 9,</w:t>
      </w:r>
    </w:p>
    <w:p w:rsidR="00286B1C" w:rsidRPr="0087162E" w:rsidRDefault="00286B1C" w:rsidP="00286B1C">
      <w:pPr>
        <w:pStyle w:val="NormalHanging12a"/>
        <w:jc w:val="both"/>
        <w:rPr>
          <w:noProof/>
        </w:rPr>
      </w:pPr>
      <w:r w:rsidRPr="0087162E">
        <w:t>–</w:t>
      </w:r>
      <w:r w:rsidRPr="0087162E">
        <w:tab/>
        <w:t>uwzględniając zasady Europejskiego filaru praw socjalnych oraz cele określone w Planie działania na rzecz Europejskiego filaru praw socjalnych,</w:t>
      </w:r>
    </w:p>
    <w:p w:rsidR="00286B1C" w:rsidRPr="0087162E" w:rsidRDefault="00286B1C" w:rsidP="00286B1C">
      <w:pPr>
        <w:pStyle w:val="NormalHanging12a"/>
        <w:jc w:val="both"/>
      </w:pPr>
      <w:r w:rsidRPr="0087162E">
        <w:t>–</w:t>
      </w:r>
      <w:r w:rsidRPr="0087162E">
        <w:tab/>
        <w:t>uwzględniając pismo przesłane przez Komisję Zatrudnienia i Spraw Socjalnych,</w:t>
      </w:r>
    </w:p>
    <w:p w:rsidR="00286B1C" w:rsidRPr="0087162E" w:rsidRDefault="00286B1C" w:rsidP="00286B1C">
      <w:pPr>
        <w:pStyle w:val="NormalHanging12a"/>
        <w:jc w:val="both"/>
      </w:pPr>
      <w:r w:rsidRPr="0087162E">
        <w:t>–</w:t>
      </w:r>
      <w:r w:rsidRPr="0087162E">
        <w:tab/>
        <w:t>uwzględniając sprawozdanie Komisji Budżetowej (A10-0019/2024),</w:t>
      </w:r>
    </w:p>
    <w:p w:rsidR="00286B1C" w:rsidRPr="0087162E" w:rsidRDefault="00286B1C" w:rsidP="00286B1C">
      <w:pPr>
        <w:pStyle w:val="NormalHanging12a"/>
        <w:jc w:val="both"/>
      </w:pPr>
      <w:r w:rsidRPr="0087162E">
        <w:t>A.</w:t>
      </w:r>
      <w:r w:rsidRPr="0087162E">
        <w:tab/>
        <w:t>mając na uwadze, że Unia opracowała instrumenty ustawodawcze i budżetowe w celu udzielenia dodatkowego wsparcia pracownikom dotkniętym skutkami istotnych zmian w strukturze światowego handlu lub światowego kryzysu finansowego i gospodarczego oraz z myślą o ułatwieniu im powrotu na rynek pracy; mając na uwadze, że pomoc ta przybiera postać wsparcia finansowego udzielanego pracownikom i przedsiębiorstwom, dla których pracowali;</w:t>
      </w:r>
    </w:p>
    <w:p w:rsidR="00286B1C" w:rsidRPr="0087162E" w:rsidRDefault="00286B1C" w:rsidP="00286B1C">
      <w:pPr>
        <w:pStyle w:val="NormalHanging12a"/>
        <w:jc w:val="both"/>
      </w:pPr>
      <w:r w:rsidRPr="0087162E">
        <w:t>B.</w:t>
      </w:r>
      <w:r w:rsidRPr="0087162E">
        <w:tab/>
        <w:t>mając na uwadze, że Belgia złożyła wniosek EGF/2024/002 BE/Limburg machinery and paper o wkład finansowy z Europejskiego Funduszu Dostosowania do Globalizacji (EFG) w następstwie 681 zwolnień</w:t>
      </w:r>
      <w:r w:rsidRPr="0087162E">
        <w:rPr>
          <w:rStyle w:val="FootnoteReference"/>
        </w:rPr>
        <w:footnoteReference w:id="5"/>
      </w:r>
      <w:r w:rsidRPr="0087162E">
        <w:t xml:space="preserve"> w sektorze działalności gospodarczej zaklasyfikowanym do działu 17 (Produkcja papieru i wyrobów z papieru) i działu 28 (Produkcja maszyn i urządzeń) według klasyfikacji NACE Rev. 2 w regionie Provincie Limburg w okresie odniesienia, który w przypadku tego wniosku trwał od 31 grudnia 2023 r. do 30 kwietnia 2024 r.;</w:t>
      </w:r>
    </w:p>
    <w:p w:rsidR="00286B1C" w:rsidRPr="0087162E" w:rsidRDefault="00286B1C" w:rsidP="00286B1C">
      <w:pPr>
        <w:pStyle w:val="NormalHanging12a"/>
        <w:jc w:val="both"/>
      </w:pPr>
      <w:r w:rsidRPr="0087162E">
        <w:t>C.</w:t>
      </w:r>
      <w:r w:rsidRPr="0087162E">
        <w:tab/>
        <w:t xml:space="preserve">mając na uwadze, że wniosek dotyczy 567 pracowników zwolnionych w przedsiębiorstwie Sappi Lanaken NV (papier) oraz 114 pracowników zwolnionych w przedsiębiorstwie Purmo Group Belgium NV (maszyny); </w:t>
      </w:r>
    </w:p>
    <w:p w:rsidR="00286B1C" w:rsidRPr="0087162E" w:rsidRDefault="00286B1C" w:rsidP="00286B1C">
      <w:pPr>
        <w:pStyle w:val="NormalHanging12a"/>
        <w:jc w:val="both"/>
      </w:pPr>
      <w:r w:rsidRPr="0087162E">
        <w:t>D.</w:t>
      </w:r>
      <w:r w:rsidRPr="0087162E">
        <w:tab/>
        <w:t>mając na uwadze, że wniosek opiera się na kryterium interwencji określonym w art. 4 ust. 2 lit. c) rozporządzenia w sprawie EFG, które wymaga co najmniej 200 zwolnień w czteromiesięcznym okresie odniesienia w przedsiębiorstwach działających w tych samych lub różnych sektorach gospodarki i zlokalizowanych w tym samym regionie;</w:t>
      </w:r>
    </w:p>
    <w:p w:rsidR="00286B1C" w:rsidRPr="0087162E" w:rsidRDefault="00286B1C" w:rsidP="00286B1C">
      <w:pPr>
        <w:pStyle w:val="NormalHanging12a"/>
        <w:jc w:val="both"/>
      </w:pPr>
      <w:r w:rsidRPr="0087162E">
        <w:t>E.</w:t>
      </w:r>
      <w:r w:rsidRPr="0087162E">
        <w:tab/>
        <w:t>mając na uwadze, że pandemia COVID-19 i rosyjska wojna napastnicza przeciwko Ukrainie zmniejszyły konkurencyjność gospodarczą i mają negatywny wpływ na wzrost gospodarczy w Belgii;</w:t>
      </w:r>
    </w:p>
    <w:p w:rsidR="00286B1C" w:rsidRPr="0087162E" w:rsidRDefault="00286B1C" w:rsidP="00286B1C">
      <w:pPr>
        <w:pStyle w:val="NormalHanging12a"/>
        <w:jc w:val="both"/>
        <w:rPr>
          <w:rFonts w:eastAsia="Calibri"/>
          <w:szCs w:val="22"/>
        </w:rPr>
      </w:pPr>
      <w:r w:rsidRPr="0087162E">
        <w:t>F.</w:t>
      </w:r>
      <w:r w:rsidRPr="0087162E">
        <w:tab/>
        <w:t xml:space="preserve">mając na uwadze, że przedsiębiorstwo Sappi Lanaken specjalizowało się w produkcji bezdrzewnego papieru powlekanego; mając na uwadze, że spadek popytu na produkty graficzne wynikający ze zwiększonej cyfryzacji doprowadził do rosnącej nadwyżki mocy produkcyjnych w europejskim sektorze bezdrzewnego papieru powlekanego; mając na uwadze, że bez znacznych inwestycji Sappi Lanaken nie będzie mogło przejść na produkcję innych wyrobów papierniczych, na które popyt jest większy, w związku z czym grupa Sappi postanowiła wstrzymać produkcję w Lanaken i zamknąć zakład, ponieważ nie można było znaleźć odpowiedniego nabywcy ze względu na strukturalną nadwyżkę mocy produkcyjnych w tym sektorze; </w:t>
      </w:r>
    </w:p>
    <w:p w:rsidR="00286B1C" w:rsidRPr="0087162E" w:rsidRDefault="00286B1C" w:rsidP="00286B1C">
      <w:pPr>
        <w:pStyle w:val="NormalHanging12a"/>
        <w:jc w:val="both"/>
        <w:rPr>
          <w:noProof/>
        </w:rPr>
      </w:pPr>
      <w:r w:rsidRPr="0087162E">
        <w:t>G.</w:t>
      </w:r>
      <w:r w:rsidRPr="0087162E">
        <w:tab/>
        <w:t xml:space="preserve">mając na uwadze, że w latach 2018–2023 wielkość produkcji grzejników panelowych </w:t>
      </w:r>
      <w:r w:rsidRPr="0087162E">
        <w:lastRenderedPageBreak/>
        <w:t xml:space="preserve">grupy Purmo stale spadała z 820 000 sztuk w 2018 r. do 320 000 w 2023 r. (-60 %); mając na uwadze, że jeśli porówna się koszty produkcji poszczególnych zakładów grupy Purmo w Europie, widać, że zakład w Zonhoven znajduje się w niekorzystnej sytuacji, ponieważ jego koszty są o 17–35 % wyższe; mając na uwadze, że grupa Purmo podjęła decyzję o zaprzestaniu produkcji grzejników panelowych o szerokości 50 mm w zakładzie w Zonhoven i o zamknięciu odpowiedniej linii produkcyjnej; mając na uwadze, że w związku z nieoczekiwaną sytuacją dotyczącą dostępności i cen gazu, wynikającą z rosyjskiej wojny napastniczej przeciwko Ukrainie, oraz w związku z przepisami Unii sprzyjającymi niskotemperaturowym systemom grzewczym ze szkodą dla grzejników panelowych wzrost popytu jest mało prawdopodobny, ponieważ rynek grzejników panelowych będzie w coraz większym stopniu ograniczał się do wymiany używanych już jednostek; </w:t>
      </w:r>
    </w:p>
    <w:p w:rsidR="00286B1C" w:rsidRPr="0087162E" w:rsidRDefault="00286B1C" w:rsidP="00286B1C">
      <w:pPr>
        <w:pStyle w:val="NormalHanging12a"/>
        <w:jc w:val="both"/>
      </w:pPr>
      <w:r w:rsidRPr="0087162E">
        <w:t>H.</w:t>
      </w:r>
      <w:r w:rsidRPr="0087162E">
        <w:tab/>
        <w:t xml:space="preserve">mając na uwadze, że oba przedsiębiorstwa, zgodnie z prawem belgijskim, zastosowały obowiązkową procedurę informowania przedstawicieli pracowników i konsultowania się z nimi oraz utworzyły jednostkę ds. zatrudnienia, której celem jest zapewnienie pracownikom objętym zwolnieniami grupowymi usług w zakresie zwolnień monitorowanych; </w:t>
      </w:r>
    </w:p>
    <w:p w:rsidR="00286B1C" w:rsidRPr="0087162E" w:rsidRDefault="00286B1C" w:rsidP="00286B1C">
      <w:pPr>
        <w:pStyle w:val="NormalHanging12a"/>
        <w:jc w:val="both"/>
      </w:pPr>
      <w:r w:rsidRPr="0087162E">
        <w:t>I.</w:t>
      </w:r>
      <w:r w:rsidRPr="0087162E">
        <w:tab/>
        <w:t>mając na uwadze, że wkłady finansowe z EFG powinny być ukierunkowane przede wszystkim na środki aktywnej polityki rynku pracy i zindywidualizowane usługi, które mają na celu szybką reintegrację beneficjentów poprzez umożliwienie im godnego i trwałego zatrudnienia w ich pierwotnym sektorze działalności lub poza nim, przy jednoczesnym przygotowaniu ich do funkcjonowania w bardziej ekologicznej i cyfrowej gospodarce europejskiej;</w:t>
      </w:r>
    </w:p>
    <w:p w:rsidR="00286B1C" w:rsidRPr="0087162E" w:rsidRDefault="00286B1C" w:rsidP="00286B1C">
      <w:pPr>
        <w:pStyle w:val="NormalHanging12a"/>
        <w:jc w:val="both"/>
      </w:pPr>
      <w:r w:rsidRPr="0087162E">
        <w:t>J.</w:t>
      </w:r>
      <w:r w:rsidRPr="0087162E">
        <w:tab/>
        <w:t>mając na uwadze, że środki EFG nie mogą przekroczyć maksymalnej rocznej kwoty 30 mln EUR (w cenach z 2018 r.), jak określono w art. 8 rozporządzenia</w:t>
      </w:r>
      <w:r w:rsidR="00826DE7">
        <w:t xml:space="preserve"> Rady</w:t>
      </w:r>
      <w:r w:rsidRPr="0087162E">
        <w:t xml:space="preserve"> (UE, Euratom) 2020/2093, zmienionego rozporządzeniem </w:t>
      </w:r>
      <w:r w:rsidR="00826DE7">
        <w:t xml:space="preserve">Rady </w:t>
      </w:r>
      <w:r w:rsidRPr="0087162E">
        <w:t>(UE, Euratom) 2024/765;</w:t>
      </w:r>
    </w:p>
    <w:p w:rsidR="00286B1C" w:rsidRPr="0087162E" w:rsidRDefault="00286B1C" w:rsidP="00286B1C">
      <w:pPr>
        <w:pStyle w:val="NormalHanging12a"/>
        <w:jc w:val="both"/>
      </w:pPr>
      <w:r w:rsidRPr="0087162E">
        <w:t>1.</w:t>
      </w:r>
      <w:r w:rsidRPr="0087162E">
        <w:tab/>
        <w:t>zgadza się z Komisją, że warunki wymienione w art. 4 ust. 2 lit. c) rozporządzenia w sprawie EFG zostały spełnione i że Belgia ma prawo do wkładu finansowego w wysokości 704 135 EUR na mocy tego rozporządzenia, co stanowi 60 % łącznych kosztów wynoszących 1 173 559 EUR, na które składają się wydatki na zindywidualizowane usługi w wysokości 1 126 559 EUR oraz wydatki w wysokości 47 000 EUR na działania przygotowawcze, działania w zakresie zarządzania, dostarczania i upowszechniania informacji oraz działania w zakresie kontroli i sprawozdawczości;</w:t>
      </w:r>
    </w:p>
    <w:p w:rsidR="00286B1C" w:rsidRPr="0087162E" w:rsidRDefault="00286B1C" w:rsidP="00286B1C">
      <w:pPr>
        <w:pStyle w:val="NormalHanging12a"/>
        <w:jc w:val="both"/>
      </w:pPr>
      <w:r w:rsidRPr="0087162E">
        <w:t>2.</w:t>
      </w:r>
      <w:r w:rsidRPr="0087162E">
        <w:tab/>
        <w:t xml:space="preserve">zauważa, że władze belgijskie złożyły wniosek 19 lipca 2024 r. oraz że po przekazaniu przez Belgię dodatkowych informacji Komisja zakończyła ocenę wniosku 5 listopada 2024 r. i przekazała ją Parlamentowi tego samego dnia; </w:t>
      </w:r>
    </w:p>
    <w:p w:rsidR="00286B1C" w:rsidRPr="0087162E" w:rsidRDefault="00286B1C" w:rsidP="00286B1C">
      <w:pPr>
        <w:pStyle w:val="NormalHanging12a"/>
        <w:jc w:val="both"/>
      </w:pPr>
      <w:r w:rsidRPr="0087162E">
        <w:t>3.</w:t>
      </w:r>
      <w:r w:rsidRPr="0087162E">
        <w:tab/>
        <w:t>zauważa, że wniosek dotyczy 567 pracowników zwolnionych w przedsiębiorstwie Sappi Lanaken oraz 114 pracowników zwolnionych w przedsiębiorstwie Purmo Group Belgium;</w:t>
      </w:r>
      <w:r w:rsidRPr="0087162E">
        <w:rPr>
          <w:color w:val="000000"/>
        </w:rPr>
        <w:t xml:space="preserve"> zauważa ponadto, że pomocą objętych zostanie łącznie 632 pracowników i że są to prawie wyłącznie mężczyźni;</w:t>
      </w:r>
    </w:p>
    <w:p w:rsidR="00286B1C" w:rsidRPr="0087162E" w:rsidRDefault="00286B1C" w:rsidP="00286B1C">
      <w:pPr>
        <w:pStyle w:val="NormalHanging12a"/>
        <w:jc w:val="both"/>
      </w:pPr>
      <w:r w:rsidRPr="0087162E">
        <w:t>4.</w:t>
      </w:r>
      <w:r w:rsidRPr="0087162E">
        <w:tab/>
        <w:t xml:space="preserve">podkreśla, że sytuacja na rynkach pracy w Lanaken i Zonhoven jest gorsza niż w całej Limburgii czy Flandrii, a stosunek liczby ludności aktywnej zawodowo do dostępnych miejsc pracy jest znacznie niższy niż w całej Limburgii lub we Flandrii; podkreśla, że </w:t>
      </w:r>
      <w:r w:rsidRPr="0087162E">
        <w:lastRenderedPageBreak/>
        <w:t>liczba miejsc pracy w przemyśle dostępnych w Limburgii spadła w 2023 r. o 15 %;</w:t>
      </w:r>
    </w:p>
    <w:p w:rsidR="00286B1C" w:rsidRPr="0087162E" w:rsidRDefault="00286B1C" w:rsidP="00286B1C">
      <w:pPr>
        <w:pStyle w:val="NormalHanging12a"/>
        <w:jc w:val="both"/>
      </w:pPr>
      <w:r w:rsidRPr="0087162E">
        <w:t>5.</w:t>
      </w:r>
      <w:r w:rsidRPr="0087162E">
        <w:tab/>
        <w:t xml:space="preserve">zwraca uwagę, że profile zwolnionych pracowników, z których jedna trzecia ma co najmniej 55 lat, a 30 % ma niski poziom wykształcenia, przekładają się na poważne bariery na rynku pracy; podkreśla, że biorąc pod uwagę tendencję spadkową w zakresie wolnych miejsc pracy i ich rozmieszczenie geograficzne, pracownicy ci będą potrzebowali dodatkowego wsparcia, dostosowanego do ich potrzeb, aby móc wrócić na rynek pracy; </w:t>
      </w:r>
    </w:p>
    <w:p w:rsidR="00286B1C" w:rsidRPr="0087162E" w:rsidRDefault="00286B1C" w:rsidP="00286B1C">
      <w:pPr>
        <w:pStyle w:val="NormalHanging12a"/>
        <w:jc w:val="both"/>
      </w:pPr>
      <w:r w:rsidRPr="0087162E">
        <w:t>6.</w:t>
      </w:r>
      <w:r w:rsidRPr="0087162E">
        <w:tab/>
        <w:t>przypomina, że władze belgijskie muszą uznać pochodzenie i zagwarantować widoczność unijnego finansowania oraz podkreślać unijną wartość dodaną interwencji przez spójne, skuteczne i ukierunkowane informacje kierowane do różnych grup odbiorców, w tym beneficjentów objętych pomocą, władz lokalnych i regionalnych, partnerów społecznych, mediów i ogółu społeczeństwa;</w:t>
      </w:r>
    </w:p>
    <w:p w:rsidR="00286B1C" w:rsidRPr="0087162E" w:rsidRDefault="00286B1C" w:rsidP="00286B1C">
      <w:pPr>
        <w:pStyle w:val="NormalHanging12a"/>
        <w:jc w:val="both"/>
      </w:pPr>
      <w:r w:rsidRPr="0087162E">
        <w:t>7.</w:t>
      </w:r>
      <w:r w:rsidRPr="0087162E">
        <w:tab/>
        <w:t>uważa, że zapewnienie zwolnionym pracownikom możliwości zdobycia kwalifikacji niezbędnych do przyszłego zatrudnienia stanowi odpowiedzialność społeczną Unii i państw członkowskich, biorąc pod uwagę, że transformacja cyfrowa i ekologiczna ma znaczący wpływ na ich sektory, a jednocześnie prowadzi do zmniejszenia popytu; z zadowoleniem przyjmuje fakt, że Belgia sporządziła skoordynowany pakiet zindywidualizowanych usług w porozumieniu z beneficjentami objętymi pomocą, ich przedstawicielami i z partnerami społecznymi;</w:t>
      </w:r>
    </w:p>
    <w:p w:rsidR="00286B1C" w:rsidRPr="0087162E" w:rsidRDefault="00286B1C" w:rsidP="00286B1C">
      <w:pPr>
        <w:pStyle w:val="NormalHanging12a"/>
        <w:jc w:val="both"/>
      </w:pPr>
      <w:r w:rsidRPr="0087162E">
        <w:t>8.</w:t>
      </w:r>
      <w:r w:rsidRPr="0087162E">
        <w:tab/>
        <w:t>podkreśla, że wsparcie z EFG musi być częścią szerszej strategii na rzecz zwolnionych pracowników i ich regionu, na wszystkich szczeblach politycznych, w tym obejmować wsparcie udzielane za pośrednictwem odpowiednich instrumentów finansowania Unii, w celu dopilnowania, by nikt nie został pominięty podczas transformacji cyfrowej i klimatycznej;</w:t>
      </w:r>
    </w:p>
    <w:p w:rsidR="00286B1C" w:rsidRPr="0087162E" w:rsidRDefault="00286B1C" w:rsidP="00286B1C">
      <w:pPr>
        <w:pStyle w:val="NormalHanging12a"/>
        <w:jc w:val="both"/>
      </w:pPr>
      <w:r w:rsidRPr="0087162E">
        <w:t>9.</w:t>
      </w:r>
      <w:r w:rsidRPr="0087162E">
        <w:tab/>
        <w:t>przypomina, że zindywidualizowane usługi, które mają zostać zapewnione pracownikom, obejmują następujące działania: doradca ds. interwencji socjalnych, poradnictwo, doradztwo i orientacja zawodowa, aktywna pomoc w poszukiwaniu pracy, szkolenie, nabywanie nowych kwalifikacji i szkolenie zawodowe, w tym szkolenie w zakresie umiejętności cyfrowych, a także szkolenie w miejscu pracy;</w:t>
      </w:r>
    </w:p>
    <w:p w:rsidR="00286B1C" w:rsidRPr="0087162E" w:rsidRDefault="00286B1C" w:rsidP="00286B1C">
      <w:pPr>
        <w:pStyle w:val="NormalHanging12a"/>
        <w:jc w:val="both"/>
      </w:pPr>
      <w:r w:rsidRPr="0087162E">
        <w:t>10.</w:t>
      </w:r>
      <w:r w:rsidRPr="0087162E">
        <w:tab/>
        <w:t>zauważa, że Belgia rozpoczęła świadczenie zindywidualizowanych usług na rzecz beneficjentów objętych pomocą 26 grudnia 2023 r., a zatem okres kwalifikowalności do otrzymania wkładu finansowego z EFG będzie trwał od tego dnia do upłynięcia 24 miesięcy od daty wejścia w życie decyzji w sprawie finansowania;</w:t>
      </w:r>
    </w:p>
    <w:p w:rsidR="00286B1C" w:rsidRPr="0087162E" w:rsidRDefault="00286B1C" w:rsidP="00286B1C">
      <w:pPr>
        <w:pStyle w:val="NormalHanging12a"/>
        <w:jc w:val="both"/>
        <w:rPr>
          <w:sz w:val="23"/>
          <w:szCs w:val="23"/>
        </w:rPr>
      </w:pPr>
      <w:r w:rsidRPr="0087162E">
        <w:t>11.</w:t>
      </w:r>
      <w:r w:rsidRPr="0087162E">
        <w:tab/>
        <w:t>zauważa, że Belgia zaczęła ponosić wydatki administracyjne związane z wdrażaniem EFG 20 listopada 2023 r. i że takie wydatki będą kwalifikowały się zatem do przyznania wkładu finansowego z EFG od tego dnia do upłynięcia 31 miesięcy od daty wejścia w życie decyzji w sprawie finansowania;</w:t>
      </w:r>
    </w:p>
    <w:p w:rsidR="00286B1C" w:rsidRPr="0087162E" w:rsidRDefault="00286B1C" w:rsidP="00286B1C">
      <w:pPr>
        <w:pStyle w:val="NormalHanging12a"/>
        <w:jc w:val="both"/>
      </w:pPr>
      <w:r w:rsidRPr="0087162E">
        <w:t>12.</w:t>
      </w:r>
      <w:r w:rsidRPr="0087162E">
        <w:tab/>
        <w:t>podkreśla, że władze belgijskie potwierdziły, iż przy dostępie do proponowanych działań i ich wdrażaniu przestrzegane będą zasady równego traktowania i niedyskryminacji oraz że będzie się zapobiegać wszelkim przypadkom podwójnego finansowania;</w:t>
      </w:r>
    </w:p>
    <w:p w:rsidR="00286B1C" w:rsidRPr="0087162E" w:rsidRDefault="00286B1C" w:rsidP="00286B1C">
      <w:pPr>
        <w:pStyle w:val="NormalHanging12a"/>
        <w:jc w:val="both"/>
      </w:pPr>
      <w:r w:rsidRPr="0087162E">
        <w:t>13.</w:t>
      </w:r>
      <w:r w:rsidRPr="0087162E">
        <w:tab/>
        <w:t xml:space="preserve">przypomina, że aby zapewnić pełną dodatkowość środków, pomoc z EFG nie może zastępować działań, za które na mocy prawa krajowego lub układów zbiorowych </w:t>
      </w:r>
      <w:r w:rsidRPr="0087162E">
        <w:lastRenderedPageBreak/>
        <w:t>odpowiedzialne są przedsiębiorstwa, ani też żadnych świadczeń lub praw zwolnionych pracowników; przypomina, że państwa członkowskie ubiegające się o wsparcie finansowe z EFG muszą dopilnować, aby spełnione zostały wymogi dotyczące zwolnień grupowych określone w prawie krajowym i unijnym oraz aby dane przedsiębiorstwo zajęło się odpowiednio pracownikami;</w:t>
      </w:r>
    </w:p>
    <w:p w:rsidR="00286B1C" w:rsidRPr="0087162E" w:rsidRDefault="00286B1C" w:rsidP="00286B1C">
      <w:pPr>
        <w:pStyle w:val="NormalHanging12a"/>
        <w:jc w:val="both"/>
      </w:pPr>
      <w:r w:rsidRPr="0087162E">
        <w:t>14.</w:t>
      </w:r>
      <w:r w:rsidRPr="0087162E">
        <w:tab/>
        <w:t>wzywa władze belgijskie i inne państwa członkowskie do proaktywnego podejmowania środków zapobiegawczych, aby dostosować przemysł do globalizacji oraz zmian technologicznych i środowiskowych, a także chronić pracowników przed utratą pracy i innymi negatywnymi skutkami globalizacji;</w:t>
      </w:r>
    </w:p>
    <w:p w:rsidR="00286B1C" w:rsidRPr="0087162E" w:rsidRDefault="00286B1C" w:rsidP="00286B1C">
      <w:pPr>
        <w:pStyle w:val="NormalHanging12a"/>
        <w:jc w:val="both"/>
      </w:pPr>
      <w:r w:rsidRPr="0087162E">
        <w:t>15.</w:t>
      </w:r>
      <w:r w:rsidRPr="0087162E">
        <w:tab/>
        <w:t>zatwierdza decyzję załączoną do niniejszej rezolucji;</w:t>
      </w:r>
    </w:p>
    <w:p w:rsidR="00286B1C" w:rsidRPr="0087162E" w:rsidRDefault="00286B1C" w:rsidP="00286B1C">
      <w:pPr>
        <w:pStyle w:val="NormalHanging12a"/>
        <w:jc w:val="both"/>
      </w:pPr>
      <w:r w:rsidRPr="0087162E">
        <w:t>16.</w:t>
      </w:r>
      <w:r w:rsidRPr="0087162E">
        <w:tab/>
        <w:t xml:space="preserve">zobowiązuje swoją przewodniczącą do podpisania wraz z przewodniczącym Rady niniejszej decyzji i zarządzenia jej publikacji w </w:t>
      </w:r>
      <w:r w:rsidRPr="0087162E">
        <w:rPr>
          <w:i/>
        </w:rPr>
        <w:t>Dzienniku Urzędowym Unii Europejskiej</w:t>
      </w:r>
      <w:r w:rsidRPr="0087162E">
        <w:t>;</w:t>
      </w:r>
    </w:p>
    <w:p w:rsidR="00286B1C" w:rsidRPr="0087162E" w:rsidRDefault="00286B1C" w:rsidP="00286B1C">
      <w:pPr>
        <w:pStyle w:val="NormalHanging12a"/>
        <w:jc w:val="both"/>
      </w:pPr>
      <w:r w:rsidRPr="0087162E">
        <w:t>17.</w:t>
      </w:r>
      <w:r w:rsidRPr="0087162E">
        <w:tab/>
        <w:t>zobowiązuje swoją przewodniczącą do przekazania niniejszej rezolucji wraz z załącznikiem Radzie i Komisji.</w:t>
      </w:r>
    </w:p>
    <w:p w:rsidR="00286B1C" w:rsidRPr="0087162E" w:rsidRDefault="00286B1C" w:rsidP="00286B1C">
      <w:pPr>
        <w:pStyle w:val="NormalHanging12a"/>
        <w:jc w:val="both"/>
        <w:rPr>
          <w:szCs w:val="24"/>
        </w:rPr>
      </w:pPr>
      <w:r w:rsidRPr="0087162E">
        <w:br w:type="page"/>
      </w:r>
    </w:p>
    <w:p w:rsidR="000D2D79" w:rsidRDefault="000D2D79" w:rsidP="00391BB0">
      <w:pPr>
        <w:pStyle w:val="PageHeading"/>
      </w:pPr>
      <w:bookmarkStart w:id="7" w:name="_Toc183769395"/>
      <w:r>
        <w:lastRenderedPageBreak/>
        <w:t>ZAŁĄCZNIK</w:t>
      </w:r>
    </w:p>
    <w:p w:rsidR="00286B1C" w:rsidRPr="0087162E" w:rsidRDefault="00286B1C" w:rsidP="00286B1C">
      <w:pPr>
        <w:pStyle w:val="PageHeading"/>
        <w:rPr>
          <w:noProof/>
        </w:rPr>
      </w:pPr>
      <w:r w:rsidRPr="0087162E">
        <w:t>DECYZJA PARLAMENTU EUROPEJSKIEGO I RADY</w:t>
      </w:r>
      <w:bookmarkEnd w:id="7"/>
    </w:p>
    <w:p w:rsidR="00286B1C" w:rsidRPr="0087162E" w:rsidRDefault="00391BB0" w:rsidP="00391BB0">
      <w:pPr>
        <w:pStyle w:val="NormalBold24a"/>
        <w:jc w:val="center"/>
        <w:rPr>
          <w:color w:val="000000"/>
          <w:sz w:val="20"/>
        </w:rPr>
      </w:pPr>
      <w:r>
        <w:t>w sprawie uruchomienia Europejskiego Funduszu Dostosowania do Globalizacji dla Zwalnianych Pracowników w następstwie wniosku złożonego przez Belgię (EGF/2024/002 BE/Limburg machinery and paper)</w:t>
      </w:r>
    </w:p>
    <w:p w:rsidR="00E365E1" w:rsidRPr="0087162E" w:rsidRDefault="00391BB0" w:rsidP="00391BB0">
      <w:pPr>
        <w:pStyle w:val="Institutionquiagit"/>
      </w:pPr>
      <w:r w:rsidRPr="00D550EC">
        <w:rPr>
          <w:i/>
        </w:rPr>
        <w:t xml:space="preserve">(Tekst tego załącznika nie został powtórzony w tym miejscu, ponieważ odpowiada on końcowej wersji decyzji </w:t>
      </w:r>
      <w:r>
        <w:rPr>
          <w:i/>
        </w:rPr>
        <w:t xml:space="preserve">(UE) </w:t>
      </w:r>
      <w:r>
        <w:rPr>
          <w:i/>
        </w:rPr>
        <w:t>2025</w:t>
      </w:r>
      <w:r w:rsidRPr="00D550EC">
        <w:rPr>
          <w:i/>
        </w:rPr>
        <w:t>/</w:t>
      </w:r>
      <w:r>
        <w:rPr>
          <w:i/>
        </w:rPr>
        <w:t>47</w:t>
      </w:r>
      <w:r w:rsidRPr="00D550EC">
        <w:rPr>
          <w:i/>
        </w:rPr>
        <w:t>.)</w:t>
      </w:r>
      <w:bookmarkStart w:id="8" w:name="_GoBack"/>
      <w:bookmarkEnd w:id="8"/>
    </w:p>
    <w:sectPr w:rsidR="00E365E1" w:rsidRPr="0087162E" w:rsidSect="008716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813" w:rsidRPr="0087162E" w:rsidRDefault="00016813">
      <w:r w:rsidRPr="0087162E">
        <w:separator/>
      </w:r>
    </w:p>
  </w:endnote>
  <w:endnote w:type="continuationSeparator" w:id="0">
    <w:p w:rsidR="00016813" w:rsidRPr="0087162E" w:rsidRDefault="00016813">
      <w:r w:rsidRPr="008716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162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162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162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813" w:rsidRPr="0087162E" w:rsidRDefault="00016813">
      <w:r w:rsidRPr="0087162E">
        <w:separator/>
      </w:r>
    </w:p>
  </w:footnote>
  <w:footnote w:type="continuationSeparator" w:id="0">
    <w:p w:rsidR="00016813" w:rsidRPr="0087162E" w:rsidRDefault="00016813">
      <w:r w:rsidRPr="0087162E">
        <w:continuationSeparator/>
      </w:r>
    </w:p>
  </w:footnote>
  <w:footnote w:id="1">
    <w:p w:rsidR="00286B1C" w:rsidRPr="0087162E" w:rsidRDefault="00286B1C" w:rsidP="0087162E">
      <w:pPr>
        <w:pStyle w:val="FootnoteText"/>
        <w:ind w:left="567" w:hanging="567"/>
        <w:rPr>
          <w:sz w:val="24"/>
          <w:lang w:val="pl-PL"/>
        </w:rPr>
      </w:pPr>
      <w:r w:rsidRPr="0087162E">
        <w:rPr>
          <w:rStyle w:val="FootnoteReference"/>
          <w:sz w:val="24"/>
          <w:lang w:val="pl-PL"/>
        </w:rPr>
        <w:footnoteRef/>
      </w:r>
      <w:r w:rsidR="0087162E" w:rsidRPr="0087162E">
        <w:rPr>
          <w:sz w:val="24"/>
          <w:lang w:val="pl-PL"/>
        </w:rPr>
        <w:t xml:space="preserve"> </w:t>
      </w:r>
      <w:r w:rsidR="0087162E" w:rsidRPr="0087162E">
        <w:rPr>
          <w:sz w:val="24"/>
          <w:lang w:val="pl-PL"/>
        </w:rPr>
        <w:tab/>
      </w:r>
      <w:r w:rsidRPr="0087162E">
        <w:rPr>
          <w:sz w:val="24"/>
          <w:lang w:val="pl-PL"/>
        </w:rPr>
        <w:t xml:space="preserve">Dz.U. L 153 z 3.5.2021, s. 48, </w:t>
      </w:r>
      <w:r w:rsidR="000D2D79" w:rsidRPr="00826DE7">
        <w:rPr>
          <w:sz w:val="24"/>
          <w:lang w:val="pl-PL"/>
        </w:rPr>
        <w:t xml:space="preserve">ELI: </w:t>
      </w:r>
      <w:hyperlink r:id="rId1" w:history="1">
        <w:r w:rsidR="000D2D79" w:rsidRPr="00826DE7">
          <w:rPr>
            <w:rStyle w:val="Hyperlink"/>
            <w:lang w:val="pl-PL"/>
          </w:rPr>
          <w:t>http://data.europa.eu/eli/reg/2021/691/oj</w:t>
        </w:r>
      </w:hyperlink>
      <w:r w:rsidRPr="0087162E">
        <w:rPr>
          <w:sz w:val="24"/>
          <w:lang w:val="pl-PL"/>
        </w:rPr>
        <w:t>.</w:t>
      </w:r>
    </w:p>
  </w:footnote>
  <w:footnote w:id="2">
    <w:p w:rsidR="00286B1C" w:rsidRPr="0087162E" w:rsidRDefault="00286B1C" w:rsidP="0087162E">
      <w:pPr>
        <w:pStyle w:val="FootnoteText"/>
        <w:ind w:left="567" w:hanging="567"/>
        <w:rPr>
          <w:sz w:val="24"/>
          <w:lang w:val="pl-PL"/>
        </w:rPr>
      </w:pPr>
      <w:r w:rsidRPr="0087162E">
        <w:rPr>
          <w:rStyle w:val="FootnoteReference"/>
          <w:sz w:val="24"/>
          <w:lang w:val="pl-PL"/>
        </w:rPr>
        <w:footnoteRef/>
      </w:r>
      <w:r w:rsidR="0087162E" w:rsidRPr="0087162E">
        <w:rPr>
          <w:sz w:val="24"/>
          <w:lang w:val="pl-PL"/>
        </w:rPr>
        <w:t xml:space="preserve"> </w:t>
      </w:r>
      <w:r w:rsidR="0087162E" w:rsidRPr="0087162E">
        <w:rPr>
          <w:sz w:val="24"/>
          <w:lang w:val="pl-PL"/>
        </w:rPr>
        <w:tab/>
      </w:r>
      <w:r w:rsidRPr="0087162E">
        <w:rPr>
          <w:sz w:val="24"/>
          <w:lang w:val="pl-PL"/>
        </w:rPr>
        <w:t xml:space="preserve">Dz.U. L 433 I z 22.12.2020, s. 11, ELI: </w:t>
      </w:r>
      <w:hyperlink r:id="rId2" w:history="1">
        <w:r w:rsidR="000D2D79" w:rsidRPr="00826DE7">
          <w:rPr>
            <w:rStyle w:val="Hyperlink"/>
            <w:lang w:val="pl-PL"/>
          </w:rPr>
          <w:t>http://data.europa.eu/eli/reg/2020/2093/oj</w:t>
        </w:r>
      </w:hyperlink>
      <w:r w:rsidRPr="0087162E">
        <w:rPr>
          <w:sz w:val="24"/>
          <w:lang w:val="pl-PL"/>
        </w:rPr>
        <w:t>.</w:t>
      </w:r>
    </w:p>
  </w:footnote>
  <w:footnote w:id="3">
    <w:p w:rsidR="00286B1C" w:rsidRPr="0087162E" w:rsidRDefault="00286B1C" w:rsidP="0087162E">
      <w:pPr>
        <w:pStyle w:val="FootnoteText"/>
        <w:ind w:left="567" w:hanging="567"/>
        <w:rPr>
          <w:sz w:val="24"/>
          <w:lang w:val="pl-PL"/>
        </w:rPr>
      </w:pPr>
      <w:r w:rsidRPr="0087162E">
        <w:rPr>
          <w:rStyle w:val="FootnoteReference"/>
          <w:sz w:val="24"/>
          <w:lang w:val="pl-PL"/>
        </w:rPr>
        <w:footnoteRef/>
      </w:r>
      <w:r w:rsidR="0087162E" w:rsidRPr="0087162E">
        <w:rPr>
          <w:color w:val="333333"/>
          <w:sz w:val="24"/>
          <w:shd w:val="clear" w:color="auto" w:fill="FFFFFF"/>
          <w:lang w:val="pl-PL"/>
        </w:rPr>
        <w:t xml:space="preserve"> </w:t>
      </w:r>
      <w:r w:rsidR="0087162E" w:rsidRPr="0087162E">
        <w:rPr>
          <w:color w:val="333333"/>
          <w:sz w:val="24"/>
          <w:shd w:val="clear" w:color="auto" w:fill="FFFFFF"/>
          <w:lang w:val="pl-PL"/>
        </w:rPr>
        <w:tab/>
      </w:r>
      <w:r w:rsidRPr="0087162E">
        <w:rPr>
          <w:color w:val="333333"/>
          <w:sz w:val="24"/>
          <w:shd w:val="clear" w:color="auto" w:fill="FFFFFF"/>
          <w:lang w:val="pl-PL"/>
        </w:rPr>
        <w:t>Rozporządzenie Rady (UE, Euratom) 2024/765 z dnia 29 lutego 2024 r. w sprawie zmiany rozporządzenia (UE, Euratom) 2020/2093 określającego wieloletnie ramy finansowe na lata 2021–2027 (</w:t>
      </w:r>
      <w:r w:rsidRPr="0087162E">
        <w:rPr>
          <w:sz w:val="24"/>
          <w:lang w:val="pl-PL"/>
        </w:rPr>
        <w:t>Dz.U. L, 2024/765, 29.2.2024, ELI:</w:t>
      </w:r>
      <w:hyperlink r:id="rId3" w:history="1">
        <w:r w:rsidR="000D2D79" w:rsidRPr="00826DE7">
          <w:rPr>
            <w:rStyle w:val="Hyperlink"/>
            <w:shd w:val="clear" w:color="auto" w:fill="FFFFFF"/>
            <w:lang w:val="pl-PL"/>
          </w:rPr>
          <w:t>http://data.europa.eu/eli/reg/2024/765/oj</w:t>
        </w:r>
      </w:hyperlink>
      <w:r w:rsidRPr="00826DE7">
        <w:rPr>
          <w:rStyle w:val="Emphasis"/>
          <w:i w:val="0"/>
          <w:color w:val="333333"/>
          <w:sz w:val="24"/>
          <w:shd w:val="clear" w:color="auto" w:fill="FFFFFF"/>
          <w:lang w:val="pl-PL"/>
        </w:rPr>
        <w:t>)</w:t>
      </w:r>
      <w:r w:rsidRPr="0087162E">
        <w:rPr>
          <w:rStyle w:val="Emphasis"/>
          <w:color w:val="333333"/>
          <w:sz w:val="24"/>
          <w:shd w:val="clear" w:color="auto" w:fill="FFFFFF"/>
          <w:lang w:val="pl-PL"/>
        </w:rPr>
        <w:t>.</w:t>
      </w:r>
    </w:p>
  </w:footnote>
  <w:footnote w:id="4">
    <w:p w:rsidR="00286B1C" w:rsidRPr="0087162E" w:rsidRDefault="00286B1C" w:rsidP="0087162E">
      <w:pPr>
        <w:pStyle w:val="FootnoteText"/>
        <w:ind w:left="567" w:hanging="567"/>
        <w:rPr>
          <w:sz w:val="24"/>
          <w:lang w:val="pl-PL"/>
        </w:rPr>
      </w:pPr>
      <w:r w:rsidRPr="0087162E">
        <w:rPr>
          <w:rStyle w:val="FootnoteReference"/>
          <w:sz w:val="24"/>
          <w:lang w:val="pl-PL"/>
        </w:rPr>
        <w:footnoteRef/>
      </w:r>
      <w:r w:rsidR="0087162E" w:rsidRPr="0087162E">
        <w:rPr>
          <w:sz w:val="24"/>
          <w:lang w:val="pl-PL"/>
        </w:rPr>
        <w:t xml:space="preserve"> </w:t>
      </w:r>
      <w:r w:rsidR="0087162E" w:rsidRPr="0087162E">
        <w:rPr>
          <w:sz w:val="24"/>
          <w:lang w:val="pl-PL"/>
        </w:rPr>
        <w:tab/>
      </w:r>
      <w:r w:rsidRPr="0087162E">
        <w:rPr>
          <w:sz w:val="24"/>
          <w:lang w:val="pl-PL"/>
        </w:rPr>
        <w:t xml:space="preserve">Dz.U. L 433 I z 22.12.2020, s. 28, ELI: </w:t>
      </w:r>
      <w:hyperlink r:id="rId4" w:history="1">
        <w:r w:rsidR="000D2D79" w:rsidRPr="00826DE7">
          <w:rPr>
            <w:rStyle w:val="Hyperlink"/>
            <w:lang w:val="pl-PL"/>
          </w:rPr>
          <w:t>http://data.europa.eu/eli/agree_interinstit/2020/1222/oj</w:t>
        </w:r>
      </w:hyperlink>
      <w:r w:rsidRPr="0087162E">
        <w:rPr>
          <w:sz w:val="24"/>
          <w:lang w:val="pl-PL"/>
        </w:rPr>
        <w:t>.</w:t>
      </w:r>
    </w:p>
  </w:footnote>
  <w:footnote w:id="5">
    <w:p w:rsidR="00286B1C" w:rsidRPr="0087162E" w:rsidRDefault="00286B1C" w:rsidP="0087162E">
      <w:pPr>
        <w:pStyle w:val="FootnoteText"/>
        <w:ind w:left="567" w:hanging="567"/>
        <w:rPr>
          <w:sz w:val="24"/>
          <w:lang w:val="pl-PL"/>
        </w:rPr>
      </w:pPr>
      <w:r w:rsidRPr="0087162E">
        <w:rPr>
          <w:rStyle w:val="FootnoteReference"/>
          <w:sz w:val="24"/>
          <w:lang w:val="pl-PL"/>
        </w:rPr>
        <w:footnoteRef/>
      </w:r>
      <w:r w:rsidR="0087162E" w:rsidRPr="0087162E">
        <w:rPr>
          <w:sz w:val="24"/>
          <w:lang w:val="pl-PL"/>
        </w:rPr>
        <w:t xml:space="preserve"> </w:t>
      </w:r>
      <w:r w:rsidR="0087162E" w:rsidRPr="0087162E">
        <w:rPr>
          <w:sz w:val="24"/>
          <w:lang w:val="pl-PL"/>
        </w:rPr>
        <w:tab/>
      </w:r>
      <w:r w:rsidRPr="0087162E">
        <w:rPr>
          <w:sz w:val="24"/>
          <w:lang w:val="pl-PL"/>
        </w:rPr>
        <w:t>W rozumieniu art. 3 rozporządzenia w sprawie EFG.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162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162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162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4"/>
    <w:docVar w:name="dvlangue" w:val="PL"/>
    <w:docVar w:name="dvnumam" w:val="0"/>
    <w:docVar w:name="dvpe" w:val="765.241"/>
    <w:docVar w:name="dvrapporteur" w:val="Sprawozdawca: "/>
    <w:docVar w:name="dvtitre" w:val="Rezolucja Parlamentu Europejskiego z dnia  2024 r. w sprawie wniosku dotyczącego decyzji Parlamentu Europejskiego i Rady w sprawie uruchomienia Europejskiego Funduszu Dostosowania do Globalizacji dla Zwalnianych Pracowników w następstwie wniosku złożonego przez Belgię – EGF/2024/002 BE/Limburg machinery and paper(COM(2024)0370 – C10-0166/2024 – 2024/0286(BUD))"/>
  </w:docVars>
  <w:rsids>
    <w:rsidRoot w:val="00016813"/>
    <w:rsid w:val="00002272"/>
    <w:rsid w:val="00016813"/>
    <w:rsid w:val="00064002"/>
    <w:rsid w:val="000677B9"/>
    <w:rsid w:val="000831BA"/>
    <w:rsid w:val="000A42CC"/>
    <w:rsid w:val="000D2D79"/>
    <w:rsid w:val="000E7DD9"/>
    <w:rsid w:val="0010095E"/>
    <w:rsid w:val="00125B37"/>
    <w:rsid w:val="00187494"/>
    <w:rsid w:val="001F32AE"/>
    <w:rsid w:val="002767FF"/>
    <w:rsid w:val="00286B1C"/>
    <w:rsid w:val="002B18FE"/>
    <w:rsid w:val="002B5493"/>
    <w:rsid w:val="00343214"/>
    <w:rsid w:val="00361C00"/>
    <w:rsid w:val="00391BB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DE7"/>
    <w:rsid w:val="00842779"/>
    <w:rsid w:val="00865F67"/>
    <w:rsid w:val="0087162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292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B19B43"/>
  <w15:chartTrackingRefBased/>
  <w15:docId w15:val="{0D169860-5C5F-4397-961E-2A0B7854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286B1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286B1C"/>
    <w:pPr>
      <w:spacing w:after="240"/>
      <w:ind w:left="567" w:hanging="567"/>
    </w:pPr>
  </w:style>
  <w:style w:type="paragraph" w:customStyle="1" w:styleId="NormalBold24a">
    <w:name w:val="NormalBold24a"/>
    <w:basedOn w:val="Normal"/>
    <w:rsid w:val="00286B1C"/>
    <w:pPr>
      <w:spacing w:after="480"/>
    </w:pPr>
    <w:rPr>
      <w:b/>
      <w:bCs/>
    </w:rPr>
  </w:style>
  <w:style w:type="paragraph" w:customStyle="1" w:styleId="EPComma">
    <w:name w:val="EPComma"/>
    <w:basedOn w:val="Normal"/>
    <w:rsid w:val="00286B1C"/>
    <w:pPr>
      <w:spacing w:before="480" w:after="240"/>
    </w:pPr>
  </w:style>
  <w:style w:type="character" w:styleId="Hyperlink">
    <w:name w:val="Hyperlink"/>
    <w:basedOn w:val="DefaultParagraphFont"/>
    <w:rsid w:val="00286B1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86B1C"/>
    <w:rPr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286B1C"/>
    <w:rPr>
      <w:i/>
      <w:iCs/>
    </w:rPr>
  </w:style>
  <w:style w:type="paragraph" w:customStyle="1" w:styleId="Institutionquisigne">
    <w:name w:val="Institution qui signe"/>
    <w:basedOn w:val="Normal"/>
    <w:next w:val="Normal"/>
    <w:rsid w:val="00286B1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86B1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86B1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86B1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86B1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86B1C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286B1C"/>
    <w:rPr>
      <w:rFonts w:ascii="Arial" w:hAnsi="Arial" w:cs="Arial"/>
      <w:b/>
      <w:sz w:val="24"/>
      <w:lang w:val="pl-PL"/>
    </w:rPr>
  </w:style>
  <w:style w:type="paragraph" w:customStyle="1" w:styleId="Personnequisigne">
    <w:name w:val="Personne qui signe"/>
    <w:basedOn w:val="Normal"/>
    <w:next w:val="Institutionquisigne"/>
    <w:rsid w:val="00286B1C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2925A-3D07-437C-89E0-82F91E788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1631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2025-02-17T00:18:00Z</dcterms:created>
  <dcterms:modified xsi:type="dcterms:W3CDTF">2025-02-17T00:18:00Z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P10_TA(2024)0062_</vt:lpwstr>
  </property>
  <property fmtid="{D5CDD505-2E9C-101B-9397-08002B2CF9AE}" pid="4" name="&lt;Type&gt;">
    <vt:lpwstr>RR</vt:lpwstr>
  </property>
</Properties>
</file>