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2024-2029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P10_TA(2024)0062</w:t>
      </w:r>
      <w:bookmarkEnd w:id="0"/>
    </w:p>
    <w:p>
      <w:pPr>
        <w:pStyle w:val="ATHeading2"/>
      </w:pPr>
      <w:bookmarkStart w:id="1" w:name="title"/>
      <w:r>
        <w:t>Mobilizácia Európskeho fondu na prispôsobenie sa globalizácii: žiadosť EGF/2024/002 BE/Limburg machinery and paper – Belgicko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A10-0019/2024</w:instrText>
      </w:r>
      <w:bookmarkEnd w:id="2"/>
      <w:r>
        <w:rPr>
          <w:i/>
        </w:rPr>
        <w:instrText xml:space="preserve"> - Spravodajca: Matjaž Nemec)"\l3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rozpočet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PE765.241</w:t>
      </w:r>
      <w:bookmarkEnd w:id="4"/>
    </w:p>
    <w:p>
      <w:pPr>
        <w:pStyle w:val="ATHeading3"/>
      </w:pPr>
      <w:bookmarkStart w:id="5" w:name="Sujet"/>
      <w:r>
        <w:t>Uznesenie Európskeho parlamentu zo 17. decembra 2024 o návrhu rozhodnutia Európskeho parlamentu a Rady o mobilizácii Európskeho fondu na prispôsobenie sa globalizácii na pomoc pracovníkom, ktorí prišli o zamestnanie, na základe žiadosti Belgicka – EGF/2024/002 BE/Limburg machinery and paper</w:t>
      </w:r>
      <w:bookmarkEnd w:id="5"/>
      <w:r>
        <w:t xml:space="preserve"> </w:t>
      </w:r>
      <w:bookmarkStart w:id="6" w:name="References"/>
      <w:r>
        <w:t>(COM(2024)0370 – C10-0166/2024 – 2024/0286(BUD))</w:t>
      </w:r>
      <w:bookmarkEnd w:id="6"/>
    </w:p>
    <w:p>
      <w:pPr>
        <w:pStyle w:val="EPComma"/>
        <w:rPr>
          <w:noProof/>
        </w:rPr>
      </w:pPr>
      <w:r>
        <w:rPr>
          <w:i/>
        </w:rPr>
        <w:t>Európsky parlament</w:t>
      </w:r>
      <w:r>
        <w:t>,</w:t>
      </w:r>
    </w:p>
    <w:p>
      <w:pPr>
        <w:pStyle w:val="NormalHanging12a"/>
        <w:rPr>
          <w:noProof/>
        </w:rPr>
      </w:pPr>
      <w:r>
        <w:t>–</w:t>
      </w:r>
      <w:r>
        <w:tab/>
        <w:t>so zreteľom na návrh Komisie pre Európsky parlament a Radu (COM(2024)0370 – C10</w:t>
      </w:r>
      <w:r>
        <w:noBreakHyphen/>
        <w:t>0166/2024),</w:t>
      </w:r>
    </w:p>
    <w:p>
      <w:pPr>
        <w:pStyle w:val="NormalHanging12a"/>
      </w:pPr>
      <w:r>
        <w:t>–</w:t>
      </w:r>
      <w:r>
        <w:tab/>
        <w:t>so zreteľom na nariadenie Európskeho parlamentu a Rady (EÚ) 2021/691 z 28. apríla 2021 o Európskom fonde na prispôsobenie sa globalizácii na pomoc pracovníkom, ktorí prišli o zamestnanie (EGF), ktorým sa zrušuje nariadenie (EÚ) č. 1309/2013</w:t>
      </w:r>
      <w:r>
        <w:rPr>
          <w:rStyle w:val="FootnoteReference"/>
          <w:noProof/>
        </w:rPr>
        <w:footnoteReference w:id="1"/>
      </w:r>
      <w:r>
        <w:t xml:space="preserve"> (ďalej len „nariadenie o EGF“),</w:t>
      </w:r>
    </w:p>
    <w:p>
      <w:pPr>
        <w:pStyle w:val="NormalHanging12a"/>
        <w:rPr>
          <w:noProof/>
        </w:rPr>
      </w:pPr>
      <w:r>
        <w:t>–</w:t>
      </w:r>
      <w:r>
        <w:tab/>
        <w:t>so zreteľom na nariadenie Rady (EÚ, Euratom) 2020/2093 zo 17. decembra 2020, ktorým sa stanovuje viacročný finančný rámec na roky 2021 až 2027</w:t>
      </w:r>
      <w:r>
        <w:rPr>
          <w:rStyle w:val="FootnoteReference"/>
          <w:noProof/>
        </w:rPr>
        <w:footnoteReference w:id="2"/>
      </w:r>
      <w:r>
        <w:t>, zmenené nariadením Rady (EÚ, Euratom) 2024/765</w:t>
      </w:r>
      <w:r>
        <w:rPr>
          <w:rStyle w:val="FootnoteReference"/>
          <w:bdr w:val="none" w:sz="0" w:space="0" w:color="auto" w:frame="1"/>
        </w:rPr>
        <w:footnoteReference w:id="3"/>
      </w:r>
      <w:r>
        <w:t>, a najmä na jeho článok 8,</w:t>
      </w:r>
    </w:p>
    <w:p>
      <w:pPr>
        <w:pStyle w:val="NormalHanging12a"/>
        <w:rPr>
          <w:noProof/>
        </w:rPr>
      </w:pPr>
      <w:r>
        <w:t>–</w:t>
      </w:r>
      <w:r>
        <w:tab/>
        <w:t>so zreteľom na Medziinštitucionálnu dohodu zo 16. decembra 2020 medzi Európskym parlamentom, Radou Európskej únie a Európskou komisiou o rozpočtovej disciplíne, spolupráci v rozpočtových záležitostiach a správnom finančnom riadení, ako aj o nových vlastných zdrojoch vrátane plánu na zavedenie nových vlastných zdrojov</w:t>
      </w:r>
      <w:r>
        <w:rPr>
          <w:rStyle w:val="FootnoteReference"/>
          <w:noProof/>
        </w:rPr>
        <w:footnoteReference w:id="4"/>
      </w:r>
      <w:r>
        <w:t xml:space="preserve">, a </w:t>
      </w:r>
      <w:r>
        <w:lastRenderedPageBreak/>
        <w:t>najmä na jej bod 9,</w:t>
      </w:r>
    </w:p>
    <w:p>
      <w:pPr>
        <w:pStyle w:val="NormalHanging12a"/>
        <w:rPr>
          <w:noProof/>
        </w:rPr>
      </w:pPr>
      <w:r>
        <w:t>–</w:t>
      </w:r>
      <w:r>
        <w:tab/>
        <w:t>so zreteľom na zásady Európskeho piliera sociálnych práv a ciele stanovené v Akčnom pláne na realizáciu Európskeho piliera sociálnych práv,</w:t>
      </w:r>
    </w:p>
    <w:p>
      <w:pPr>
        <w:pStyle w:val="NormalHanging12a"/>
      </w:pPr>
      <w:r>
        <w:t>–</w:t>
      </w:r>
      <w:r>
        <w:tab/>
        <w:t>so zreteľom na list Výboru pre zamestnanosť a sociálne veci,</w:t>
      </w:r>
    </w:p>
    <w:p>
      <w:pPr>
        <w:pStyle w:val="NormalHanging12a"/>
      </w:pPr>
      <w:r>
        <w:t>–</w:t>
      </w:r>
      <w:r>
        <w:tab/>
        <w:t>so zreteľom na správu Výboru pre rozpočet (A10-0019/2024),</w:t>
      </w:r>
    </w:p>
    <w:p>
      <w:pPr>
        <w:pStyle w:val="NormalHanging12a"/>
      </w:pPr>
      <w:r>
        <w:t>A.</w:t>
      </w:r>
      <w:r>
        <w:tab/>
        <w:t>keďže Únia vytvorila legislatívne a rozpočtové nástroje s cieľom poskytovať dodatočnú podporu pracovníkom, ktorých zasiahli dôsledky veľkých štrukturálnych zmien v usporiadaní svetového obchodu či dôsledky globálnej finančnej a hospodárskej krízy, a pomôcť im pri opätovnom začleňovaní do trhu práce; keďže táto pomoc sa poskytuje prostredníctvom finančnej podpory udelenej pracovníkom a spoločnostiam, pre ktoré pracovali;</w:t>
      </w:r>
    </w:p>
    <w:p>
      <w:pPr>
        <w:pStyle w:val="NormalHanging12a"/>
      </w:pPr>
      <w:r>
        <w:t>B.</w:t>
      </w:r>
      <w:r>
        <w:tab/>
        <w:t>keďže Belgicko predložilo žiadosť EGF/2024/002 BE/Limburg machinery and paper o finančný príspevok z Európskeho fondu na prispôsobenie sa globalizácii (ďalej len „EGF“) v dôsledku prepustenia 681 pracovníkov</w:t>
      </w:r>
      <w:r>
        <w:rPr>
          <w:rStyle w:val="FootnoteReference"/>
        </w:rPr>
        <w:footnoteReference w:id="5"/>
      </w:r>
      <w:r>
        <w:t xml:space="preserve"> v ekonomických odvetviach zaradených do divízie 17 (Výroba papiera a papierových výrobkov) a divízie 28 (Výroba strojov a zariadení) štatistickej klasifikácie NACE Revision 2 v regióne Provincie Limburg v referenčnom období na podanie žiadosti od 31. decembra 2023 do 30. apríla 2024;</w:t>
      </w:r>
    </w:p>
    <w:p>
      <w:pPr>
        <w:pStyle w:val="NormalHanging12a"/>
      </w:pPr>
      <w:r>
        <w:t>C.</w:t>
      </w:r>
      <w:r>
        <w:tab/>
        <w:t xml:space="preserve">keďže žiadosť sa týka 567 pracovníkov prepustených v spoločnosti Sappi Lanaken NV (papier) a 114 pracovníkov prepustených v spoločnosti Purmo Group Belgium NV (stroje); </w:t>
      </w:r>
    </w:p>
    <w:p>
      <w:pPr>
        <w:pStyle w:val="NormalHanging12a"/>
      </w:pPr>
      <w:r>
        <w:t>D.</w:t>
      </w:r>
      <w:r>
        <w:tab/>
        <w:t>keďže žiadosť je založená na kritériách zásahu uvedených v článku 4 ods. 2 písm. c) nariadenia o EGF, podľa ktorého je potrebných aspoň 200 pracovníkov, ktorí boli prepustení v referenčnom období štyroch mesiacov v spoločnostiach pôsobiacich v rovnakých alebo rozdielnych hospodárskych odvetviach a nachádzajúcich sa v rovnakom regióne;</w:t>
      </w:r>
    </w:p>
    <w:p>
      <w:pPr>
        <w:pStyle w:val="NormalHanging12a"/>
      </w:pPr>
      <w:r>
        <w:t>E.</w:t>
      </w:r>
      <w:r>
        <w:tab/>
        <w:t>keďže pandémia ochorenia COVID-19 a útočná vojna Ruska proti Ukrajine znížili hospodársku konkurencieschopnosť a majú negatívny vplyv na hospodársky rast v Belgicku;</w:t>
      </w:r>
    </w:p>
    <w:p>
      <w:pPr>
        <w:pStyle w:val="NormalHanging12a"/>
        <w:rPr>
          <w:rFonts w:eastAsia="Calibri"/>
          <w:szCs w:val="22"/>
        </w:rPr>
      </w:pPr>
      <w:r>
        <w:t>F.</w:t>
      </w:r>
      <w:r>
        <w:tab/>
        <w:t xml:space="preserve">keďže spoločnosť Sappi Lanaken sa špecializovala na výrobu bezdrevného natieraného papiera (ďalej len „WCP“); keďže klesajúci dopyt po grafických výrobkoch v dôsledku zvýšenej digitalizácie viedol k rastúcej nadmernej kapacite európskeho odvetvia WCP; keďže výroba v spoločnosti Sappi Lanaken sa nemohla bez veľkých investícií preorientovať na iné papierenské výrobky, po ktorých je väčší dopyt, a spoločnosť  Sappi Group sa tak rozhodla zastaviť výrobu v Lanakene a zatvoriť závod, pretože sa nepodarilo nájsť vhodného kupujúceho z dôvodu nadmernej štrukturálnej kapacity v tomto odvetví; </w:t>
      </w:r>
    </w:p>
    <w:p>
      <w:pPr>
        <w:pStyle w:val="NormalHanging12a"/>
        <w:rPr>
          <w:noProof/>
        </w:rPr>
      </w:pPr>
      <w:r>
        <w:t>G.</w:t>
      </w:r>
      <w:r>
        <w:tab/>
        <w:t xml:space="preserve">keďže objem výroby panelových radiátorov spoločnosti Purmo Group v rokoch 2018 – 2023 neustále klesal, a to z 820 000 jednotiek v roku 2018 na 320 000 v roku 2023 (-60 %); keďže pri porovnávaní výrobných nákladov rôznych závodov spoločnosti Purmo Group v Európe je lokalita v Zonhovene v nevýhode, pretože jej náklady sú o 17 % až </w:t>
      </w:r>
      <w:r>
        <w:lastRenderedPageBreak/>
        <w:t xml:space="preserve">35 % vyššie; keďže skupina Purmo sa rozhodla zastaviť výrobu 50 mm panelových radiátorov vo svojom závode v Zonhovene a zatvoriť príslušnú výrobnú linku;  keďže z dôvodu neočakávanej situácie, pokiaľ ide o dostupnosť a cenu plynu v dôsledku útočnej vojny Ruska proti Ukrajine, a právnych predpisov Únie, z ktorých majú prospech nízkoteplotné vykurovacie systémy na úkor panelových radiátorov, je obnova dopytu nepravdepodobná, keďže trh s panelovými radiátormi sa bude čoraz viac obmedzovať na výmenu používaných jednotiek; </w:t>
      </w:r>
    </w:p>
    <w:p>
      <w:pPr>
        <w:pStyle w:val="NormalHanging12a"/>
      </w:pPr>
      <w:r>
        <w:t>H.</w:t>
      </w:r>
      <w:r>
        <w:tab/>
        <w:t xml:space="preserve">keďže tieto dve spoločnosti sa v súlade s belgickým právom riadili povinným postupom informovania a porád so zástupcami pracovníkov a zriadili oddelenie zamestnanosti, ktorého cieľom je poskytovať pracovníkom prepusteným v dôsledku hromadného prepúšťania služby pri hľadaní nového zamestnania; </w:t>
      </w:r>
    </w:p>
    <w:p>
      <w:pPr>
        <w:pStyle w:val="NormalHanging12a"/>
      </w:pPr>
      <w:r>
        <w:t>I.</w:t>
      </w:r>
      <w:r>
        <w:tab/>
        <w:t>keďže finančné príspevky z EGF by mali byť zacielené predovšetkým na aktívne opatrenia politiky trhu práce a personalizované služby zamerané na rýchle opätovné začlenenie príjemcov do dôstojného a udržateľného zamestnania v rámci ich pôvodného odvetvia činnosti alebo mimo neho a zároveň na ich prípravu na ekologickejšie a digitálnejšie európske hospodárstvo;</w:t>
      </w:r>
    </w:p>
    <w:p>
      <w:pPr>
        <w:pStyle w:val="NormalHanging12a"/>
      </w:pPr>
      <w:r>
        <w:t>J.</w:t>
      </w:r>
      <w:r>
        <w:tab/>
        <w:t>keďže EGF nesmie prekročiť maximálnu ročnú sumu 30 miliónov EUR (v cenách roku 2018), ako sa stanovuje v článku 8 nariadenia Rady (EÚ, Euratom) 2020/2093 zmeneného nariadením Rady (EÚ, Euratom) 2024/765;</w:t>
      </w:r>
    </w:p>
    <w:p>
      <w:pPr>
        <w:pStyle w:val="NormalHanging12a"/>
      </w:pPr>
      <w:r>
        <w:t>1.</w:t>
      </w:r>
      <w:r>
        <w:tab/>
        <w:t>súhlasí s Komisiou, že podmienky stanovené v článku 4 ods. 2 písm. c) nariadenia o EGF sú splnené a že Belgicko má podľa uvedeného nariadenia nárok na finančný príspevok 704 135 EUR, čo predstavuje 60 % celkových nákladov vo výške 1 173 559 EUR vrátane výdavkov na personalizované služby vo výške 1 126 559 EUR a výdavkov na činnosti prípravy, riadenia, informovania a propagácie, kontroly a podávania správ vo výške 47 000 EUR;</w:t>
      </w:r>
    </w:p>
    <w:p>
      <w:pPr>
        <w:pStyle w:val="NormalHanging12a"/>
      </w:pPr>
      <w:r>
        <w:t>2.</w:t>
      </w:r>
      <w:r>
        <w:tab/>
        <w:t xml:space="preserve">poznamenáva, že belgické orgány podali žiadosť 19. júla 2024 a že na základe dodatočných informácií, ktoré Belgicko poskytlo, Komisia 5. novembra 2024 dokončila svoje posúdenie a v ten istý deň o ňom informovala Európsky parlament; </w:t>
      </w:r>
    </w:p>
    <w:p>
      <w:pPr>
        <w:pStyle w:val="NormalHanging12a"/>
      </w:pPr>
      <w:r>
        <w:t>3.</w:t>
      </w:r>
      <w:r>
        <w:tab/>
        <w:t>konštatuje, že žiadosť sa týka 567 pracovníkov prepustených v spoločnosti Sappi Lanaken a 114 pracovníkov prepustených v spoločnosti Purmo Group Belgium;</w:t>
      </w:r>
      <w:r>
        <w:rPr>
          <w:color w:val="000000"/>
        </w:rPr>
        <w:t xml:space="preserve"> ďalej konštatuje, že cieľovými príjemcami bude celkovo 632 pracovníkov, takmer výlučne mužov;</w:t>
      </w:r>
    </w:p>
    <w:p>
      <w:pPr>
        <w:pStyle w:val="NormalHanging12a"/>
      </w:pPr>
      <w:r>
        <w:t>4.</w:t>
      </w:r>
      <w:r>
        <w:tab/>
        <w:t>zdôrazňuje, že trhy práce v Lanakene a Zonhovene sú znevýhodnené v porovnaní s Limburgom ako takým alebo Flámskom, pretože je tam pomer pracujúceho obyvateľstva k dostupným pracovným miestam výrazne nižší ako v Limburgu ako takým alebo vo Flámsku; zdôrazňuje, že počet pracovných miest v priemysle dostupných v Limburgu sa v roku 2023 znížil o 15 %;</w:t>
      </w:r>
    </w:p>
    <w:p>
      <w:pPr>
        <w:pStyle w:val="NormalHanging12a"/>
      </w:pPr>
      <w:r>
        <w:t>5.</w:t>
      </w:r>
      <w:r>
        <w:tab/>
        <w:t xml:space="preserve">poukazuje na to, že profily prepustených pracovníkov, z ktorých jedna tretina je vo veku 55 rokov alebo viac a 30 % má nízke vzdelanie, predstavujú závažné prekážky na trhu práce; zdôrazňuje, že vzhľadom na klesajúci trend voľných pracovných miest a ich geografické rozmiestnenie budú pracovníci potrebovať dodatočnú cielenú podporu, aby uspeli pri prechode do nového zamestnania; </w:t>
      </w:r>
    </w:p>
    <w:p>
      <w:pPr>
        <w:pStyle w:val="NormalHanging12a"/>
      </w:pPr>
      <w:r>
        <w:t>6.</w:t>
      </w:r>
      <w:r>
        <w:tab/>
        <w:t xml:space="preserve">pripomína, že belgické orgány musia uvádzať pôvod, zabezpečovať viditeľnosť </w:t>
      </w:r>
      <w:r>
        <w:lastRenderedPageBreak/>
        <w:t>financovania z Únie a zdôrazňovať pridanú hodnotu zásahu Únie poskytovaním súdržných, účinných a presne zameraných informácií rôznym cieľovým skupinám vrátane presne zameraných informácií pre prijímateľov, miestne a regionálne orgány, sociálnych partnerov, médiá a verejnosť;</w:t>
      </w:r>
    </w:p>
    <w:p>
      <w:pPr>
        <w:pStyle w:val="NormalHanging12a"/>
      </w:pPr>
      <w:r>
        <w:t>7.</w:t>
      </w:r>
      <w:r>
        <w:tab/>
        <w:t>domnieva sa, že Únia a členské štáty majú sociálnu zodpovednosť za to, aby poskytli dotknutým pracovníkom možnosť získať potrebnú kvalifikáciu pre budúce zamestnanie vzhľadom na digitálnu a ekologickú transformáciu, ktorá má významný vplyv na ich odvetvia a zároveň vedie k zníženiu dopytu; víta skutočnosť, že Belgicko vypracovalo koordinovaný balík personalizovaných služieb po porade s dotknutými prijímateľmi, ich zástupcami a so sociálnymi partnermi;</w:t>
      </w:r>
    </w:p>
    <w:p>
      <w:pPr>
        <w:pStyle w:val="NormalHanging12a"/>
      </w:pPr>
      <w:r>
        <w:t>8.</w:t>
      </w:r>
      <w:r>
        <w:tab/>
        <w:t>zdôrazňuje, že podpora poskytovaná z EGF musí byť zakotvená v širšej stratégii pre dotknutých pracovníkov a región na všetkých politických úrovniach, a to aj podporou príslušných nástrojov financovania Únie, s cieľom zabezpečiť, aby sa pri digitálnej a klimatickej transformácii na nikoho nezabudlo;</w:t>
      </w:r>
    </w:p>
    <w:p>
      <w:pPr>
        <w:pStyle w:val="NormalHanging12a"/>
      </w:pPr>
      <w:r>
        <w:t>9.</w:t>
      </w:r>
      <w:r>
        <w:tab/>
        <w:t>pripomína, že personalizované služby, ktoré sa majú poskytnúť pracovníkom, pozostávajú z týchto opatrení: poradca pre sociálnu intervenciu, profesijné poradenstvo a profesijná orientácia, aktívna podpora pri hľadaní zamestnania, odborná príprava, rekvalifikácia a odborné vzdelávanie vrátane odbornej prípravy v oblasti digitálnych zručností, ako aj odborná príprava na pracovisku;</w:t>
      </w:r>
    </w:p>
    <w:p>
      <w:pPr>
        <w:pStyle w:val="NormalHanging12a"/>
      </w:pPr>
      <w:r>
        <w:t>10.</w:t>
      </w:r>
      <w:r>
        <w:tab/>
        <w:t>poznamenáva, že Belgicko začalo poskytovať personalizované služby dotknutým prijímateľom 26. decembra 2023 a že obdobie oprávnenosti na finančný príspevok z EGF preto potrvá od tohto dátumu až do 24 mesiacov odo dňa nadobudnutia účinnosti rozhodnutia o financovaní;</w:t>
      </w:r>
    </w:p>
    <w:p>
      <w:pPr>
        <w:pStyle w:val="NormalHanging12a"/>
        <w:rPr>
          <w:sz w:val="23"/>
          <w:szCs w:val="23"/>
        </w:rPr>
      </w:pPr>
      <w:r>
        <w:t>11.</w:t>
      </w:r>
      <w:r>
        <w:tab/>
        <w:t>poznamenáva, že Belgicku začali vznikať administratívne výdavky na využívanie EGF 20. novembra 2023 a že takéto výdavky sú preto oprávnené na finančný príspevok z EGF od tohto dátumu až do 31 mesiacov odo dňa nadobudnutia účinnosti rozhodnutia o financovaní;</w:t>
      </w:r>
    </w:p>
    <w:p>
      <w:pPr>
        <w:pStyle w:val="NormalHanging12a"/>
      </w:pPr>
      <w:r>
        <w:t>12.</w:t>
      </w:r>
      <w:r>
        <w:tab/>
        <w:t>zdôrazňuje, že belgické orgány potvrdili, že pri prístupe k navrhovaným opatreniam a pri ich vykonávaní sa budú dodržiavať zásady rovnakého zaobchádzania a nediskriminácie a že sa zabráni akémukoľvek dvojitému financovaniu;</w:t>
      </w:r>
    </w:p>
    <w:p>
      <w:pPr>
        <w:pStyle w:val="NormalHanging12a"/>
      </w:pPr>
      <w:r>
        <w:t>13.</w:t>
      </w:r>
      <w:r>
        <w:tab/>
        <w:t>opakuje, že pomoc z EGF nesmie nahrádzať opatrenia, za ktoré na základe vnútroštátneho práva alebo kolektívnych dohôd zodpovedajú podniky, ani žiadne príspevky alebo nároky pracovníkov, ktorí prišli o zamestnanie, aby sa v plnej miere zaistil doplnkový charakter pridelenej pomoci; pripomína, že členské štáty, ktoré žiadajú o finančnú podporu z EGF, musia zabezpečiť, aby boli splnené požiadavky stanovené vo vnútroštátnom práve a v práve Únie, pokiaľ ide o hromadné prepúšťanie, a aby sa príslušná spoločnosť primerane postarala o svojich pracovníkov;</w:t>
      </w:r>
    </w:p>
    <w:p>
      <w:pPr>
        <w:pStyle w:val="NormalHanging12a"/>
      </w:pPr>
      <w:r>
        <w:t>14.</w:t>
      </w:r>
      <w:r>
        <w:tab/>
        <w:t>vyzýva belgické orgány a ostatné členské štáty, aby proaktívne prijali preventívne opatrenia s cieľom prispôsobiť priemyselné odvetvia globalizácii a technologickým a environmentálnym zmenám a chrániť pracovníkov pred stratou zamestnania a inými negatívnymi dôsledkami globalizácie;</w:t>
      </w:r>
    </w:p>
    <w:p>
      <w:pPr>
        <w:pStyle w:val="NormalHanging12a"/>
      </w:pPr>
      <w:r>
        <w:t>15.</w:t>
      </w:r>
      <w:r>
        <w:tab/>
        <w:t>schvaľuje rozhodnutie, ktoré je uvedené v prílohe k tomuto uzneseniu;</w:t>
      </w:r>
    </w:p>
    <w:p>
      <w:pPr>
        <w:pStyle w:val="NormalHanging12a"/>
      </w:pPr>
      <w:r>
        <w:t>16.</w:t>
      </w:r>
      <w:r>
        <w:tab/>
        <w:t xml:space="preserve">poveruje svoju predsedníčku, aby podpísala toto rozhodnutie spoločne s predsedom </w:t>
      </w:r>
      <w:r>
        <w:lastRenderedPageBreak/>
        <w:t xml:space="preserve">Rady a aby zabezpečila jeho uverejnenie v </w:t>
      </w:r>
      <w:r>
        <w:rPr>
          <w:i/>
        </w:rPr>
        <w:t>Úradnom vestníku Európskej únie</w:t>
      </w:r>
      <w:r>
        <w:t>;</w:t>
      </w:r>
    </w:p>
    <w:p>
      <w:pPr>
        <w:pStyle w:val="NormalHanging12a"/>
      </w:pPr>
      <w:r>
        <w:t>17.</w:t>
      </w:r>
      <w:r>
        <w:tab/>
        <w:t>poveruje svoju predsedníčku, aby postúpila toto uznesenie spolu s prílohou Rade a Komisii.</w:t>
      </w:r>
    </w:p>
    <w:p>
      <w:pPr>
        <w:pStyle w:val="NormalHanging12a"/>
        <w:jc w:val="both"/>
        <w:rPr>
          <w:szCs w:val="24"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>
      <w:pPr>
        <w:pStyle w:val="PageHeading"/>
        <w:rPr>
          <w:rFonts w:ascii="Times New Roman" w:hAnsi="Times New Roman" w:cs="Times New Roman"/>
        </w:rPr>
      </w:pPr>
      <w:bookmarkStart w:id="7" w:name="_Toc183704661"/>
      <w:r>
        <w:rPr>
          <w:rFonts w:ascii="Times New Roman" w:hAnsi="Times New Roman" w:cs="Times New Roman"/>
        </w:rPr>
        <w:lastRenderedPageBreak/>
        <w:t>PRÍLOHA</w:t>
      </w:r>
    </w:p>
    <w:p>
      <w:pPr>
        <w:pStyle w:val="PageHead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ROZHODNUTIE EURÓPSKEHO PARLAMENTU A RADY</w:t>
      </w:r>
      <w:bookmarkEnd w:id="7"/>
    </w:p>
    <w:p>
      <w:pPr>
        <w:pStyle w:val="NormalBold24a"/>
        <w:jc w:val="center"/>
      </w:pPr>
      <w:r>
        <w:t>o mobilizácii Európskeho fondu na prispôsobenie sa globalizácii na pomoc pracovníkom, ktorí prišli o zamestnanie, na základe žiadosti Belgicka – EGF/2024/002 BE/Limburg machinery and paper</w:t>
      </w:r>
      <w:bookmarkStart w:id="8" w:name="_GoBack"/>
      <w:bookmarkEnd w:id="8"/>
    </w:p>
    <w:p>
      <w:pPr>
        <w:widowControl/>
        <w:jc w:val="both"/>
        <w:rPr>
          <w:rFonts w:eastAsia="Calibri"/>
          <w:i/>
          <w:iCs/>
          <w:szCs w:val="24"/>
          <w:lang w:eastAsia="en-US"/>
        </w:rPr>
      </w:pPr>
      <w:r>
        <w:rPr>
          <w:rFonts w:eastAsia="Calibri"/>
          <w:bCs/>
          <w:i/>
          <w:iCs/>
          <w:szCs w:val="24"/>
          <w:lang w:eastAsia="en-US"/>
        </w:rPr>
        <w:t xml:space="preserve">(Znenie tejto prílohy sa neuvádza, pretože zodpovedá konečnému aktu, rozhodnutiu (EÚ) </w:t>
      </w:r>
      <w:r>
        <w:rPr>
          <w:rFonts w:eastAsia="Calibri"/>
          <w:bCs/>
          <w:i/>
          <w:iCs/>
          <w:szCs w:val="24"/>
          <w:lang w:eastAsia="en-US"/>
        </w:rPr>
        <w:t>2025/47</w:t>
      </w:r>
      <w:r>
        <w:rPr>
          <w:rFonts w:eastAsia="Calibri"/>
          <w:bCs/>
          <w:i/>
          <w:iCs/>
          <w:szCs w:val="24"/>
          <w:lang w:eastAsia="en-US"/>
        </w:rPr>
        <w:t>.)</w:t>
      </w:r>
    </w:p>
    <w:sectPr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 v. EÚ L 153, 3.5.2021, s. 48, </w:t>
      </w:r>
      <w:r>
        <w:rPr>
          <w:sz w:val="24"/>
          <w:lang w:val="fi-FI"/>
        </w:rPr>
        <w:t xml:space="preserve">ELI: </w:t>
      </w:r>
      <w:hyperlink r:id="rId1" w:history="1">
        <w:r>
          <w:rPr>
            <w:rStyle w:val="Hyperlink"/>
            <w:sz w:val="24"/>
            <w:lang w:val="fi-FI"/>
          </w:rPr>
          <w:t>http://data.europa.eu/eli/reg/2021/691/oj</w:t>
        </w:r>
      </w:hyperlink>
      <w:r>
        <w:rPr>
          <w:sz w:val="24"/>
          <w:lang w:val="sk-SK"/>
        </w:rPr>
        <w:t>.</w:t>
      </w:r>
    </w:p>
  </w:footnote>
  <w:footnote w:id="2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I, 22.12.2020, s. 11, ELI: </w:t>
      </w:r>
      <w:hyperlink r:id="rId2" w:history="1">
        <w:r>
          <w:rPr>
            <w:rStyle w:val="Hyperlink"/>
            <w:sz w:val="24"/>
            <w:lang w:val="fi-FI"/>
          </w:rPr>
          <w:t>http://data.europa.eu/eli/reg/2020/2093/oj</w:t>
        </w:r>
      </w:hyperlink>
      <w:r>
        <w:rPr>
          <w:sz w:val="24"/>
          <w:lang w:val="sk-SK"/>
        </w:rPr>
        <w:t>.</w:t>
      </w:r>
    </w:p>
  </w:footnote>
  <w:footnote w:id="3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color w:val="333333"/>
          <w:sz w:val="24"/>
          <w:shd w:val="clear" w:color="auto" w:fill="FFFFFF"/>
          <w:lang w:val="sk-SK"/>
        </w:rPr>
        <w:t xml:space="preserve"> </w:t>
      </w:r>
      <w:r>
        <w:rPr>
          <w:color w:val="333333"/>
          <w:sz w:val="24"/>
          <w:shd w:val="clear" w:color="auto" w:fill="FFFFFF"/>
          <w:lang w:val="sk-SK"/>
        </w:rPr>
        <w:tab/>
        <w:t>Nariadenie Rady (EÚ, Euratom) 2024/765 z 29. februára 2024, ktorým sa mení nariadenie (EÚ, Euratom) 2020/2093, ktorým sa stanovuje viacročný finančný rámec na roky 2021 až 2027 (</w:t>
      </w:r>
      <w:r>
        <w:rPr>
          <w:sz w:val="24"/>
          <w:lang w:val="sk-SK"/>
        </w:rPr>
        <w:t>Ú. v. EÚ L, 2024/765, 29.2.2024</w:t>
      </w:r>
      <w:r>
        <w:rPr>
          <w:i/>
          <w:sz w:val="24"/>
          <w:lang w:val="sk-SK"/>
        </w:rPr>
        <w:t xml:space="preserve">, </w:t>
      </w:r>
      <w:r>
        <w:rPr>
          <w:rStyle w:val="Emphasis"/>
          <w:i w:val="0"/>
          <w:color w:val="333333"/>
          <w:sz w:val="24"/>
          <w:shd w:val="clear" w:color="auto" w:fill="FFFFFF"/>
          <w:lang w:val="sk-SK"/>
        </w:rPr>
        <w:t>ELI:</w:t>
      </w:r>
      <w:r>
        <w:rPr>
          <w:rStyle w:val="Emphasis"/>
          <w:color w:val="333333"/>
          <w:sz w:val="24"/>
          <w:shd w:val="clear" w:color="auto" w:fill="FFFFFF"/>
          <w:lang w:val="sk-SK"/>
        </w:rPr>
        <w:t xml:space="preserve"> </w:t>
      </w:r>
      <w:hyperlink r:id="rId3" w:history="1">
        <w:r>
          <w:rPr>
            <w:rStyle w:val="Hyperlink"/>
            <w:sz w:val="24"/>
            <w:shd w:val="clear" w:color="auto" w:fill="FFFFFF"/>
            <w:lang w:val="sk-SK"/>
          </w:rPr>
          <w:t>http://data.europa.eu/eli/reg/2024/765/oj</w:t>
        </w:r>
      </w:hyperlink>
      <w:r>
        <w:rPr>
          <w:rStyle w:val="Emphasis"/>
          <w:i w:val="0"/>
          <w:color w:val="333333"/>
          <w:sz w:val="24"/>
          <w:shd w:val="clear" w:color="auto" w:fill="FFFFFF"/>
          <w:lang w:val="sk-SK"/>
        </w:rPr>
        <w:t>)</w:t>
      </w:r>
      <w:r>
        <w:rPr>
          <w:rStyle w:val="Emphasis"/>
          <w:color w:val="333333"/>
          <w:sz w:val="24"/>
          <w:shd w:val="clear" w:color="auto" w:fill="FFFFFF"/>
          <w:lang w:val="sk-SK"/>
        </w:rPr>
        <w:t>.</w:t>
      </w:r>
    </w:p>
  </w:footnote>
  <w:footnote w:id="4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Ú. v. EÚ L 433 I, 22.12.2020, s. 28, ELI: </w:t>
      </w:r>
      <w:hyperlink r:id="rId4" w:history="1">
        <w:r>
          <w:rPr>
            <w:rStyle w:val="Hyperlink"/>
            <w:sz w:val="24"/>
            <w:lang w:val="fi-FI"/>
          </w:rPr>
          <w:t>http://data.europa.eu/eli/agree_interinstit/2020/1222/oj</w:t>
        </w:r>
      </w:hyperlink>
      <w:r>
        <w:rPr>
          <w:sz w:val="24"/>
          <w:lang w:val="sk-SK"/>
        </w:rPr>
        <w:t>.</w:t>
      </w:r>
    </w:p>
  </w:footnote>
  <w:footnote w:id="5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V zmysle článku 3 nariadenia o EGF.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9/2024"/>
    <w:docVar w:name="dvlangue" w:val="SK"/>
    <w:docVar w:name="dvnumam" w:val="0"/>
    <w:docVar w:name="dvpe" w:val="765.241"/>
    <w:docVar w:name="dvrapporteur" w:val="Spravodajca: "/>
    <w:docVar w:name="dvtitre" w:val="Uznesenie Európskeho parlamentu z xx. decembra 2024 o návrhu rozhodnutia Európskeho parlamentu a Rady o mobilizácii Európskeho fondu na prispôsobenie sa globalizácii na pomoc pracovníkom, ktorí prišli o zamestnanie, na základe žiadosti Belgicka – EGF/2024/002 BE/Limburg machinery and paper(COM(2024)0370 – C10-0166/2024 – 2024/0286(BU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DD12F-7C6D-4FC4-8B51-F954E13C6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16 Point,Superscript 6 Point,Footnote Reference Number,Footnote Reference_LVL6,Footnote Reference_LVL61,Footnote Reference_LVL62,Footnote Reference_LVL63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PageHeading">
    <w:name w:val="PageHeading"/>
    <w:basedOn w:val="Normal"/>
    <w:link w:val="PageHeadingChar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NormalBold24a">
    <w:name w:val="NormalBold24a"/>
    <w:basedOn w:val="Normal"/>
    <w:pPr>
      <w:spacing w:after="480"/>
    </w:pPr>
    <w:rPr>
      <w:b/>
      <w:bCs/>
    </w:rPr>
  </w:style>
  <w:style w:type="paragraph" w:customStyle="1" w:styleId="EPComma">
    <w:name w:val="EPComma"/>
    <w:basedOn w:val="Normal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Pr>
      <w:sz w:val="24"/>
      <w:lang w:val="sk-SK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EastAsia"/>
      <w:szCs w:val="22"/>
      <w:lang w:eastAsia="en-US"/>
    </w:rPr>
  </w:style>
  <w:style w:type="character" w:customStyle="1" w:styleId="PageHeadingChar">
    <w:name w:val="PageHeading Char"/>
    <w:basedOn w:val="DefaultParagraphFont"/>
    <w:link w:val="PageHeading"/>
    <w:rPr>
      <w:rFonts w:ascii="Arial" w:hAnsi="Arial" w:cs="Arial"/>
      <w:b/>
      <w:sz w:val="24"/>
      <w:lang w:val="sk-SK"/>
    </w:r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character" w:styleId="Hyperlink">
    <w:name w:val="Hyperlink"/>
    <w:basedOn w:val="DefaultParagraphFont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765/oj" TargetMode="External"/><Relationship Id="rId2" Type="http://schemas.openxmlformats.org/officeDocument/2006/relationships/hyperlink" Target="http://data.europa.eu/eli/reg/2020/2093/oj" TargetMode="External"/><Relationship Id="rId1" Type="http://schemas.openxmlformats.org/officeDocument/2006/relationships/hyperlink" Target="http://data.europa.eu/eli/reg/2021/691/oj" TargetMode="External"/><Relationship Id="rId4" Type="http://schemas.openxmlformats.org/officeDocument/2006/relationships/hyperlink" Target="http://data.europa.eu/eli/agree_interinstit/2020/122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3C0A82-30F0-4AD8-87A5-4B892105D8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1582</Words>
  <Characters>9633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2025-02-06T10:21:00Z</dcterms:created>
  <dcterms:modified xsi:type="dcterms:W3CDTF">2025-02-06T10:21:00Z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P10_TA(2024)0062_</vt:lpwstr>
  </property>
  <property fmtid="{D5CDD505-2E9C-101B-9397-08002B2CF9AE}" pid="4" name="&lt;Type&gt;">
    <vt:lpwstr>RR</vt:lpwstr>
  </property>
</Properties>
</file>