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5E66" w14:paraId="54E3736B" w14:textId="77777777" w:rsidTr="0010095E">
        <w:trPr>
          <w:trHeight w:hRule="exact" w:val="1418"/>
        </w:trPr>
        <w:tc>
          <w:tcPr>
            <w:tcW w:w="6804" w:type="dxa"/>
            <w:shd w:val="clear" w:color="auto" w:fill="auto"/>
            <w:vAlign w:val="center"/>
          </w:tcPr>
          <w:p w14:paraId="3823F9B8" w14:textId="77777777" w:rsidR="00751A4A" w:rsidRPr="00915E66" w:rsidRDefault="008E76DE" w:rsidP="0010095E">
            <w:pPr>
              <w:pStyle w:val="EPName"/>
            </w:pPr>
            <w:r w:rsidRPr="00915E66">
              <w:t>Evropski parlament</w:t>
            </w:r>
          </w:p>
          <w:p w14:paraId="572FE7C0" w14:textId="77777777" w:rsidR="00751A4A" w:rsidRPr="00915E66" w:rsidRDefault="005F1B17" w:rsidP="005F1B17">
            <w:pPr>
              <w:pStyle w:val="EPTerm"/>
              <w:rPr>
                <w:rStyle w:val="HideTWBExt"/>
                <w:noProof w:val="0"/>
                <w:vanish w:val="0"/>
                <w:color w:val="auto"/>
              </w:rPr>
            </w:pPr>
            <w:r w:rsidRPr="00915E66">
              <w:t>2024</w:t>
            </w:r>
            <w:r w:rsidR="00817416" w:rsidRPr="00915E66">
              <w:t>-202</w:t>
            </w:r>
            <w:r w:rsidRPr="00915E66">
              <w:t>9</w:t>
            </w:r>
          </w:p>
        </w:tc>
        <w:tc>
          <w:tcPr>
            <w:tcW w:w="2268" w:type="dxa"/>
            <w:shd w:val="clear" w:color="auto" w:fill="auto"/>
          </w:tcPr>
          <w:p w14:paraId="63DA9DC5" w14:textId="77777777" w:rsidR="00751A4A" w:rsidRPr="00915E66" w:rsidRDefault="00187494" w:rsidP="0010095E">
            <w:pPr>
              <w:pStyle w:val="EPLogo"/>
            </w:pPr>
            <w:r w:rsidRPr="00915E66">
              <w:rPr>
                <w:noProof/>
                <w:lang w:val="en-GB"/>
              </w:rPr>
              <w:drawing>
                <wp:inline distT="0" distB="0" distL="0" distR="0" wp14:anchorId="3C4C9F1A" wp14:editId="62808F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CFBC71" w14:textId="77777777" w:rsidR="00D058B8" w:rsidRPr="00915E66" w:rsidRDefault="00D058B8" w:rsidP="004C5D52">
      <w:pPr>
        <w:pStyle w:val="LineTop"/>
      </w:pPr>
    </w:p>
    <w:p w14:paraId="207D1C76" w14:textId="77777777" w:rsidR="00680577" w:rsidRPr="00915E66" w:rsidRDefault="008E76DE" w:rsidP="00680577">
      <w:pPr>
        <w:pStyle w:val="EPBodyTA1"/>
      </w:pPr>
      <w:r w:rsidRPr="00915E66">
        <w:t>SPREJETA BESEDILA</w:t>
      </w:r>
    </w:p>
    <w:p w14:paraId="7AB9936F" w14:textId="77777777" w:rsidR="00D058B8" w:rsidRPr="00915E66" w:rsidRDefault="00D058B8" w:rsidP="00D058B8">
      <w:pPr>
        <w:pStyle w:val="LineBottom"/>
      </w:pPr>
    </w:p>
    <w:p w14:paraId="3C5A0ED9" w14:textId="20751499" w:rsidR="008E76DE" w:rsidRPr="00915E66" w:rsidRDefault="008E76DE" w:rsidP="008E76DE">
      <w:pPr>
        <w:pStyle w:val="ATHeading1"/>
      </w:pPr>
      <w:bookmarkStart w:id="0" w:name="TANumber"/>
      <w:r w:rsidRPr="00915E66">
        <w:t>P10_TA(2024)</w:t>
      </w:r>
      <w:bookmarkEnd w:id="0"/>
      <w:r w:rsidR="00E22A16">
        <w:t>0062</w:t>
      </w:r>
    </w:p>
    <w:p w14:paraId="65F868AE" w14:textId="238F3E8D" w:rsidR="008E76DE" w:rsidRPr="00915E66" w:rsidRDefault="00695E50" w:rsidP="00695E50">
      <w:pPr>
        <w:pStyle w:val="ATHeading2"/>
      </w:pPr>
      <w:bookmarkStart w:id="1" w:name="title"/>
      <w:r>
        <w:t xml:space="preserve">Uporaba Evropskega sklada za prilagoditev globalizaciji: vloga EGF/2024/002 BE/Limburg </w:t>
      </w:r>
      <w:proofErr w:type="spellStart"/>
      <w:r>
        <w:t>machinery</w:t>
      </w:r>
      <w:proofErr w:type="spellEnd"/>
      <w:r>
        <w:t xml:space="preserve"> </w:t>
      </w:r>
      <w:proofErr w:type="spellStart"/>
      <w:r>
        <w:t>and</w:t>
      </w:r>
      <w:proofErr w:type="spellEnd"/>
      <w:r>
        <w:t xml:space="preserve"> </w:t>
      </w:r>
      <w:proofErr w:type="spellStart"/>
      <w:r>
        <w:t>paper</w:t>
      </w:r>
      <w:proofErr w:type="spellEnd"/>
      <w:r>
        <w:t xml:space="preserve"> – Belgija</w:t>
      </w:r>
      <w:bookmarkEnd w:id="1"/>
    </w:p>
    <w:p w14:paraId="05D4D0DA" w14:textId="77777777" w:rsidR="008E76DE" w:rsidRPr="00915E66" w:rsidRDefault="008E76DE" w:rsidP="008E76DE">
      <w:pPr>
        <w:rPr>
          <w:i/>
          <w:vanish/>
        </w:rPr>
      </w:pPr>
      <w:r w:rsidRPr="00915E66">
        <w:rPr>
          <w:i/>
        </w:rPr>
        <w:fldChar w:fldCharType="begin"/>
      </w:r>
      <w:r w:rsidRPr="00915E66">
        <w:rPr>
          <w:i/>
        </w:rPr>
        <w:instrText xml:space="preserve"> TC"(</w:instrText>
      </w:r>
      <w:bookmarkStart w:id="2" w:name="DocNumber"/>
      <w:r w:rsidRPr="00915E66">
        <w:rPr>
          <w:i/>
        </w:rPr>
        <w:instrText>A10-0019/2024</w:instrText>
      </w:r>
      <w:bookmarkEnd w:id="2"/>
      <w:r w:rsidRPr="00915E66">
        <w:rPr>
          <w:i/>
        </w:rPr>
        <w:instrText xml:space="preserve"> - Poročevalec: Matjaž Nemec)"\l3 \n&gt; \* MERGEFORMAT </w:instrText>
      </w:r>
      <w:r w:rsidRPr="00915E66">
        <w:rPr>
          <w:i/>
        </w:rPr>
        <w:fldChar w:fldCharType="end"/>
      </w:r>
    </w:p>
    <w:p w14:paraId="505CF56A" w14:textId="77777777" w:rsidR="008E76DE" w:rsidRPr="00915E66" w:rsidRDefault="008E76DE" w:rsidP="008E76DE">
      <w:pPr>
        <w:rPr>
          <w:vanish/>
        </w:rPr>
      </w:pPr>
      <w:bookmarkStart w:id="3" w:name="Commission"/>
      <w:r w:rsidRPr="00915E66">
        <w:rPr>
          <w:vanish/>
        </w:rPr>
        <w:t>Odbor za proračun</w:t>
      </w:r>
      <w:bookmarkEnd w:id="3"/>
    </w:p>
    <w:p w14:paraId="193FC285" w14:textId="77777777" w:rsidR="008E76DE" w:rsidRPr="00915E66" w:rsidRDefault="008E76DE" w:rsidP="008E76DE">
      <w:pPr>
        <w:rPr>
          <w:vanish/>
        </w:rPr>
      </w:pPr>
      <w:bookmarkStart w:id="4" w:name="PE"/>
      <w:r w:rsidRPr="00915E66">
        <w:rPr>
          <w:vanish/>
        </w:rPr>
        <w:t>PE765.241</w:t>
      </w:r>
      <w:bookmarkEnd w:id="4"/>
    </w:p>
    <w:p w14:paraId="3E162815" w14:textId="4F49B119" w:rsidR="008E76DE" w:rsidRPr="00915E66" w:rsidRDefault="007A57E4" w:rsidP="008E76DE">
      <w:pPr>
        <w:pStyle w:val="ATHeading3"/>
      </w:pPr>
      <w:bookmarkStart w:id="5" w:name="Sujet"/>
      <w:r>
        <w:t>R</w:t>
      </w:r>
      <w:r w:rsidR="008E76DE" w:rsidRPr="00915E66">
        <w:t xml:space="preserve">esolucija Evropskega parlamenta z dne </w:t>
      </w:r>
      <w:r w:rsidR="00E653DE">
        <w:t>17.</w:t>
      </w:r>
      <w:r w:rsidR="008E76DE" w:rsidRPr="00915E66">
        <w:t xml:space="preserve"> </w:t>
      </w:r>
      <w:r w:rsidR="00E653DE">
        <w:t xml:space="preserve">decembra </w:t>
      </w:r>
      <w:r w:rsidR="008E76DE" w:rsidRPr="00915E66">
        <w:t xml:space="preserve">2024 o predlogu sklepa Evropskega parlamenta in Sveta o uporabi Evropskega sklada za prilagoditev globalizaciji za presežne delavce na podlagi vloge Belgije – EGF/2024/002 BE/Limburg </w:t>
      </w:r>
      <w:proofErr w:type="spellStart"/>
      <w:r w:rsidR="008E76DE" w:rsidRPr="00915E66">
        <w:t>machinery</w:t>
      </w:r>
      <w:proofErr w:type="spellEnd"/>
      <w:r w:rsidR="008E76DE" w:rsidRPr="00915E66">
        <w:t xml:space="preserve"> </w:t>
      </w:r>
      <w:proofErr w:type="spellStart"/>
      <w:r w:rsidR="008E76DE" w:rsidRPr="00915E66">
        <w:t>and</w:t>
      </w:r>
      <w:proofErr w:type="spellEnd"/>
      <w:r w:rsidR="008E76DE" w:rsidRPr="00915E66">
        <w:t xml:space="preserve"> </w:t>
      </w:r>
      <w:proofErr w:type="spellStart"/>
      <w:r w:rsidR="008E76DE" w:rsidRPr="00915E66">
        <w:t>paper</w:t>
      </w:r>
      <w:bookmarkEnd w:id="5"/>
      <w:proofErr w:type="spellEnd"/>
      <w:r w:rsidR="008E76DE" w:rsidRPr="00915E66">
        <w:t xml:space="preserve"> </w:t>
      </w:r>
      <w:bookmarkStart w:id="6" w:name="References"/>
      <w:r w:rsidR="008E76DE" w:rsidRPr="00915E66">
        <w:t>(COM(2024)0370 – C10-0166/2024 – 2024/0286(BUD))</w:t>
      </w:r>
      <w:bookmarkEnd w:id="6"/>
    </w:p>
    <w:p w14:paraId="730C7735" w14:textId="77777777" w:rsidR="00B95DCF" w:rsidRPr="00915E66" w:rsidRDefault="00B95DCF" w:rsidP="00B95DCF">
      <w:pPr>
        <w:pStyle w:val="EPComma"/>
        <w:rPr>
          <w:noProof/>
        </w:rPr>
      </w:pPr>
      <w:r w:rsidRPr="00915E66">
        <w:rPr>
          <w:i/>
        </w:rPr>
        <w:t>Evropski parlament</w:t>
      </w:r>
      <w:r w:rsidRPr="00915E66">
        <w:t>,</w:t>
      </w:r>
    </w:p>
    <w:p w14:paraId="40461454" w14:textId="77777777" w:rsidR="00B95DCF" w:rsidRPr="00915E66" w:rsidRDefault="00B95DCF" w:rsidP="00B95DCF">
      <w:pPr>
        <w:pStyle w:val="NormalHanging12a"/>
        <w:rPr>
          <w:noProof/>
        </w:rPr>
      </w:pPr>
      <w:r w:rsidRPr="00915E66">
        <w:t>–</w:t>
      </w:r>
      <w:r w:rsidRPr="00915E66">
        <w:tab/>
        <w:t>ob upoštevanju predloga Komisije Evropskemu parlamentu in Svetu (COM(2024)0370 – C10</w:t>
      </w:r>
      <w:r w:rsidRPr="00915E66">
        <w:noBreakHyphen/>
        <w:t>0166/2024),</w:t>
      </w:r>
    </w:p>
    <w:p w14:paraId="5B86BFE4" w14:textId="77777777" w:rsidR="00B95DCF" w:rsidRPr="00915E66" w:rsidRDefault="00B95DCF" w:rsidP="00B95DCF">
      <w:pPr>
        <w:pStyle w:val="NormalHanging12a"/>
        <w:rPr>
          <w:noProof/>
        </w:rPr>
      </w:pPr>
      <w:r w:rsidRPr="00915E66">
        <w:t>–</w:t>
      </w:r>
      <w:r w:rsidRPr="00915E66">
        <w:tab/>
        <w:t>ob upoštevanju Uredbe Evropskega parlamenta in Sveta (EU) 2021/691 z dne 28. aprila 2021 o Evropskem skladu za prilagoditev globalizaciji za presežne delavce (ESPG) in razveljavitvi Uredbe (EU) št. 1309/2013</w:t>
      </w:r>
      <w:r w:rsidRPr="00915E66">
        <w:rPr>
          <w:rStyle w:val="FootnoteReference"/>
        </w:rPr>
        <w:footnoteReference w:id="1"/>
      </w:r>
      <w:r w:rsidR="007A57E4">
        <w:t xml:space="preserve"> (v nadaljnjem besedilu: uredba o ESGP)</w:t>
      </w:r>
      <w:r w:rsidRPr="00915E66">
        <w:t>,</w:t>
      </w:r>
    </w:p>
    <w:p w14:paraId="5B7C84D0" w14:textId="04F7241C" w:rsidR="00B95DCF" w:rsidRPr="00915E66" w:rsidRDefault="00B95DCF" w:rsidP="00B95DCF">
      <w:pPr>
        <w:pStyle w:val="NormalHanging12a"/>
        <w:jc w:val="both"/>
        <w:rPr>
          <w:noProof/>
        </w:rPr>
      </w:pPr>
      <w:r w:rsidRPr="00915E66">
        <w:t>–</w:t>
      </w:r>
      <w:r w:rsidRPr="00915E66">
        <w:tab/>
        <w:t xml:space="preserve">ob upoštevanju Uredbe Sveta (EU, </w:t>
      </w:r>
      <w:proofErr w:type="spellStart"/>
      <w:r w:rsidRPr="00915E66">
        <w:t>Euratom</w:t>
      </w:r>
      <w:proofErr w:type="spellEnd"/>
      <w:r w:rsidRPr="00915E66">
        <w:t>) 2020/2093 z dne 17. decembra 2020 o določitvi večletnega finančnega okvira za obdobje 2021–2027</w:t>
      </w:r>
      <w:r w:rsidRPr="00915E66">
        <w:rPr>
          <w:rStyle w:val="FootnoteReference"/>
          <w:noProof/>
        </w:rPr>
        <w:footnoteReference w:id="2"/>
      </w:r>
      <w:r w:rsidRPr="00915E66">
        <w:t>, kot je bila spremenjena z Uredbo</w:t>
      </w:r>
      <w:r w:rsidR="004739D9">
        <w:t xml:space="preserve"> Sveta</w:t>
      </w:r>
      <w:r w:rsidRPr="00915E66">
        <w:t xml:space="preserve"> (EU, </w:t>
      </w:r>
      <w:proofErr w:type="spellStart"/>
      <w:r w:rsidRPr="00915E66">
        <w:t>Euratom</w:t>
      </w:r>
      <w:proofErr w:type="spellEnd"/>
      <w:r w:rsidRPr="00915E66">
        <w:t>) 2024/765</w:t>
      </w:r>
      <w:r w:rsidRPr="00915E66">
        <w:rPr>
          <w:rStyle w:val="FootnoteReference"/>
          <w:bdr w:val="none" w:sz="0" w:space="0" w:color="auto" w:frame="1"/>
        </w:rPr>
        <w:footnoteReference w:id="3"/>
      </w:r>
      <w:r w:rsidRPr="00915E66">
        <w:t>, in zlasti člena 8,</w:t>
      </w:r>
    </w:p>
    <w:p w14:paraId="53000A7C" w14:textId="77777777" w:rsidR="00B95DCF" w:rsidRPr="00915E66" w:rsidRDefault="00B95DCF" w:rsidP="00B95DCF">
      <w:pPr>
        <w:pStyle w:val="NormalHanging12a"/>
        <w:rPr>
          <w:noProof/>
        </w:rPr>
      </w:pPr>
      <w:r w:rsidRPr="00915E66">
        <w:t>–</w:t>
      </w:r>
      <w:r w:rsidRPr="00915E66">
        <w:tab/>
        <w:t xml:space="preserve">ob upoštevanju Medinstitucionalnega sporazuma z dne 16. decembra 2020 med Evropskim parlamentom, Svetom Evropske unije in Evropsko komisijo o proračunski disciplini, sodelovanju v proračunskih zadevah in dobrem finančnem </w:t>
      </w:r>
      <w:proofErr w:type="spellStart"/>
      <w:r w:rsidRPr="00915E66">
        <w:t>poslovodenju</w:t>
      </w:r>
      <w:proofErr w:type="spellEnd"/>
      <w:r w:rsidRPr="00915E66">
        <w:t xml:space="preserve"> ter novih virih lastnih sredstev, vključno s časovnim načrtom za uvedbo novih virov lastnih sredstev</w:t>
      </w:r>
      <w:r w:rsidRPr="00915E66">
        <w:rPr>
          <w:rStyle w:val="FootnoteReference"/>
          <w:noProof/>
        </w:rPr>
        <w:footnoteReference w:id="4"/>
      </w:r>
      <w:r w:rsidRPr="00915E66">
        <w:t>, in zlasti točke 9,</w:t>
      </w:r>
    </w:p>
    <w:p w14:paraId="439F189B" w14:textId="77777777" w:rsidR="00B95DCF" w:rsidRPr="00915E66" w:rsidRDefault="00B95DCF" w:rsidP="00B95DCF">
      <w:pPr>
        <w:pStyle w:val="NormalHanging12a"/>
        <w:jc w:val="both"/>
        <w:rPr>
          <w:noProof/>
        </w:rPr>
      </w:pPr>
      <w:r w:rsidRPr="00915E66">
        <w:t>–</w:t>
      </w:r>
      <w:r w:rsidRPr="00915E66">
        <w:tab/>
        <w:t>ob upoštevanju načel evropskega stebra socialnih pravic in ciljev iz akcijskega načrta za evropski steber socialnih pravic,</w:t>
      </w:r>
    </w:p>
    <w:p w14:paraId="497FB8D1" w14:textId="77777777" w:rsidR="00B95DCF" w:rsidRPr="00915E66" w:rsidRDefault="00B95DCF" w:rsidP="00B95DCF">
      <w:pPr>
        <w:pStyle w:val="NormalHanging12a"/>
      </w:pPr>
      <w:r w:rsidRPr="00915E66">
        <w:lastRenderedPageBreak/>
        <w:t>–</w:t>
      </w:r>
      <w:r w:rsidRPr="00915E66">
        <w:tab/>
        <w:t>ob upoštevanju pisma Odbora za zaposlovanje in socialne zadeve,</w:t>
      </w:r>
    </w:p>
    <w:p w14:paraId="43E200D8" w14:textId="77777777" w:rsidR="00B95DCF" w:rsidRPr="00915E66" w:rsidRDefault="00B95DCF" w:rsidP="00B95DCF">
      <w:pPr>
        <w:pStyle w:val="NormalHanging12a"/>
      </w:pPr>
      <w:r w:rsidRPr="00915E66">
        <w:t>–</w:t>
      </w:r>
      <w:r w:rsidRPr="00915E66">
        <w:tab/>
        <w:t>ob upoštevanju poročila Odbora za proračun (A10</w:t>
      </w:r>
      <w:r w:rsidRPr="00915E66">
        <w:noBreakHyphen/>
        <w:t>0019/2024),</w:t>
      </w:r>
    </w:p>
    <w:p w14:paraId="50472CEB" w14:textId="77777777" w:rsidR="00B95DCF" w:rsidRPr="00915E66" w:rsidRDefault="00B95DCF" w:rsidP="00695E50">
      <w:pPr>
        <w:pStyle w:val="NormalHanging12a"/>
      </w:pPr>
      <w:r w:rsidRPr="00915E66">
        <w:t>A.</w:t>
      </w:r>
      <w:r w:rsidRPr="00915E66">
        <w:tab/>
        <w:t>ker je Unija vzpostavila zakonodajne in proračunske instrumente za dodatno podporo delavcem, ki so jih prizadele posledice velikih strukturnih sprememb v svetovnih trgovinskih tokovih ali svetovna finančna in gospodarska kriza, ter za pomoč pri njihovem ponovnem vključevanju na trg dela; ker se ta pomoč zagotovi v obliki finančne podpore delavcem in podjetjem, za katera so delali;</w:t>
      </w:r>
    </w:p>
    <w:p w14:paraId="55931407" w14:textId="77777777" w:rsidR="00B95DCF" w:rsidRPr="00915E66" w:rsidRDefault="00B95DCF" w:rsidP="00695E50">
      <w:pPr>
        <w:pStyle w:val="NormalHanging12a"/>
      </w:pPr>
      <w:r w:rsidRPr="00915E66">
        <w:t>B.</w:t>
      </w:r>
      <w:r w:rsidRPr="00915E66">
        <w:tab/>
        <w:t xml:space="preserve">ker je Belgija vložila vlogo EGF/2024/002 BE/Limburg </w:t>
      </w:r>
      <w:proofErr w:type="spellStart"/>
      <w:r w:rsidRPr="00915E66">
        <w:t>machinery</w:t>
      </w:r>
      <w:proofErr w:type="spellEnd"/>
      <w:r w:rsidRPr="00915E66">
        <w:t xml:space="preserve"> </w:t>
      </w:r>
      <w:proofErr w:type="spellStart"/>
      <w:r w:rsidRPr="00915E66">
        <w:t>and</w:t>
      </w:r>
      <w:proofErr w:type="spellEnd"/>
      <w:r w:rsidRPr="00915E66">
        <w:t xml:space="preserve"> </w:t>
      </w:r>
      <w:proofErr w:type="spellStart"/>
      <w:r w:rsidRPr="00915E66">
        <w:t>paper</w:t>
      </w:r>
      <w:proofErr w:type="spellEnd"/>
      <w:r w:rsidRPr="00915E66">
        <w:t xml:space="preserve"> za finančni prispevek iz Evropskega sklada za prilagoditev globalizaciji (ESPG) zaradi odpustitve 681 presežnih delavcev</w:t>
      </w:r>
      <w:r w:rsidRPr="00915E66">
        <w:rPr>
          <w:rStyle w:val="FootnoteReference"/>
        </w:rPr>
        <w:footnoteReference w:id="5"/>
      </w:r>
      <w:r w:rsidRPr="00915E66">
        <w:t xml:space="preserve"> v gospodarskem sektorju, razvrščenem v oddelek 17 NACE Revizija 2 (Proizvodnja papirja in izdelkov iz papirja) in oddelek 28 (Proizvodnja drugih strojev in naprav), v regiji </w:t>
      </w:r>
      <w:proofErr w:type="spellStart"/>
      <w:r w:rsidRPr="00915E66">
        <w:t>Provincie</w:t>
      </w:r>
      <w:proofErr w:type="spellEnd"/>
      <w:r w:rsidRPr="00915E66">
        <w:t xml:space="preserve"> Limburg v referenčnem obdobju od 31. decembra 2023 do 30. aprila 2024;</w:t>
      </w:r>
    </w:p>
    <w:p w14:paraId="06743686" w14:textId="77777777" w:rsidR="00B95DCF" w:rsidRPr="00915E66" w:rsidRDefault="00B95DCF" w:rsidP="00695E50">
      <w:pPr>
        <w:pStyle w:val="NormalHanging12a"/>
      </w:pPr>
      <w:r w:rsidRPr="00915E66">
        <w:t>C.</w:t>
      </w:r>
      <w:r w:rsidRPr="00915E66">
        <w:tab/>
        <w:t xml:space="preserve">ker se vloga nanaša na 567 delavcev, ki so postali presežni v podjetju </w:t>
      </w:r>
      <w:proofErr w:type="spellStart"/>
      <w:r w:rsidRPr="00915E66">
        <w:t>Sappi</w:t>
      </w:r>
      <w:proofErr w:type="spellEnd"/>
      <w:r w:rsidRPr="00915E66">
        <w:t xml:space="preserve"> </w:t>
      </w:r>
      <w:proofErr w:type="spellStart"/>
      <w:r w:rsidRPr="00915E66">
        <w:t>Lanaken</w:t>
      </w:r>
      <w:proofErr w:type="spellEnd"/>
      <w:r w:rsidRPr="00915E66">
        <w:t xml:space="preserve"> NV (papir), in 114 delavcev, ki so postali presežni v podjetju </w:t>
      </w:r>
      <w:proofErr w:type="spellStart"/>
      <w:r w:rsidRPr="00915E66">
        <w:t>Purmo</w:t>
      </w:r>
      <w:proofErr w:type="spellEnd"/>
      <w:r w:rsidRPr="00915E66">
        <w:t xml:space="preserve"> </w:t>
      </w:r>
      <w:proofErr w:type="spellStart"/>
      <w:r w:rsidRPr="00915E66">
        <w:t>Group</w:t>
      </w:r>
      <w:proofErr w:type="spellEnd"/>
      <w:r w:rsidRPr="00915E66">
        <w:t xml:space="preserve"> </w:t>
      </w:r>
      <w:proofErr w:type="spellStart"/>
      <w:r w:rsidRPr="00915E66">
        <w:t>Belgium</w:t>
      </w:r>
      <w:proofErr w:type="spellEnd"/>
      <w:r w:rsidRPr="00915E66">
        <w:t xml:space="preserve"> NV (stroji);</w:t>
      </w:r>
    </w:p>
    <w:p w14:paraId="335C6E53" w14:textId="77777777" w:rsidR="00B95DCF" w:rsidRPr="00915E66" w:rsidRDefault="00B95DCF" w:rsidP="00695E50">
      <w:pPr>
        <w:pStyle w:val="NormalHanging12a"/>
      </w:pPr>
      <w:r w:rsidRPr="00915E66">
        <w:t>D.</w:t>
      </w:r>
      <w:r w:rsidRPr="00915E66">
        <w:tab/>
        <w:t>ker vloga temelji na merilih za pomoč iz člena 4(2), točka (c), uredbe o ESPG, v skladu s katero mora v štirimesečnem referenčnem obdobju postati presežnih najmanj 200 delavcev v podjetjih, ki delujejo v istem ali različnih gospodarskih sektorjih in se nahajajo v isti regiji;</w:t>
      </w:r>
    </w:p>
    <w:p w14:paraId="7C01301A" w14:textId="542B28B1" w:rsidR="00B95DCF" w:rsidRPr="00915E66" w:rsidRDefault="00B95DCF" w:rsidP="00695E50">
      <w:pPr>
        <w:pStyle w:val="NormalHanging12a"/>
      </w:pPr>
      <w:r w:rsidRPr="00915E66">
        <w:t>E.</w:t>
      </w:r>
      <w:r w:rsidRPr="00915E66">
        <w:tab/>
        <w:t xml:space="preserve">ker sta pandemija COVID-19 in ruska </w:t>
      </w:r>
      <w:r w:rsidR="00DA3FFB">
        <w:t xml:space="preserve">vojna </w:t>
      </w:r>
      <w:r w:rsidRPr="00915E66">
        <w:t xml:space="preserve">agresija </w:t>
      </w:r>
      <w:r w:rsidR="00503B4F">
        <w:t>proti</w:t>
      </w:r>
      <w:r w:rsidR="00503B4F" w:rsidRPr="00915E66">
        <w:t xml:space="preserve"> </w:t>
      </w:r>
      <w:r w:rsidRPr="00915E66">
        <w:t>Ukrajini zmanjšali gospodarsko konkurenčnost in negativno vplivali na gospodarsko rast v Belgiji;</w:t>
      </w:r>
    </w:p>
    <w:p w14:paraId="549F605D" w14:textId="1CBF6B18" w:rsidR="00B95DCF" w:rsidRPr="00915E66" w:rsidRDefault="00B95DCF" w:rsidP="00695E50">
      <w:pPr>
        <w:pStyle w:val="NormalHanging12a"/>
        <w:rPr>
          <w:rFonts w:eastAsia="Calibri"/>
          <w:szCs w:val="22"/>
        </w:rPr>
      </w:pPr>
      <w:r w:rsidRPr="00915E66">
        <w:t>F.</w:t>
      </w:r>
      <w:r w:rsidRPr="00915E66">
        <w:tab/>
        <w:t xml:space="preserve">ker je bilo podjetje </w:t>
      </w:r>
      <w:proofErr w:type="spellStart"/>
      <w:r w:rsidRPr="00915E66">
        <w:t>Sappi</w:t>
      </w:r>
      <w:proofErr w:type="spellEnd"/>
      <w:r w:rsidRPr="00915E66">
        <w:t xml:space="preserve"> </w:t>
      </w:r>
      <w:proofErr w:type="spellStart"/>
      <w:r w:rsidRPr="00915E66">
        <w:t>Lanaken</w:t>
      </w:r>
      <w:proofErr w:type="spellEnd"/>
      <w:r w:rsidRPr="00915E66">
        <w:t xml:space="preserve"> specializirano za proizvodnjo premazanega papirja brez lesa; ker se je zaradi vse manjšega povpraševanja po grafičnih izdelkih, ki je posledica večje digitalizacije, povečala presežna zmogljivost evropske industrije premazanega papirja brez lesa; ker proizvodnje v podjetju </w:t>
      </w:r>
      <w:proofErr w:type="spellStart"/>
      <w:r w:rsidRPr="00915E66">
        <w:t>Sappi</w:t>
      </w:r>
      <w:proofErr w:type="spellEnd"/>
      <w:r w:rsidRPr="00915E66">
        <w:t xml:space="preserve"> </w:t>
      </w:r>
      <w:proofErr w:type="spellStart"/>
      <w:r w:rsidRPr="00915E66">
        <w:t>Lanaken</w:t>
      </w:r>
      <w:proofErr w:type="spellEnd"/>
      <w:r w:rsidRPr="00915E66">
        <w:t xml:space="preserve"> brez velikih naložb ni bilo mogoče preusmeriti na druge izdelke iz papirja, po katerih je povpraševanje večje, </w:t>
      </w:r>
      <w:r w:rsidR="00DA3FFB">
        <w:t>in</w:t>
      </w:r>
      <w:r w:rsidR="00DA3FFB" w:rsidRPr="00915E66">
        <w:t xml:space="preserve"> </w:t>
      </w:r>
      <w:r w:rsidRPr="00915E66">
        <w:t xml:space="preserve">se je skupina </w:t>
      </w:r>
      <w:proofErr w:type="spellStart"/>
      <w:r w:rsidRPr="00915E66">
        <w:t>Sappi</w:t>
      </w:r>
      <w:proofErr w:type="spellEnd"/>
      <w:r w:rsidRPr="00915E66">
        <w:t xml:space="preserve"> </w:t>
      </w:r>
      <w:r w:rsidR="00DA3FFB">
        <w:t xml:space="preserve">zato </w:t>
      </w:r>
      <w:r w:rsidRPr="00915E66">
        <w:t xml:space="preserve">odločila, da bo ustavila proizvodnjo v obratu </w:t>
      </w:r>
      <w:proofErr w:type="spellStart"/>
      <w:r w:rsidRPr="00915E66">
        <w:t>Lanaken</w:t>
      </w:r>
      <w:proofErr w:type="spellEnd"/>
      <w:r w:rsidRPr="00915E66">
        <w:t xml:space="preserve"> in zaprla obrat, saj zaradi strukturne presežne zmogljivosti v industriji ni bilo mogoče </w:t>
      </w:r>
      <w:r w:rsidR="00DA3FFB">
        <w:t>najti</w:t>
      </w:r>
      <w:r w:rsidR="00DA3FFB" w:rsidRPr="00915E66">
        <w:t xml:space="preserve"> </w:t>
      </w:r>
      <w:r w:rsidRPr="00915E66">
        <w:t>primernega kupca;</w:t>
      </w:r>
    </w:p>
    <w:p w14:paraId="0140A0A3" w14:textId="567C302D" w:rsidR="00B95DCF" w:rsidRPr="00915E66" w:rsidRDefault="00B95DCF" w:rsidP="00695E50">
      <w:pPr>
        <w:pStyle w:val="NormalHanging12a"/>
        <w:rPr>
          <w:noProof/>
        </w:rPr>
      </w:pPr>
      <w:r w:rsidRPr="00915E66">
        <w:t>G.</w:t>
      </w:r>
      <w:r w:rsidRPr="00915E66">
        <w:tab/>
        <w:t xml:space="preserve">ker se je obseg proizvodnje panelnih radiatorjev skupine </w:t>
      </w:r>
      <w:proofErr w:type="spellStart"/>
      <w:r w:rsidRPr="00915E66">
        <w:t>Purmo</w:t>
      </w:r>
      <w:proofErr w:type="spellEnd"/>
      <w:r w:rsidRPr="00915E66">
        <w:t xml:space="preserve"> v obdobju 2018–2023 stalno zmanjševal, in sicer z 820</w:t>
      </w:r>
      <w:r w:rsidR="00503B4F">
        <w:t> </w:t>
      </w:r>
      <w:r w:rsidRPr="00915E66">
        <w:t>000 enot v letu 2018 na 320</w:t>
      </w:r>
      <w:r w:rsidR="00503B4F">
        <w:t> </w:t>
      </w:r>
      <w:r w:rsidRPr="00915E66">
        <w:t xml:space="preserve">000 enot v letu 2023 (–60 %); ker je pri primerjavi proizvodnih stroškov različnih obratov skupine </w:t>
      </w:r>
      <w:proofErr w:type="spellStart"/>
      <w:r w:rsidRPr="00915E66">
        <w:t>Purmo</w:t>
      </w:r>
      <w:proofErr w:type="spellEnd"/>
      <w:r w:rsidRPr="00915E66">
        <w:t xml:space="preserve"> v Evropi obrat v </w:t>
      </w:r>
      <w:proofErr w:type="spellStart"/>
      <w:r w:rsidRPr="00915E66">
        <w:t>Zonhovnu</w:t>
      </w:r>
      <w:proofErr w:type="spellEnd"/>
      <w:r w:rsidRPr="00915E66">
        <w:t xml:space="preserve"> v slabšem položaju, saj so njegovi stroški od 17 % do 35 % višji od drugih; ker se je skupina </w:t>
      </w:r>
      <w:proofErr w:type="spellStart"/>
      <w:r w:rsidRPr="00915E66">
        <w:t>Purmo</w:t>
      </w:r>
      <w:proofErr w:type="spellEnd"/>
      <w:r w:rsidRPr="00915E66">
        <w:t xml:space="preserve"> odločila, da bo ustavila proizvodnjo 50-milimetrskih panelnih radiatorjev v svojem obratu v </w:t>
      </w:r>
      <w:proofErr w:type="spellStart"/>
      <w:r w:rsidRPr="00915E66">
        <w:t>Zonhovnu</w:t>
      </w:r>
      <w:proofErr w:type="spellEnd"/>
      <w:r w:rsidRPr="00915E66">
        <w:t xml:space="preserve"> in zaprla zadevno proizvodno linijo; ker je po nepričakovanih razmerah v zvezi z razpoložljivostjo in cenami plina, ki so posledica ruske </w:t>
      </w:r>
      <w:r w:rsidR="00503B4F">
        <w:t>vojne</w:t>
      </w:r>
      <w:r w:rsidRPr="00915E66">
        <w:t xml:space="preserve"> agresije proti Ukrajini, ter zaradi zakonodaje Unije, ki podpira nizkotemperaturne ogrevalne sisteme v škodo panelnih radiatorjev, obnovitev povpraševanja malo verjetna, saj bo trg panelnih radiatorjev vse bolj omejen na nadomestitev enot v uporabi;</w:t>
      </w:r>
    </w:p>
    <w:p w14:paraId="275F4051" w14:textId="40B10B3D" w:rsidR="00B95DCF" w:rsidRPr="00915E66" w:rsidRDefault="00B95DCF" w:rsidP="00695E50">
      <w:pPr>
        <w:pStyle w:val="NormalHanging12a"/>
      </w:pPr>
      <w:r w:rsidRPr="00915E66">
        <w:lastRenderedPageBreak/>
        <w:t>H.</w:t>
      </w:r>
      <w:r w:rsidRPr="00915E66">
        <w:tab/>
        <w:t>ker sta podjetji v skladu z belgijsk</w:t>
      </w:r>
      <w:r w:rsidR="00503B4F">
        <w:t>im</w:t>
      </w:r>
      <w:r w:rsidRPr="00915E66">
        <w:t xml:space="preserve"> </w:t>
      </w:r>
      <w:r w:rsidR="00503B4F">
        <w:t>pravom</w:t>
      </w:r>
      <w:r w:rsidR="00503B4F" w:rsidRPr="00915E66">
        <w:t xml:space="preserve"> </w:t>
      </w:r>
      <w:r w:rsidRPr="00915E66">
        <w:t>upoštevali obvezni postopek obveščanja predstavnikov delavcev in posvetovanja z njimi ter ustanovili enoto za zaposlovanje, katere namen je delavcem, odpuščenim v okviru kolektivnega odpuščanja, zagotoviti storitve za iskanje nadomestne zaposlitve;</w:t>
      </w:r>
    </w:p>
    <w:p w14:paraId="0C3338A0" w14:textId="630900BE" w:rsidR="00B95DCF" w:rsidRPr="00915E66" w:rsidRDefault="00B95DCF" w:rsidP="0079156E">
      <w:pPr>
        <w:pStyle w:val="NormalHanging12a"/>
        <w:jc w:val="both"/>
      </w:pPr>
      <w:r w:rsidRPr="00915E66">
        <w:t>I.</w:t>
      </w:r>
      <w:r w:rsidRPr="00915E66">
        <w:tab/>
        <w:t>ker bi morali biti finančni prispevki iz ESPG usmerjeni predvsem v aktivne ukrepe politike trga dela in prilagojene storitve, katerih cilj je, da se upravičence hitro in ponovn</w:t>
      </w:r>
      <w:r w:rsidR="008741E7">
        <w:t>o</w:t>
      </w:r>
      <w:r w:rsidRPr="00915E66">
        <w:t xml:space="preserve"> vključi v dostojno in trajnostno zaposlitev v njihovem prvotnem sektorju dejavnosti ali zunaj njega, hkrati pa pripravi na bolj zeleno in bolj digitalno evropsko gospodarstvo;</w:t>
      </w:r>
    </w:p>
    <w:p w14:paraId="240FFEE6" w14:textId="6B6E7434" w:rsidR="00B95DCF" w:rsidRPr="00915E66" w:rsidRDefault="00B95DCF" w:rsidP="00695E50">
      <w:pPr>
        <w:pStyle w:val="NormalHanging12a"/>
      </w:pPr>
      <w:r w:rsidRPr="00915E66">
        <w:t>J.</w:t>
      </w:r>
      <w:r w:rsidRPr="00915E66">
        <w:tab/>
        <w:t xml:space="preserve">ker sredstva ESPG ne smejo presegati najvišjega letnega zneska 30 milijonov EUR (v cenah iz leta 2018), kot je določeno v členu 8 Uredbe Sveta (EU, </w:t>
      </w:r>
      <w:proofErr w:type="spellStart"/>
      <w:r w:rsidRPr="00915E66">
        <w:t>Euratom</w:t>
      </w:r>
      <w:proofErr w:type="spellEnd"/>
      <w:r w:rsidRPr="00915E66">
        <w:t xml:space="preserve">) 2020/2093, spremenjene z Uredbo </w:t>
      </w:r>
      <w:r w:rsidR="004739D9">
        <w:t xml:space="preserve">Sveta </w:t>
      </w:r>
      <w:r w:rsidRPr="00915E66">
        <w:t xml:space="preserve">(EU, </w:t>
      </w:r>
      <w:proofErr w:type="spellStart"/>
      <w:r w:rsidRPr="00915E66">
        <w:t>Euratom</w:t>
      </w:r>
      <w:proofErr w:type="spellEnd"/>
      <w:r w:rsidRPr="00915E66">
        <w:t>) 2024/765;</w:t>
      </w:r>
    </w:p>
    <w:p w14:paraId="14B27232" w14:textId="4BFD5FB6" w:rsidR="00B95DCF" w:rsidRPr="00915E66" w:rsidRDefault="00B95DCF" w:rsidP="0079156E">
      <w:pPr>
        <w:pStyle w:val="NormalHanging12a"/>
        <w:jc w:val="both"/>
      </w:pPr>
      <w:r w:rsidRPr="00915E66">
        <w:t>1.</w:t>
      </w:r>
      <w:r w:rsidRPr="00915E66">
        <w:tab/>
        <w:t>se strinja s Komisijo, da so pogoji iz člena 4(2), točka (c), uredbe o ESPG izpolnjeni in da je Belgija na podlagi navedene uredbe upravičena do finančnega prispevka v znesku 704</w:t>
      </w:r>
      <w:r w:rsidR="007A57E4">
        <w:t> </w:t>
      </w:r>
      <w:r w:rsidRPr="00915E66">
        <w:t>135 EUR, kar je 60 % skupnih stroškov v znesku 1</w:t>
      </w:r>
      <w:r w:rsidR="007A57E4">
        <w:t> </w:t>
      </w:r>
      <w:r w:rsidRPr="00915E66">
        <w:t>173</w:t>
      </w:r>
      <w:r w:rsidR="007A57E4">
        <w:t> </w:t>
      </w:r>
      <w:r w:rsidRPr="00915E66">
        <w:t>559 EUR, pri čemer stroški posameznikom prilagojenih storitev znašajo 1</w:t>
      </w:r>
      <w:r w:rsidR="007A57E4">
        <w:t> </w:t>
      </w:r>
      <w:r w:rsidRPr="00915E66">
        <w:t>126</w:t>
      </w:r>
      <w:r w:rsidR="007A57E4">
        <w:t> </w:t>
      </w:r>
      <w:r w:rsidRPr="00915E66">
        <w:t>559 EUR, stroški dejavnosti priprave, upravljanja, informiranja in obveščanja javnosti ter nadzora in poročanja pa 47</w:t>
      </w:r>
      <w:r w:rsidR="007A57E4">
        <w:t> </w:t>
      </w:r>
      <w:r w:rsidRPr="00915E66">
        <w:t>000 EUR;</w:t>
      </w:r>
    </w:p>
    <w:p w14:paraId="1CD39F93" w14:textId="77777777" w:rsidR="00B95DCF" w:rsidRPr="00915E66" w:rsidRDefault="00B95DCF" w:rsidP="00695E50">
      <w:pPr>
        <w:pStyle w:val="NormalHanging12a"/>
      </w:pPr>
      <w:r w:rsidRPr="00915E66">
        <w:t>2.</w:t>
      </w:r>
      <w:r w:rsidRPr="00915E66">
        <w:tab/>
        <w:t>ugotavlja, da so belgijski organi vlogo predložili 19. julija 2024, Komisija pa je na osnovi dodatnih informacij, ki jih je posredovala Belgija, oceno te vloge dokončala 5. novembra 2024 in jo še istega dne posredovala Parlamentu;</w:t>
      </w:r>
    </w:p>
    <w:p w14:paraId="7D9D9D75" w14:textId="77777777" w:rsidR="00B95DCF" w:rsidRPr="00915E66" w:rsidRDefault="00B95DCF" w:rsidP="00695E50">
      <w:pPr>
        <w:pStyle w:val="NormalHanging12a"/>
      </w:pPr>
      <w:r w:rsidRPr="00915E66">
        <w:t>3.</w:t>
      </w:r>
      <w:r w:rsidRPr="00915E66">
        <w:tab/>
        <w:t xml:space="preserve">ugotavlja, da se vloga nanaša na 567 delavcev, ki so postali presežni v podjetju </w:t>
      </w:r>
      <w:proofErr w:type="spellStart"/>
      <w:r w:rsidRPr="00915E66">
        <w:t>Sappi</w:t>
      </w:r>
      <w:proofErr w:type="spellEnd"/>
      <w:r w:rsidRPr="00915E66">
        <w:t xml:space="preserve"> </w:t>
      </w:r>
      <w:proofErr w:type="spellStart"/>
      <w:r w:rsidRPr="00915E66">
        <w:t>Lanaken</w:t>
      </w:r>
      <w:proofErr w:type="spellEnd"/>
      <w:r w:rsidRPr="00915E66">
        <w:t xml:space="preserve">, in 114 delavcev, ki so postali presežni v podjetju </w:t>
      </w:r>
      <w:proofErr w:type="spellStart"/>
      <w:r w:rsidRPr="00915E66">
        <w:t>Purmo</w:t>
      </w:r>
      <w:proofErr w:type="spellEnd"/>
      <w:r w:rsidRPr="00915E66">
        <w:t xml:space="preserve"> </w:t>
      </w:r>
      <w:proofErr w:type="spellStart"/>
      <w:r w:rsidRPr="00915E66">
        <w:t>Group</w:t>
      </w:r>
      <w:proofErr w:type="spellEnd"/>
      <w:r w:rsidRPr="00915E66">
        <w:t xml:space="preserve"> </w:t>
      </w:r>
      <w:proofErr w:type="spellStart"/>
      <w:r w:rsidRPr="00915E66">
        <w:t>Belgium</w:t>
      </w:r>
      <w:proofErr w:type="spellEnd"/>
      <w:r w:rsidRPr="00915E66">
        <w:t>;</w:t>
      </w:r>
      <w:r w:rsidRPr="00915E66">
        <w:rPr>
          <w:color w:val="000000"/>
        </w:rPr>
        <w:t xml:space="preserve"> ugotavlja tudi, da so ciljni upravičenci, ki jih je skupaj 632, skoraj izključno moški;</w:t>
      </w:r>
    </w:p>
    <w:p w14:paraId="22AE8BE7" w14:textId="77777777" w:rsidR="00B95DCF" w:rsidRPr="00915E66" w:rsidRDefault="00B95DCF" w:rsidP="00695E50">
      <w:pPr>
        <w:pStyle w:val="NormalHanging12a"/>
      </w:pPr>
      <w:r w:rsidRPr="00915E66">
        <w:t>4.</w:t>
      </w:r>
      <w:r w:rsidRPr="00915E66">
        <w:tab/>
        <w:t xml:space="preserve">poudarja, da sta trga dela v občinah </w:t>
      </w:r>
      <w:proofErr w:type="spellStart"/>
      <w:r w:rsidRPr="00915E66">
        <w:t>Lanaken</w:t>
      </w:r>
      <w:proofErr w:type="spellEnd"/>
      <w:r w:rsidRPr="00915E66">
        <w:t xml:space="preserve"> in </w:t>
      </w:r>
      <w:proofErr w:type="spellStart"/>
      <w:r w:rsidRPr="00915E66">
        <w:t>Zonhoven</w:t>
      </w:r>
      <w:proofErr w:type="spellEnd"/>
      <w:r w:rsidRPr="00915E66">
        <w:t xml:space="preserve"> v slabšem položaju v primerjavi z Limburgom kot celoto ali Flandrijo, kjer je razmerje med delovno aktivnim prebivalstvom in razpoložljivimi delovnimi mesti bistveno nižje kot v Limburgu kot celoti ali v Flandriji; poudarja, da se je število delovnih mest v industriji, ki so na voljo v Limburgu, leta 2023 zmanjšalo za 15 %;</w:t>
      </w:r>
    </w:p>
    <w:p w14:paraId="1D39D87D" w14:textId="77777777" w:rsidR="00B95DCF" w:rsidRPr="00915E66" w:rsidRDefault="00B95DCF" w:rsidP="00695E50">
      <w:pPr>
        <w:pStyle w:val="NormalHanging12a"/>
      </w:pPr>
      <w:r w:rsidRPr="00915E66">
        <w:t>5.</w:t>
      </w:r>
      <w:r w:rsidRPr="00915E66">
        <w:tab/>
        <w:t>poudarja, da profili presežnih delavcev, od katerih je tretjina starih 55 let ali več, 30 % pa jih ima nizko izobrazbo, pomenijo resne ovire na trgu dela; poudarja, da bodo delavci glede na upadanje števila prostih delovnih mest in njihovo geografsko porazdelitev potrebovali dodatno prilagojeno podporo, ki jim bo v pomoč pri prehodu v zaposlitev;</w:t>
      </w:r>
    </w:p>
    <w:p w14:paraId="4F32F665" w14:textId="068B2C53" w:rsidR="00B95DCF" w:rsidRPr="00915E66" w:rsidRDefault="00B95DCF" w:rsidP="00695E50">
      <w:pPr>
        <w:pStyle w:val="NormalHanging12a"/>
      </w:pPr>
      <w:r w:rsidRPr="00915E66">
        <w:t>6.</w:t>
      </w:r>
      <w:r w:rsidRPr="00915E66">
        <w:tab/>
        <w:t xml:space="preserve">opominja, da </w:t>
      </w:r>
      <w:r w:rsidR="003548C8">
        <w:t>morajo</w:t>
      </w:r>
      <w:r w:rsidR="003548C8" w:rsidRPr="00915E66">
        <w:t xml:space="preserve"> </w:t>
      </w:r>
      <w:r w:rsidRPr="00915E66">
        <w:t>belgijski organi poskrb</w:t>
      </w:r>
      <w:r w:rsidR="003548C8">
        <w:t>eti</w:t>
      </w:r>
      <w:r w:rsidRPr="00915E66">
        <w:t>, da bo izvor pomoči jasen in da bo financiranje Unije prepoznavno, ter poudari</w:t>
      </w:r>
      <w:r w:rsidR="003548C8">
        <w:t>ti</w:t>
      </w:r>
      <w:r w:rsidRPr="00915E66">
        <w:t xml:space="preserve"> dodano vrednost Unije, ki jo ima ta ukrep, in sicer s skladnimi, učinkovitimi in ciljno usmerjenimi informacijami različnim skupinam, vključno s ciljno usmerjenimi informacijami za upravičence, lokalne in regionalne organe, socialne partnerje, medije in javnost;</w:t>
      </w:r>
    </w:p>
    <w:p w14:paraId="7123695D" w14:textId="1B39D84A" w:rsidR="00B95DCF" w:rsidRPr="00915E66" w:rsidRDefault="00B95DCF" w:rsidP="00695E50">
      <w:pPr>
        <w:pStyle w:val="NormalHanging12a"/>
      </w:pPr>
      <w:r w:rsidRPr="00915E66">
        <w:t>7.</w:t>
      </w:r>
      <w:r w:rsidRPr="00915E66">
        <w:tab/>
        <w:t xml:space="preserve">meni, da je družbena odgovornost Unije in držav članic, da prizadetim delavcem zagotovijo možnost za pridobitev potrebnih kvalifikacij za prihodnjo zaposlitev, saj digitalni in ekološki prehod pomembno vplivata na njihove sektorje, hkrati pa vodita k zmanjšanju povpraševanja; pozdravlja dejstvo, da je Belgija usklajeni sveženj prilagojenih storitev pripravila v posvetovanju s ciljnimi upravičenci, njihovimi </w:t>
      </w:r>
      <w:r w:rsidRPr="00915E66">
        <w:lastRenderedPageBreak/>
        <w:t>predstavniki in socialnimi partnerji;</w:t>
      </w:r>
    </w:p>
    <w:p w14:paraId="768E0B78" w14:textId="77777777" w:rsidR="00B95DCF" w:rsidRPr="00915E66" w:rsidRDefault="00B95DCF" w:rsidP="00695E50">
      <w:pPr>
        <w:pStyle w:val="NormalHanging12a"/>
      </w:pPr>
      <w:r w:rsidRPr="00915E66">
        <w:t>8.</w:t>
      </w:r>
      <w:r w:rsidRPr="00915E66">
        <w:tab/>
        <w:t>poudarja, da je treba podporo iz ESPG vključiti v širšo strategijo za prizadete delavce in regijo na vseh političnih ravneh, tudi s podporo ustreznim instrumentom financiranja Unije, da pri digitalnem in podnebnem prehodu nihče ne bo zapostavljen;</w:t>
      </w:r>
    </w:p>
    <w:p w14:paraId="425AF002" w14:textId="379D9518" w:rsidR="00B95DCF" w:rsidRPr="00915E66" w:rsidRDefault="00B95DCF" w:rsidP="00695E50">
      <w:pPr>
        <w:pStyle w:val="NormalHanging12a"/>
      </w:pPr>
      <w:r w:rsidRPr="00915E66">
        <w:t>9.</w:t>
      </w:r>
      <w:r w:rsidRPr="00915E66">
        <w:tab/>
        <w:t xml:space="preserve">opozarja, da prilagojene storitve, ki se bodo nudile delavcem, vključujejo naslednje ukrepe: svetovalca za socialne ukrepe, orientacijsko svetovanje in poklicno usmeritev, aktivno podporo pri iskanju zaposlitve, usposabljanje, </w:t>
      </w:r>
      <w:proofErr w:type="spellStart"/>
      <w:r w:rsidRPr="00915E66">
        <w:t>preusposabljanje</w:t>
      </w:r>
      <w:proofErr w:type="spellEnd"/>
      <w:r w:rsidRPr="00915E66">
        <w:t xml:space="preserve"> in poklicno usposabljanje, tudi usposabljanje iz digitalnih spretnosti, ter usposabljanje na delovnem mestu;</w:t>
      </w:r>
    </w:p>
    <w:p w14:paraId="35B6487B" w14:textId="0DB16767" w:rsidR="00B95DCF" w:rsidRPr="00915E66" w:rsidRDefault="00B95DCF" w:rsidP="00695E50">
      <w:pPr>
        <w:pStyle w:val="NormalHanging12a"/>
      </w:pPr>
      <w:r w:rsidRPr="00915E66">
        <w:t>10.</w:t>
      </w:r>
      <w:r w:rsidRPr="00915E66">
        <w:tab/>
        <w:t>ugotavlja, da je Belgija prilagojene storitve za ciljne upravičence začela izvajati 26. decembra 2023 in da je torej obdobje upravičenosti do finančnega prispevka iz ESPG začelo teči istega dne in se bo končalo 24 mesecev po začetku veljavnosti sklepa o financiranju;</w:t>
      </w:r>
    </w:p>
    <w:p w14:paraId="2D0762AA" w14:textId="77777777" w:rsidR="00B95DCF" w:rsidRPr="00915E66" w:rsidRDefault="00B95DCF" w:rsidP="00695E50">
      <w:pPr>
        <w:pStyle w:val="NormalHanging12a"/>
        <w:rPr>
          <w:sz w:val="23"/>
          <w:szCs w:val="23"/>
        </w:rPr>
      </w:pPr>
      <w:r w:rsidRPr="00915E66">
        <w:t>11.</w:t>
      </w:r>
      <w:r w:rsidRPr="00915E66">
        <w:tab/>
        <w:t>ugotavlja, da je Belgija prve upravne odhodke za izvajanje ESPG imela 20. novembra 2023 in da bodo tovrstni odhodki torej upravičeni do finančnega prispevka iz ESPG od tega datuma do izteka 31 mesecev od datuma začetka veljavnosti sklepa o financiranju;</w:t>
      </w:r>
    </w:p>
    <w:p w14:paraId="0F60CE48" w14:textId="77777777" w:rsidR="00B95DCF" w:rsidRPr="00915E66" w:rsidRDefault="00B95DCF" w:rsidP="00695E50">
      <w:pPr>
        <w:pStyle w:val="NormalHanging12a"/>
      </w:pPr>
      <w:r w:rsidRPr="00915E66">
        <w:t>12.</w:t>
      </w:r>
      <w:r w:rsidRPr="00915E66">
        <w:tab/>
        <w:t>poudarja, da so belgijski organi potrdili, da bosta pri dostopu do predlaganih ukrepov in njihovem izvajanju spoštovani načeli enake obravnave in nediskriminacije ter da bo preprečeno vsakršno dvojno financiranje;</w:t>
      </w:r>
    </w:p>
    <w:p w14:paraId="0FD64E51" w14:textId="6A38FADC" w:rsidR="00B95DCF" w:rsidRPr="00915E66" w:rsidRDefault="00B95DCF" w:rsidP="00695E50">
      <w:pPr>
        <w:pStyle w:val="NormalHanging12a"/>
      </w:pPr>
      <w:r w:rsidRPr="00915E66">
        <w:t>13.</w:t>
      </w:r>
      <w:r w:rsidRPr="00915E66">
        <w:tab/>
        <w:t xml:space="preserve">ponavlja, da pomoč iz ESPG ne sme nadomestiti ukrepov, za katere so odgovorna podjetja na podlagi nacionalnega prava ali kolektivnih pogodb, pa tudi ne drugih nadomestil ali pravic presežnih delavcev, saj mora pomoč iz ESPG druge prejemke samo dopolnjevati; opozarja, da morajo države članice, ki zaprosijo za finančno podporo iz ESPG, zagotoviti, da so izpolnjene zahteve iz nacionalne zakonodaje in zakonodaje Unije v zvezi s kolektivnim odpuščanjem ter da je zadevno podjetje </w:t>
      </w:r>
      <w:r w:rsidR="00D53A43">
        <w:t xml:space="preserve">temu </w:t>
      </w:r>
      <w:r w:rsidRPr="00915E66">
        <w:t>ustrezno poskrbelo za svoje delavce;</w:t>
      </w:r>
    </w:p>
    <w:p w14:paraId="2B8728B5" w14:textId="77777777" w:rsidR="00B95DCF" w:rsidRPr="00915E66" w:rsidRDefault="00B95DCF" w:rsidP="00695E50">
      <w:pPr>
        <w:pStyle w:val="NormalHanging12a"/>
      </w:pPr>
      <w:r w:rsidRPr="00915E66">
        <w:t>14.</w:t>
      </w:r>
      <w:r w:rsidRPr="00915E66">
        <w:tab/>
        <w:t xml:space="preserve">poziva belgijske oblasti in druge države članice, naj proaktivno sprejmejo preventivne ukrepe, da bi se industrija prilagodila globalizaciji ter tehnološkim in </w:t>
      </w:r>
      <w:proofErr w:type="spellStart"/>
      <w:r w:rsidRPr="00915E66">
        <w:t>okoljskim</w:t>
      </w:r>
      <w:proofErr w:type="spellEnd"/>
      <w:r w:rsidRPr="00915E66">
        <w:t xml:space="preserve"> spremembam ter da bi delavce zaščitili pred izgubo delovnih mest in drugimi negativnimi posledicami globalizacije;</w:t>
      </w:r>
    </w:p>
    <w:p w14:paraId="7B3172D4" w14:textId="77777777" w:rsidR="00B95DCF" w:rsidRPr="00915E66" w:rsidRDefault="00B95DCF" w:rsidP="00E653DE">
      <w:pPr>
        <w:pStyle w:val="NormalHanging12a"/>
        <w:rPr>
          <w:noProof/>
        </w:rPr>
      </w:pPr>
      <w:r w:rsidRPr="00915E66">
        <w:t>15.</w:t>
      </w:r>
      <w:r w:rsidRPr="00915E66">
        <w:tab/>
        <w:t>odobri sklep, priložen tej resoluciji;</w:t>
      </w:r>
    </w:p>
    <w:p w14:paraId="330F2F5E" w14:textId="512FCAC3" w:rsidR="00B95DCF" w:rsidRPr="00915E66" w:rsidRDefault="00B95DCF" w:rsidP="00E653DE">
      <w:pPr>
        <w:pStyle w:val="NormalHanging12a"/>
        <w:rPr>
          <w:noProof/>
        </w:rPr>
      </w:pPr>
      <w:r w:rsidRPr="00915E66">
        <w:t>16.</w:t>
      </w:r>
      <w:r w:rsidRPr="00915E66">
        <w:tab/>
        <w:t xml:space="preserve">naroči svoji predsednici, naj podpiše ta sklep skupaj s predsedujočim Svetu ter poskrbi za njegovo objavo v </w:t>
      </w:r>
      <w:r w:rsidRPr="00915E66">
        <w:rPr>
          <w:i/>
        </w:rPr>
        <w:t>Uradnem listu Evropske unije</w:t>
      </w:r>
      <w:r w:rsidRPr="00915E66">
        <w:t>;</w:t>
      </w:r>
    </w:p>
    <w:p w14:paraId="689908D4" w14:textId="77777777" w:rsidR="00B95DCF" w:rsidRPr="00915E66" w:rsidRDefault="00B95DCF" w:rsidP="00E653DE">
      <w:pPr>
        <w:pStyle w:val="NormalHanging12a"/>
        <w:rPr>
          <w:noProof/>
        </w:rPr>
      </w:pPr>
      <w:r w:rsidRPr="00915E66">
        <w:t>17.</w:t>
      </w:r>
      <w:r w:rsidRPr="00915E66">
        <w:tab/>
        <w:t>naroči svoji predsednici, naj</w:t>
      </w:r>
      <w:r w:rsidR="007A57E4">
        <w:t xml:space="preserve"> to</w:t>
      </w:r>
      <w:r w:rsidRPr="00915E66">
        <w:t xml:space="preserve"> resolucijo skupaj s prilogo posreduje Svetu in Komisiji.</w:t>
      </w:r>
    </w:p>
    <w:p w14:paraId="51F4AB7E" w14:textId="77777777" w:rsidR="00B95DCF" w:rsidRPr="00915E66" w:rsidRDefault="00B95DCF" w:rsidP="00B95DCF">
      <w:pPr>
        <w:rPr>
          <w:noProof/>
        </w:rPr>
      </w:pPr>
    </w:p>
    <w:p w14:paraId="3263F1FE" w14:textId="77777777" w:rsidR="00B95DCF" w:rsidRPr="00915E66" w:rsidRDefault="00B95DCF" w:rsidP="00B95DCF">
      <w:pPr>
        <w:pStyle w:val="PageHeading"/>
        <w:rPr>
          <w:noProof/>
        </w:rPr>
        <w:sectPr w:rsidR="00B95DCF" w:rsidRPr="00915E66" w:rsidSect="00915E6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F47625C" w14:textId="243024CD" w:rsidR="00E653DE" w:rsidRPr="00695E50" w:rsidRDefault="00B95DCF" w:rsidP="00DF5BCA">
      <w:pPr>
        <w:pStyle w:val="PageHeading"/>
        <w:rPr>
          <w:rFonts w:ascii="Times New Roman" w:hAnsi="Times New Roman" w:cs="Times New Roman"/>
        </w:rPr>
      </w:pPr>
      <w:bookmarkStart w:id="7" w:name="_Toc183762858"/>
      <w:r w:rsidRPr="00695E50">
        <w:rPr>
          <w:rFonts w:ascii="Times New Roman" w:hAnsi="Times New Roman" w:cs="Times New Roman"/>
        </w:rPr>
        <w:lastRenderedPageBreak/>
        <w:t>PRILOGA</w:t>
      </w:r>
    </w:p>
    <w:p w14:paraId="30952908" w14:textId="77777777" w:rsidR="00B95DCF" w:rsidRPr="00695E50" w:rsidRDefault="00B95DCF" w:rsidP="00B95DCF">
      <w:pPr>
        <w:pStyle w:val="PageHeading"/>
        <w:rPr>
          <w:rFonts w:ascii="Times New Roman" w:hAnsi="Times New Roman" w:cs="Times New Roman"/>
          <w:noProof/>
        </w:rPr>
      </w:pPr>
      <w:r w:rsidRPr="00695E50">
        <w:rPr>
          <w:rFonts w:ascii="Times New Roman" w:hAnsi="Times New Roman" w:cs="Times New Roman"/>
        </w:rPr>
        <w:t>SKLEP EVROPSKEGA PARLAMENTA IN SVETA</w:t>
      </w:r>
      <w:bookmarkEnd w:id="7"/>
    </w:p>
    <w:p w14:paraId="6553E7ED" w14:textId="3665CC11" w:rsidR="00B95DCF" w:rsidRDefault="00B95DCF" w:rsidP="00D611D1">
      <w:pPr>
        <w:pStyle w:val="NormalBold24a"/>
        <w:jc w:val="center"/>
      </w:pPr>
      <w:r w:rsidRPr="00E653DE">
        <w:t>o uporabi Evropskega sklada za prilagoditev globalizaciji za presežne d</w:t>
      </w:r>
      <w:r w:rsidR="00F01287">
        <w:t>elavce na podlagi vloge Belgije</w:t>
      </w:r>
      <w:r w:rsidR="00F01287" w:rsidRPr="000620A7">
        <w:t xml:space="preserve"> – </w:t>
      </w:r>
      <w:r w:rsidRPr="00E653DE">
        <w:t xml:space="preserve">EGF/2024/002 BE/Limburg </w:t>
      </w:r>
      <w:proofErr w:type="spellStart"/>
      <w:r w:rsidRPr="00E653DE">
        <w:t>machinery</w:t>
      </w:r>
      <w:proofErr w:type="spellEnd"/>
      <w:r w:rsidRPr="00E653DE">
        <w:t xml:space="preserve"> </w:t>
      </w:r>
      <w:proofErr w:type="spellStart"/>
      <w:r w:rsidRPr="00E653DE">
        <w:t>and</w:t>
      </w:r>
      <w:proofErr w:type="spellEnd"/>
      <w:r w:rsidRPr="00E653DE">
        <w:t xml:space="preserve"> </w:t>
      </w:r>
      <w:proofErr w:type="spellStart"/>
      <w:r w:rsidRPr="00E653DE">
        <w:t>paper</w:t>
      </w:r>
      <w:bookmarkStart w:id="8" w:name="_GoBack"/>
      <w:bookmarkEnd w:id="8"/>
      <w:proofErr w:type="spellEnd"/>
    </w:p>
    <w:p w14:paraId="290B0BD3" w14:textId="2EF29521" w:rsidR="00DF5BCA" w:rsidRPr="00E653DE" w:rsidRDefault="00DF5BCA" w:rsidP="00DF5BCA">
      <w:pPr>
        <w:widowControl/>
        <w:spacing w:before="120" w:after="120"/>
      </w:pPr>
      <w:r w:rsidRPr="00DF5BCA">
        <w:rPr>
          <w:i/>
        </w:rPr>
        <w:t>(Besedilo te priloge tukaj ni navedeno, saj je enako končnemu aktu, Sklepu (EU) 2025/</w:t>
      </w:r>
      <w:r>
        <w:rPr>
          <w:i/>
        </w:rPr>
        <w:t>47</w:t>
      </w:r>
      <w:r w:rsidRPr="00DF5BCA">
        <w:rPr>
          <w:i/>
        </w:rPr>
        <w:t>.)</w:t>
      </w:r>
    </w:p>
    <w:sectPr w:rsidR="00DF5BCA" w:rsidRPr="00E653DE" w:rsidSect="00915E6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295742" w14:textId="77777777" w:rsidR="008E76DE" w:rsidRPr="00915E66" w:rsidRDefault="008E76DE">
      <w:r w:rsidRPr="00915E66">
        <w:separator/>
      </w:r>
    </w:p>
  </w:endnote>
  <w:endnote w:type="continuationSeparator" w:id="0">
    <w:p w14:paraId="561F95CB" w14:textId="77777777" w:rsidR="008E76DE" w:rsidRPr="00915E66" w:rsidRDefault="008E76DE">
      <w:r w:rsidRPr="00915E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05653" w14:textId="77777777" w:rsidR="00B95DCF" w:rsidRPr="00915E66" w:rsidRDefault="00B95DCF" w:rsidP="00F549B2">
    <w:pPr>
      <w:pStyle w:val="EPFooter"/>
    </w:pPr>
    <w:r w:rsidRPr="00915E66">
      <w:t>PE</w:t>
    </w:r>
    <w:r w:rsidRPr="00915E66">
      <w:rPr>
        <w:rStyle w:val="HideTWBExt"/>
      </w:rPr>
      <w:t>&lt;</w:t>
    </w:r>
    <w:proofErr w:type="spellStart"/>
    <w:r w:rsidRPr="00915E66">
      <w:rPr>
        <w:rStyle w:val="HideTWBExt"/>
      </w:rPr>
      <w:t>NoPE</w:t>
    </w:r>
    <w:proofErr w:type="spellEnd"/>
    <w:r w:rsidRPr="00915E66">
      <w:rPr>
        <w:rStyle w:val="HideTWBExt"/>
      </w:rPr>
      <w:t>&gt;</w:t>
    </w:r>
    <w:r w:rsidRPr="00915E66">
      <w:t>765.241</w:t>
    </w:r>
    <w:r w:rsidRPr="00915E66">
      <w:rPr>
        <w:rStyle w:val="HideTWBExt"/>
      </w:rPr>
      <w:t>&lt;/</w:t>
    </w:r>
    <w:proofErr w:type="spellStart"/>
    <w:r w:rsidRPr="00915E66">
      <w:rPr>
        <w:rStyle w:val="HideTWBExt"/>
      </w:rPr>
      <w:t>NoPE</w:t>
    </w:r>
    <w:proofErr w:type="spellEnd"/>
    <w:r w:rsidRPr="00915E66">
      <w:rPr>
        <w:rStyle w:val="HideTWBExt"/>
      </w:rPr>
      <w:t>&gt;&lt;Version&gt;</w:t>
    </w:r>
    <w:r w:rsidRPr="00915E66">
      <w:t>v03-00</w:t>
    </w:r>
    <w:r w:rsidRPr="00915E66">
      <w:rPr>
        <w:rStyle w:val="HideTWBExt"/>
      </w:rPr>
      <w:t>&lt;/</w:t>
    </w:r>
    <w:proofErr w:type="spellStart"/>
    <w:r w:rsidRPr="00915E66">
      <w:rPr>
        <w:rStyle w:val="HideTWBExt"/>
      </w:rPr>
      <w:t>Version</w:t>
    </w:r>
    <w:proofErr w:type="spellEnd"/>
    <w:r w:rsidRPr="00915E66">
      <w:rPr>
        <w:rStyle w:val="HideTWBExt"/>
      </w:rPr>
      <w:t>&gt;</w:t>
    </w:r>
    <w:r w:rsidRPr="00915E66">
      <w:tab/>
    </w:r>
    <w:r w:rsidRPr="00915E66">
      <w:fldChar w:fldCharType="begin"/>
    </w:r>
    <w:r w:rsidRPr="00915E66">
      <w:instrText xml:space="preserve"> PAGE  \* MERGEFORMAT </w:instrText>
    </w:r>
    <w:r w:rsidRPr="00915E66">
      <w:fldChar w:fldCharType="separate"/>
    </w:r>
    <w:r w:rsidRPr="00915E66">
      <w:rPr>
        <w:noProof/>
      </w:rPr>
      <w:t>4</w:t>
    </w:r>
    <w:r w:rsidRPr="00915E66">
      <w:fldChar w:fldCharType="end"/>
    </w:r>
    <w:r w:rsidRPr="00915E66">
      <w:t>/</w:t>
    </w:r>
    <w:fldSimple w:instr=" NUMPAGES  \* MERGEFORMAT ">
      <w:r w:rsidRPr="00915E66">
        <w:rPr>
          <w:noProof/>
        </w:rPr>
        <w:t>4</w:t>
      </w:r>
    </w:fldSimple>
    <w:r w:rsidRPr="00915E66">
      <w:tab/>
    </w:r>
    <w:r w:rsidRPr="00915E66">
      <w:rPr>
        <w:rStyle w:val="HideTWBExt"/>
      </w:rPr>
      <w:t>&lt;PathFdR&gt;</w:t>
    </w:r>
    <w:r w:rsidRPr="00915E66">
      <w:t>RR\1310799SL.docx</w:t>
    </w:r>
    <w:r w:rsidRPr="00915E66">
      <w:rPr>
        <w:rStyle w:val="HideTWBExt"/>
      </w:rPr>
      <w:t>&lt;/</w:t>
    </w:r>
    <w:proofErr w:type="spellStart"/>
    <w:r w:rsidRPr="00915E66">
      <w:rPr>
        <w:rStyle w:val="HideTWBExt"/>
      </w:rPr>
      <w:t>PathFdR</w:t>
    </w:r>
    <w:proofErr w:type="spellEnd"/>
    <w:r w:rsidRPr="00915E66">
      <w:rPr>
        <w:rStyle w:val="HideTWBExt"/>
      </w:rPr>
      <w:t>&gt;</w:t>
    </w:r>
  </w:p>
  <w:p w14:paraId="6C6C6D2A" w14:textId="77777777" w:rsidR="00B95DCF" w:rsidRPr="00915E66" w:rsidRDefault="00B95DCF" w:rsidP="00F549B2">
    <w:pPr>
      <w:pStyle w:val="EPFooter2"/>
    </w:pPr>
    <w:r w:rsidRPr="00915E66">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BF8C1" w14:textId="77777777" w:rsidR="00B95DCF" w:rsidRPr="00915E66" w:rsidRDefault="00B95DCF" w:rsidP="00F549B2">
    <w:pPr>
      <w:pStyle w:val="EPFooter"/>
    </w:pPr>
    <w:r w:rsidRPr="00915E66">
      <w:rPr>
        <w:rStyle w:val="HideTWBExt"/>
      </w:rPr>
      <w:t>&lt;PathFdR&gt;</w:t>
    </w:r>
    <w:r w:rsidRPr="00915E66">
      <w:t>RR\1310799SL.docx</w:t>
    </w:r>
    <w:r w:rsidRPr="00915E66">
      <w:rPr>
        <w:rStyle w:val="HideTWBExt"/>
      </w:rPr>
      <w:t>&lt;/</w:t>
    </w:r>
    <w:proofErr w:type="spellStart"/>
    <w:r w:rsidRPr="00915E66">
      <w:rPr>
        <w:rStyle w:val="HideTWBExt"/>
      </w:rPr>
      <w:t>PathFdR</w:t>
    </w:r>
    <w:proofErr w:type="spellEnd"/>
    <w:r w:rsidRPr="00915E66">
      <w:rPr>
        <w:rStyle w:val="HideTWBExt"/>
      </w:rPr>
      <w:t>&gt;</w:t>
    </w:r>
    <w:r w:rsidRPr="00915E66">
      <w:tab/>
    </w:r>
    <w:r w:rsidRPr="00915E66">
      <w:tab/>
      <w:t>PE</w:t>
    </w:r>
    <w:r w:rsidRPr="00915E66">
      <w:rPr>
        <w:rStyle w:val="HideTWBExt"/>
      </w:rPr>
      <w:t>&lt;</w:t>
    </w:r>
    <w:proofErr w:type="spellStart"/>
    <w:r w:rsidRPr="00915E66">
      <w:rPr>
        <w:rStyle w:val="HideTWBExt"/>
      </w:rPr>
      <w:t>NoPE</w:t>
    </w:r>
    <w:proofErr w:type="spellEnd"/>
    <w:r w:rsidRPr="00915E66">
      <w:rPr>
        <w:rStyle w:val="HideTWBExt"/>
      </w:rPr>
      <w:t>&gt;</w:t>
    </w:r>
    <w:r w:rsidRPr="00915E66">
      <w:t>765.241</w:t>
    </w:r>
    <w:r w:rsidRPr="00915E66">
      <w:rPr>
        <w:rStyle w:val="HideTWBExt"/>
      </w:rPr>
      <w:t>&lt;/</w:t>
    </w:r>
    <w:proofErr w:type="spellStart"/>
    <w:r w:rsidRPr="00915E66">
      <w:rPr>
        <w:rStyle w:val="HideTWBExt"/>
      </w:rPr>
      <w:t>NoPE</w:t>
    </w:r>
    <w:proofErr w:type="spellEnd"/>
    <w:r w:rsidRPr="00915E66">
      <w:rPr>
        <w:rStyle w:val="HideTWBExt"/>
      </w:rPr>
      <w:t>&gt;&lt;Version&gt;</w:t>
    </w:r>
    <w:r w:rsidRPr="00915E66">
      <w:t>v03-00</w:t>
    </w:r>
    <w:r w:rsidRPr="00915E66">
      <w:rPr>
        <w:rStyle w:val="HideTWBExt"/>
      </w:rPr>
      <w:t>&lt;/</w:t>
    </w:r>
    <w:proofErr w:type="spellStart"/>
    <w:r w:rsidRPr="00915E66">
      <w:rPr>
        <w:rStyle w:val="HideTWBExt"/>
      </w:rPr>
      <w:t>Version</w:t>
    </w:r>
    <w:proofErr w:type="spellEnd"/>
    <w:r w:rsidRPr="00915E66">
      <w:rPr>
        <w:rStyle w:val="HideTWBExt"/>
      </w:rPr>
      <w:t>&gt;</w:t>
    </w:r>
  </w:p>
  <w:p w14:paraId="71E2E4C5" w14:textId="77777777" w:rsidR="00B95DCF" w:rsidRPr="00915E66" w:rsidRDefault="00B95DCF" w:rsidP="00F549B2">
    <w:pPr>
      <w:pStyle w:val="EPFooter2"/>
    </w:pPr>
    <w:r w:rsidRPr="00915E66">
      <w:t>SL</w:t>
    </w:r>
    <w:r w:rsidRPr="00915E66">
      <w:tab/>
    </w:r>
    <w:r w:rsidRPr="00915E66">
      <w:rPr>
        <w:b w:val="0"/>
        <w:i/>
        <w:color w:val="C0C0C0"/>
        <w:sz w:val="22"/>
      </w:rPr>
      <w:t>Združena v raznolikosti</w:t>
    </w:r>
    <w:r w:rsidRPr="00915E66">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61A80" w14:textId="77777777" w:rsidR="00064002" w:rsidRPr="00915E6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F8A81" w14:textId="77777777" w:rsidR="00064002" w:rsidRPr="00915E6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70AB2" w14:textId="77777777" w:rsidR="00064002" w:rsidRPr="00915E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22AAD9" w14:textId="77777777" w:rsidR="008E76DE" w:rsidRPr="00915E66" w:rsidRDefault="008E76DE">
      <w:r w:rsidRPr="00915E66">
        <w:separator/>
      </w:r>
    </w:p>
  </w:footnote>
  <w:footnote w:type="continuationSeparator" w:id="0">
    <w:p w14:paraId="27E1FD13" w14:textId="77777777" w:rsidR="008E76DE" w:rsidRPr="00915E66" w:rsidRDefault="008E76DE">
      <w:r w:rsidRPr="00915E66">
        <w:continuationSeparator/>
      </w:r>
    </w:p>
  </w:footnote>
  <w:footnote w:id="1">
    <w:p w14:paraId="47B03ED4" w14:textId="77777777" w:rsidR="00B95DCF" w:rsidRPr="00915E66" w:rsidRDefault="00B95DCF" w:rsidP="00915E66">
      <w:pPr>
        <w:pStyle w:val="FootnoteText"/>
        <w:ind w:left="567" w:hanging="567"/>
        <w:rPr>
          <w:sz w:val="24"/>
          <w:lang w:val="sl-SI"/>
        </w:rPr>
      </w:pPr>
      <w:r w:rsidRPr="00915E66">
        <w:rPr>
          <w:rStyle w:val="FootnoteReference"/>
          <w:sz w:val="24"/>
          <w:lang w:val="sl-SI"/>
        </w:rPr>
        <w:footnoteRef/>
      </w:r>
      <w:r w:rsidR="00915E66" w:rsidRPr="00915E66">
        <w:rPr>
          <w:sz w:val="24"/>
          <w:lang w:val="sl-SI"/>
        </w:rPr>
        <w:t xml:space="preserve"> </w:t>
      </w:r>
      <w:r w:rsidR="00915E66" w:rsidRPr="00915E66">
        <w:rPr>
          <w:sz w:val="24"/>
          <w:lang w:val="sl-SI"/>
        </w:rPr>
        <w:tab/>
      </w:r>
      <w:r w:rsidRPr="00915E66">
        <w:rPr>
          <w:sz w:val="24"/>
          <w:lang w:val="sl-SI"/>
        </w:rPr>
        <w:t xml:space="preserve">UL L 153, 3.5.2021, str. 48, ELI: </w:t>
      </w:r>
      <w:hyperlink r:id="rId1" w:history="1">
        <w:r w:rsidRPr="00915E66">
          <w:rPr>
            <w:rStyle w:val="Hyperlink"/>
            <w:sz w:val="24"/>
            <w:lang w:val="sl-SI"/>
          </w:rPr>
          <w:t>http://data.europa.eu/eli/reg/2021/691/oj</w:t>
        </w:r>
      </w:hyperlink>
      <w:r w:rsidRPr="00915E66">
        <w:rPr>
          <w:sz w:val="24"/>
          <w:lang w:val="sl-SI"/>
        </w:rPr>
        <w:t>.</w:t>
      </w:r>
    </w:p>
  </w:footnote>
  <w:footnote w:id="2">
    <w:p w14:paraId="4F6735CA" w14:textId="77777777" w:rsidR="00B95DCF" w:rsidRPr="00915E66" w:rsidRDefault="00B95DCF" w:rsidP="00915E66">
      <w:pPr>
        <w:pStyle w:val="FootnoteText"/>
        <w:ind w:left="567" w:hanging="567"/>
        <w:rPr>
          <w:sz w:val="24"/>
          <w:lang w:val="sl-SI"/>
        </w:rPr>
      </w:pPr>
      <w:r w:rsidRPr="00915E66">
        <w:rPr>
          <w:rStyle w:val="FootnoteReference"/>
          <w:sz w:val="24"/>
          <w:lang w:val="sl-SI"/>
        </w:rPr>
        <w:footnoteRef/>
      </w:r>
      <w:r w:rsidR="00915E66" w:rsidRPr="00915E66">
        <w:rPr>
          <w:sz w:val="24"/>
          <w:lang w:val="sl-SI"/>
        </w:rPr>
        <w:t xml:space="preserve"> </w:t>
      </w:r>
      <w:r w:rsidR="00915E66" w:rsidRPr="00915E66">
        <w:rPr>
          <w:sz w:val="24"/>
          <w:lang w:val="sl-SI"/>
        </w:rPr>
        <w:tab/>
      </w:r>
      <w:r w:rsidRPr="00915E66">
        <w:rPr>
          <w:sz w:val="24"/>
          <w:lang w:val="sl-SI"/>
        </w:rPr>
        <w:t xml:space="preserve">UL L 433 I, 22.12.2020, str. 11, ELI: </w:t>
      </w:r>
      <w:hyperlink r:id="rId2" w:history="1">
        <w:r w:rsidRPr="00E653DE">
          <w:rPr>
            <w:rStyle w:val="Hyperlink"/>
            <w:sz w:val="24"/>
            <w:lang w:val="sl-SI"/>
          </w:rPr>
          <w:t>http://data.europa.eu/eli/reg/2020/2093/oj</w:t>
        </w:r>
      </w:hyperlink>
      <w:r w:rsidRPr="00915E66">
        <w:rPr>
          <w:sz w:val="24"/>
          <w:lang w:val="sl-SI"/>
        </w:rPr>
        <w:t>.</w:t>
      </w:r>
    </w:p>
  </w:footnote>
  <w:footnote w:id="3">
    <w:p w14:paraId="45875A01" w14:textId="77777777" w:rsidR="00B95DCF" w:rsidRPr="00915E66" w:rsidRDefault="00B95DCF" w:rsidP="00915E66">
      <w:pPr>
        <w:pStyle w:val="FootnoteText"/>
        <w:ind w:left="567" w:hanging="567"/>
        <w:rPr>
          <w:sz w:val="24"/>
          <w:lang w:val="sl-SI"/>
        </w:rPr>
      </w:pPr>
      <w:r w:rsidRPr="00915E66">
        <w:rPr>
          <w:rStyle w:val="FootnoteReference"/>
          <w:sz w:val="24"/>
          <w:lang w:val="sl-SI"/>
        </w:rPr>
        <w:footnoteRef/>
      </w:r>
      <w:r w:rsidR="00915E66" w:rsidRPr="00915E66">
        <w:rPr>
          <w:color w:val="333333"/>
          <w:sz w:val="24"/>
          <w:shd w:val="clear" w:color="auto" w:fill="FFFFFF"/>
          <w:lang w:val="sl-SI"/>
        </w:rPr>
        <w:t xml:space="preserve"> </w:t>
      </w:r>
      <w:r w:rsidR="00915E66" w:rsidRPr="00915E66">
        <w:rPr>
          <w:color w:val="333333"/>
          <w:sz w:val="24"/>
          <w:shd w:val="clear" w:color="auto" w:fill="FFFFFF"/>
          <w:lang w:val="sl-SI"/>
        </w:rPr>
        <w:tab/>
      </w:r>
      <w:r w:rsidRPr="00695E50">
        <w:rPr>
          <w:sz w:val="24"/>
          <w:shd w:val="clear" w:color="auto" w:fill="FFFFFF"/>
          <w:lang w:val="sl-SI"/>
        </w:rPr>
        <w:t xml:space="preserve">Uredba Sveta (EU, </w:t>
      </w:r>
      <w:proofErr w:type="spellStart"/>
      <w:r w:rsidRPr="00695E50">
        <w:rPr>
          <w:sz w:val="24"/>
          <w:shd w:val="clear" w:color="auto" w:fill="FFFFFF"/>
          <w:lang w:val="sl-SI"/>
        </w:rPr>
        <w:t>Euratom</w:t>
      </w:r>
      <w:proofErr w:type="spellEnd"/>
      <w:r w:rsidRPr="00695E50">
        <w:rPr>
          <w:sz w:val="24"/>
          <w:shd w:val="clear" w:color="auto" w:fill="FFFFFF"/>
          <w:lang w:val="sl-SI"/>
        </w:rPr>
        <w:t xml:space="preserve">) 2024/765 z dne 29. februarja 2024 o spremembi Uredbe (EU, </w:t>
      </w:r>
      <w:proofErr w:type="spellStart"/>
      <w:r w:rsidRPr="00695E50">
        <w:rPr>
          <w:sz w:val="24"/>
          <w:shd w:val="clear" w:color="auto" w:fill="FFFFFF"/>
          <w:lang w:val="sl-SI"/>
        </w:rPr>
        <w:t>Euratom</w:t>
      </w:r>
      <w:proofErr w:type="spellEnd"/>
      <w:r w:rsidRPr="00695E50">
        <w:rPr>
          <w:sz w:val="24"/>
          <w:shd w:val="clear" w:color="auto" w:fill="FFFFFF"/>
          <w:lang w:val="sl-SI"/>
        </w:rPr>
        <w:t xml:space="preserve">) 2020/2093 o določitvi večletnega finančnega okvira za obdobje 2021–2027 </w:t>
      </w:r>
      <w:r w:rsidRPr="00915E66">
        <w:rPr>
          <w:color w:val="333333"/>
          <w:sz w:val="24"/>
          <w:shd w:val="clear" w:color="auto" w:fill="FFFFFF"/>
          <w:lang w:val="sl-SI"/>
        </w:rPr>
        <w:t>(</w:t>
      </w:r>
      <w:r w:rsidRPr="00915E66">
        <w:rPr>
          <w:sz w:val="24"/>
          <w:lang w:val="sl-SI"/>
        </w:rPr>
        <w:t xml:space="preserve">UL L, 2024/765, 29.2.2024, </w:t>
      </w:r>
      <w:r w:rsidRPr="00695E50">
        <w:rPr>
          <w:rStyle w:val="Emphasis"/>
          <w:i w:val="0"/>
          <w:color w:val="333333"/>
          <w:sz w:val="24"/>
          <w:shd w:val="clear" w:color="auto" w:fill="FFFFFF"/>
          <w:lang w:val="sl-SI"/>
        </w:rPr>
        <w:t xml:space="preserve">ELI: </w:t>
      </w:r>
      <w:hyperlink r:id="rId3" w:history="1">
        <w:r w:rsidRPr="00695E50">
          <w:rPr>
            <w:rStyle w:val="Hyperlink"/>
            <w:lang w:val="sl-SI"/>
          </w:rPr>
          <w:t>http://data.europa.eu/eli/reg/2024/765/oj</w:t>
        </w:r>
      </w:hyperlink>
      <w:r w:rsidRPr="00915E66">
        <w:rPr>
          <w:rStyle w:val="Emphasis"/>
          <w:color w:val="333333"/>
          <w:sz w:val="24"/>
          <w:shd w:val="clear" w:color="auto" w:fill="FFFFFF"/>
          <w:lang w:val="sl-SI"/>
        </w:rPr>
        <w:t>).</w:t>
      </w:r>
    </w:p>
  </w:footnote>
  <w:footnote w:id="4">
    <w:p w14:paraId="7494A71C" w14:textId="77777777" w:rsidR="00B95DCF" w:rsidRPr="00915E66" w:rsidRDefault="00B95DCF" w:rsidP="00915E66">
      <w:pPr>
        <w:pStyle w:val="FootnoteText"/>
        <w:ind w:left="567" w:hanging="567"/>
        <w:rPr>
          <w:sz w:val="24"/>
          <w:lang w:val="sl-SI"/>
        </w:rPr>
      </w:pPr>
      <w:r w:rsidRPr="00915E66">
        <w:rPr>
          <w:rStyle w:val="FootnoteReference"/>
          <w:sz w:val="24"/>
          <w:lang w:val="sl-SI"/>
        </w:rPr>
        <w:footnoteRef/>
      </w:r>
      <w:r w:rsidR="00915E66" w:rsidRPr="00915E66">
        <w:rPr>
          <w:sz w:val="24"/>
          <w:lang w:val="sl-SI"/>
        </w:rPr>
        <w:t xml:space="preserve"> </w:t>
      </w:r>
      <w:r w:rsidR="00915E66" w:rsidRPr="00915E66">
        <w:rPr>
          <w:sz w:val="24"/>
          <w:lang w:val="sl-SI"/>
        </w:rPr>
        <w:tab/>
      </w:r>
      <w:r w:rsidRPr="00915E66">
        <w:rPr>
          <w:sz w:val="24"/>
          <w:lang w:val="sl-SI"/>
        </w:rPr>
        <w:t xml:space="preserve">UL L 433 I, 22.12.2020, str. 28, ELI: </w:t>
      </w:r>
      <w:hyperlink r:id="rId4" w:history="1">
        <w:r w:rsidRPr="00915E66">
          <w:rPr>
            <w:rStyle w:val="Hyperlink"/>
            <w:sz w:val="24"/>
            <w:lang w:val="sl-SI"/>
          </w:rPr>
          <w:t>http://data.europa.eu/eli/agree_interinstit/2020/1222/oj</w:t>
        </w:r>
      </w:hyperlink>
      <w:r w:rsidRPr="00915E66">
        <w:rPr>
          <w:sz w:val="24"/>
          <w:lang w:val="sl-SI"/>
        </w:rPr>
        <w:t>.</w:t>
      </w:r>
    </w:p>
  </w:footnote>
  <w:footnote w:id="5">
    <w:p w14:paraId="05DBD9B5" w14:textId="77777777" w:rsidR="00B95DCF" w:rsidRPr="00915E66" w:rsidRDefault="00B95DCF" w:rsidP="00915E66">
      <w:pPr>
        <w:pStyle w:val="FootnoteText"/>
        <w:ind w:left="567" w:hanging="567"/>
        <w:rPr>
          <w:sz w:val="24"/>
          <w:lang w:val="sl-SI"/>
        </w:rPr>
      </w:pPr>
      <w:r w:rsidRPr="00915E66">
        <w:rPr>
          <w:rStyle w:val="FootnoteReference"/>
          <w:sz w:val="24"/>
          <w:lang w:val="sl-SI"/>
        </w:rPr>
        <w:footnoteRef/>
      </w:r>
      <w:r w:rsidR="00915E66" w:rsidRPr="00915E66">
        <w:rPr>
          <w:sz w:val="24"/>
          <w:lang w:val="sl-SI"/>
        </w:rPr>
        <w:t xml:space="preserve"> </w:t>
      </w:r>
      <w:r w:rsidR="00915E66" w:rsidRPr="00915E66">
        <w:rPr>
          <w:sz w:val="24"/>
          <w:lang w:val="sl-SI"/>
        </w:rPr>
        <w:tab/>
      </w:r>
      <w:r w:rsidRPr="00915E66">
        <w:rPr>
          <w:sz w:val="24"/>
          <w:lang w:val="sl-SI"/>
        </w:rPr>
        <w:t>V smislu člena 3 uredbe o ESPG.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59994" w14:textId="77777777" w:rsidR="00064002" w:rsidRPr="00915E6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A75F" w14:textId="77777777" w:rsidR="00064002" w:rsidRPr="00915E6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8C97A" w14:textId="77777777" w:rsidR="00064002" w:rsidRPr="00915E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4"/>
    <w:docVar w:name="dvlangue" w:val="SL"/>
    <w:docVar w:name="dvnumam" w:val="0"/>
    <w:docVar w:name="dvpe" w:val="765.241"/>
    <w:docVar w:name="dvrapporteur" w:val="Poročevalec: "/>
    <w:docVar w:name="dvtitre" w:val="Zakonodajna resolucija Evropskega parlamenta z dne … 2024 o predlogu sklepa Evropskega parlamenta in Sveta o uporabi Evropskega sklada za prilagoditev globalizaciji za presežne delavce na podlagi vloge Belgije – EGF/2024/002 BE/Limburg machinery and paper(COM(2024)0370 – C10-0166/2024 – 2024/0286(BUD))"/>
  </w:docVars>
  <w:rsids>
    <w:rsidRoot w:val="008E76DE"/>
    <w:rsid w:val="00002272"/>
    <w:rsid w:val="00027E95"/>
    <w:rsid w:val="00036096"/>
    <w:rsid w:val="000444B5"/>
    <w:rsid w:val="00050EA0"/>
    <w:rsid w:val="00064002"/>
    <w:rsid w:val="000677B9"/>
    <w:rsid w:val="000831BA"/>
    <w:rsid w:val="000A42CC"/>
    <w:rsid w:val="000E7DD9"/>
    <w:rsid w:val="0010095E"/>
    <w:rsid w:val="00125B37"/>
    <w:rsid w:val="001267FB"/>
    <w:rsid w:val="00187494"/>
    <w:rsid w:val="001F32AE"/>
    <w:rsid w:val="002767FF"/>
    <w:rsid w:val="002B18FE"/>
    <w:rsid w:val="002B5493"/>
    <w:rsid w:val="00343214"/>
    <w:rsid w:val="003548C8"/>
    <w:rsid w:val="00361C00"/>
    <w:rsid w:val="00395FA1"/>
    <w:rsid w:val="003E15D4"/>
    <w:rsid w:val="00411CCE"/>
    <w:rsid w:val="0041666E"/>
    <w:rsid w:val="00421060"/>
    <w:rsid w:val="00471C19"/>
    <w:rsid w:val="004739D9"/>
    <w:rsid w:val="004867E3"/>
    <w:rsid w:val="00494A28"/>
    <w:rsid w:val="004C0004"/>
    <w:rsid w:val="004C5D52"/>
    <w:rsid w:val="00503B4F"/>
    <w:rsid w:val="0050519A"/>
    <w:rsid w:val="005072A1"/>
    <w:rsid w:val="00514517"/>
    <w:rsid w:val="00545827"/>
    <w:rsid w:val="00560270"/>
    <w:rsid w:val="005A7C72"/>
    <w:rsid w:val="005C2568"/>
    <w:rsid w:val="005F1B17"/>
    <w:rsid w:val="006037C0"/>
    <w:rsid w:val="00605219"/>
    <w:rsid w:val="006631B6"/>
    <w:rsid w:val="00680577"/>
    <w:rsid w:val="00695E50"/>
    <w:rsid w:val="006F74FA"/>
    <w:rsid w:val="00724B52"/>
    <w:rsid w:val="00731ADD"/>
    <w:rsid w:val="00734777"/>
    <w:rsid w:val="00747932"/>
    <w:rsid w:val="00751A4A"/>
    <w:rsid w:val="00756632"/>
    <w:rsid w:val="00762C74"/>
    <w:rsid w:val="00786EC0"/>
    <w:rsid w:val="0079156E"/>
    <w:rsid w:val="007A57E4"/>
    <w:rsid w:val="007D1690"/>
    <w:rsid w:val="007E22AD"/>
    <w:rsid w:val="00817416"/>
    <w:rsid w:val="00842779"/>
    <w:rsid w:val="00865F67"/>
    <w:rsid w:val="008741E7"/>
    <w:rsid w:val="00881A7B"/>
    <w:rsid w:val="008840E5"/>
    <w:rsid w:val="00887B3E"/>
    <w:rsid w:val="008C2AC6"/>
    <w:rsid w:val="008E76DE"/>
    <w:rsid w:val="00915E66"/>
    <w:rsid w:val="00930C23"/>
    <w:rsid w:val="0093193B"/>
    <w:rsid w:val="009509D8"/>
    <w:rsid w:val="00950B64"/>
    <w:rsid w:val="00981893"/>
    <w:rsid w:val="00A1687D"/>
    <w:rsid w:val="00A43E52"/>
    <w:rsid w:val="00A4678D"/>
    <w:rsid w:val="00A778C7"/>
    <w:rsid w:val="00AB441E"/>
    <w:rsid w:val="00AB6293"/>
    <w:rsid w:val="00AE0928"/>
    <w:rsid w:val="00AF3B82"/>
    <w:rsid w:val="00AF6BC1"/>
    <w:rsid w:val="00B12E95"/>
    <w:rsid w:val="00B22876"/>
    <w:rsid w:val="00B558F0"/>
    <w:rsid w:val="00B74500"/>
    <w:rsid w:val="00B83D93"/>
    <w:rsid w:val="00B95DCF"/>
    <w:rsid w:val="00BB1AED"/>
    <w:rsid w:val="00BD48FE"/>
    <w:rsid w:val="00BD7BD8"/>
    <w:rsid w:val="00BE6ADC"/>
    <w:rsid w:val="00C05BFE"/>
    <w:rsid w:val="00C23CD4"/>
    <w:rsid w:val="00C259F6"/>
    <w:rsid w:val="00C61C0C"/>
    <w:rsid w:val="00C941CB"/>
    <w:rsid w:val="00CC2357"/>
    <w:rsid w:val="00CF071A"/>
    <w:rsid w:val="00D058B8"/>
    <w:rsid w:val="00D37016"/>
    <w:rsid w:val="00D53A43"/>
    <w:rsid w:val="00D56C11"/>
    <w:rsid w:val="00D611D1"/>
    <w:rsid w:val="00D834A0"/>
    <w:rsid w:val="00D872DF"/>
    <w:rsid w:val="00D91E21"/>
    <w:rsid w:val="00DA3FFB"/>
    <w:rsid w:val="00DA7FCD"/>
    <w:rsid w:val="00DF5BCA"/>
    <w:rsid w:val="00E22A16"/>
    <w:rsid w:val="00E365E1"/>
    <w:rsid w:val="00E653DE"/>
    <w:rsid w:val="00E820A4"/>
    <w:rsid w:val="00EB006A"/>
    <w:rsid w:val="00EB4772"/>
    <w:rsid w:val="00ED169E"/>
    <w:rsid w:val="00ED4235"/>
    <w:rsid w:val="00F0128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80673C"/>
  <w15:chartTrackingRefBased/>
  <w15:docId w15:val="{13B816A4-C612-4B4E-A95B-629679523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95DC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B95DCF"/>
    <w:pPr>
      <w:keepNext/>
      <w:spacing w:after="480"/>
      <w:jc w:val="center"/>
    </w:pPr>
    <w:rPr>
      <w:rFonts w:ascii="Arial" w:hAnsi="Arial" w:cs="Arial"/>
      <w:b/>
    </w:rPr>
  </w:style>
  <w:style w:type="paragraph" w:customStyle="1" w:styleId="NormalHanging12a">
    <w:name w:val="NormalHanging12a"/>
    <w:basedOn w:val="Normal"/>
    <w:link w:val="NormalHanging12aChar"/>
    <w:rsid w:val="00B95DCF"/>
    <w:pPr>
      <w:spacing w:after="240"/>
      <w:ind w:left="567" w:hanging="567"/>
    </w:pPr>
  </w:style>
  <w:style w:type="paragraph" w:styleId="Header">
    <w:name w:val="header"/>
    <w:basedOn w:val="Normal"/>
    <w:link w:val="HeaderChar"/>
    <w:rsid w:val="00B95DCF"/>
    <w:pPr>
      <w:tabs>
        <w:tab w:val="center" w:pos="4513"/>
        <w:tab w:val="right" w:pos="9026"/>
      </w:tabs>
    </w:pPr>
  </w:style>
  <w:style w:type="character" w:customStyle="1" w:styleId="HeaderChar">
    <w:name w:val="Header Char"/>
    <w:basedOn w:val="DefaultParagraphFont"/>
    <w:link w:val="Header"/>
    <w:rsid w:val="00B95DCF"/>
    <w:rPr>
      <w:sz w:val="24"/>
      <w:lang w:val="sl-SI"/>
    </w:rPr>
  </w:style>
  <w:style w:type="paragraph" w:customStyle="1" w:styleId="NormalBold24a">
    <w:name w:val="NormalBold24a"/>
    <w:basedOn w:val="Normal"/>
    <w:rsid w:val="00B95DCF"/>
    <w:pPr>
      <w:spacing w:after="480"/>
    </w:pPr>
    <w:rPr>
      <w:b/>
      <w:bCs/>
    </w:rPr>
  </w:style>
  <w:style w:type="paragraph" w:customStyle="1" w:styleId="EPFooter">
    <w:name w:val="EPFooter"/>
    <w:basedOn w:val="Normal"/>
    <w:rsid w:val="00B95DCF"/>
    <w:pPr>
      <w:tabs>
        <w:tab w:val="center" w:pos="4535"/>
        <w:tab w:val="right" w:pos="9071"/>
      </w:tabs>
      <w:spacing w:before="240" w:after="240"/>
    </w:pPr>
    <w:rPr>
      <w:color w:val="010000"/>
      <w:sz w:val="22"/>
    </w:rPr>
  </w:style>
  <w:style w:type="paragraph" w:customStyle="1" w:styleId="EPComma">
    <w:name w:val="EPComma"/>
    <w:basedOn w:val="Normal"/>
    <w:rsid w:val="00B95DCF"/>
    <w:pPr>
      <w:spacing w:before="480" w:after="240"/>
    </w:pPr>
  </w:style>
  <w:style w:type="character" w:styleId="Hyperlink">
    <w:name w:val="Hyperlink"/>
    <w:basedOn w:val="DefaultParagraphFont"/>
    <w:rsid w:val="00B95DCF"/>
    <w:rPr>
      <w:color w:val="0563C1" w:themeColor="hyperlink"/>
      <w:u w:val="single"/>
    </w:rPr>
  </w:style>
  <w:style w:type="character" w:customStyle="1" w:styleId="NormalHanging12aChar">
    <w:name w:val="NormalHanging12a Char"/>
    <w:basedOn w:val="DefaultParagraphFont"/>
    <w:link w:val="NormalHanging12a"/>
    <w:locked/>
    <w:rsid w:val="00B95DCF"/>
    <w:rPr>
      <w:sz w:val="24"/>
      <w:lang w:val="sl-SI"/>
    </w:rPr>
  </w:style>
  <w:style w:type="character" w:styleId="Emphasis">
    <w:name w:val="Emphasis"/>
    <w:basedOn w:val="DefaultParagraphFont"/>
    <w:uiPriority w:val="20"/>
    <w:qFormat/>
    <w:rsid w:val="00B95DCF"/>
    <w:rPr>
      <w:i/>
      <w:iCs/>
    </w:rPr>
  </w:style>
  <w:style w:type="paragraph" w:customStyle="1" w:styleId="Institutionquisigne">
    <w:name w:val="Institution qui signe"/>
    <w:basedOn w:val="Normal"/>
    <w:next w:val="Normal"/>
    <w:rsid w:val="00B95DCF"/>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B95DC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B95DC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95DC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95DC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B95DCF"/>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B95DCF"/>
    <w:rPr>
      <w:rFonts w:ascii="Arial" w:hAnsi="Arial" w:cs="Arial"/>
      <w:b/>
      <w:sz w:val="24"/>
      <w:lang w:val="sl-SI"/>
    </w:rPr>
  </w:style>
  <w:style w:type="paragraph" w:styleId="BalloonText">
    <w:name w:val="Balloon Text"/>
    <w:basedOn w:val="Normal"/>
    <w:link w:val="BalloonTextChar"/>
    <w:rsid w:val="00E653DE"/>
    <w:rPr>
      <w:rFonts w:ascii="Segoe UI" w:hAnsi="Segoe UI" w:cs="Segoe UI"/>
      <w:sz w:val="18"/>
      <w:szCs w:val="18"/>
    </w:rPr>
  </w:style>
  <w:style w:type="character" w:customStyle="1" w:styleId="BalloonTextChar">
    <w:name w:val="Balloon Text Char"/>
    <w:basedOn w:val="DefaultParagraphFont"/>
    <w:link w:val="BalloonText"/>
    <w:rsid w:val="00E653DE"/>
    <w:rPr>
      <w:rFonts w:ascii="Segoe UI" w:hAnsi="Segoe UI" w:cs="Segoe UI"/>
      <w:sz w:val="18"/>
      <w:szCs w:val="18"/>
      <w:lang w:val="sl-SI"/>
    </w:rPr>
  </w:style>
  <w:style w:type="character" w:styleId="FollowedHyperlink">
    <w:name w:val="FollowedHyperlink"/>
    <w:basedOn w:val="DefaultParagraphFont"/>
    <w:rsid w:val="007A57E4"/>
    <w:rPr>
      <w:color w:val="954F72" w:themeColor="followedHyperlink"/>
      <w:u w:val="single"/>
    </w:rPr>
  </w:style>
  <w:style w:type="character" w:styleId="CommentReference">
    <w:name w:val="annotation reference"/>
    <w:basedOn w:val="DefaultParagraphFont"/>
    <w:rsid w:val="007A57E4"/>
    <w:rPr>
      <w:sz w:val="16"/>
      <w:szCs w:val="16"/>
    </w:rPr>
  </w:style>
  <w:style w:type="paragraph" w:styleId="CommentText">
    <w:name w:val="annotation text"/>
    <w:basedOn w:val="Normal"/>
    <w:link w:val="CommentTextChar"/>
    <w:rsid w:val="007A57E4"/>
    <w:rPr>
      <w:sz w:val="20"/>
    </w:rPr>
  </w:style>
  <w:style w:type="character" w:customStyle="1" w:styleId="CommentTextChar">
    <w:name w:val="Comment Text Char"/>
    <w:basedOn w:val="DefaultParagraphFont"/>
    <w:link w:val="CommentText"/>
    <w:rsid w:val="007A57E4"/>
    <w:rPr>
      <w:lang w:val="sl-SI"/>
    </w:rPr>
  </w:style>
  <w:style w:type="paragraph" w:styleId="CommentSubject">
    <w:name w:val="annotation subject"/>
    <w:basedOn w:val="CommentText"/>
    <w:next w:val="CommentText"/>
    <w:link w:val="CommentSubjectChar"/>
    <w:rsid w:val="007A57E4"/>
    <w:rPr>
      <w:b/>
      <w:bCs/>
    </w:rPr>
  </w:style>
  <w:style w:type="character" w:customStyle="1" w:styleId="CommentSubjectChar">
    <w:name w:val="Comment Subject Char"/>
    <w:basedOn w:val="CommentTextChar"/>
    <w:link w:val="CommentSubject"/>
    <w:rsid w:val="007A57E4"/>
    <w:rPr>
      <w:b/>
      <w:bCs/>
      <w:lang w:val="sl-SI"/>
    </w:rPr>
  </w:style>
  <w:style w:type="paragraph" w:styleId="Footer">
    <w:name w:val="footer"/>
    <w:basedOn w:val="Normal"/>
    <w:link w:val="FooterChar"/>
    <w:rsid w:val="00DF5BCA"/>
    <w:pPr>
      <w:tabs>
        <w:tab w:val="center" w:pos="4513"/>
        <w:tab w:val="right" w:pos="9026"/>
      </w:tabs>
    </w:pPr>
  </w:style>
  <w:style w:type="character" w:customStyle="1" w:styleId="FooterChar">
    <w:name w:val="Footer Char"/>
    <w:basedOn w:val="DefaultParagraphFont"/>
    <w:link w:val="Footer"/>
    <w:rsid w:val="00DF5BCA"/>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E478F-31A0-4847-B4E4-F354F58A2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1595</Words>
  <Characters>9298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2025-02-05T10:02:00Z</dcterms:created>
  <dcterms:modified xsi:type="dcterms:W3CDTF">2025-02-05T10:02:00Z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P10_TA(2024)0062_</vt:lpwstr>
  </property>
  <property fmtid="{D5CDD505-2E9C-101B-9397-08002B2CF9AE}" pid="4" name="&lt;Type&gt;">
    <vt:lpwstr>RR</vt:lpwstr>
  </property>
</Properties>
</file>