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BC8" w14:paraId="17EB0CE3" w14:textId="77777777" w:rsidTr="0010095E">
        <w:trPr>
          <w:trHeight w:hRule="exact" w:val="1418"/>
        </w:trPr>
        <w:tc>
          <w:tcPr>
            <w:tcW w:w="6804" w:type="dxa"/>
            <w:shd w:val="clear" w:color="auto" w:fill="auto"/>
            <w:vAlign w:val="center"/>
          </w:tcPr>
          <w:p w14:paraId="49F4587A" w14:textId="77777777" w:rsidR="00751A4A" w:rsidRPr="00FE4BC8" w:rsidRDefault="00AF4201" w:rsidP="0010095E">
            <w:pPr>
              <w:pStyle w:val="EPName"/>
            </w:pPr>
            <w:r w:rsidRPr="00FE4BC8">
              <w:t>Europaparlamentet</w:t>
            </w:r>
          </w:p>
          <w:p w14:paraId="3DF32A0B" w14:textId="77777777" w:rsidR="00751A4A" w:rsidRPr="00FE4BC8" w:rsidRDefault="005F1B17" w:rsidP="005F1B17">
            <w:pPr>
              <w:pStyle w:val="EPTerm"/>
              <w:rPr>
                <w:rStyle w:val="HideTWBExt"/>
                <w:noProof w:val="0"/>
                <w:vanish w:val="0"/>
                <w:color w:val="auto"/>
              </w:rPr>
            </w:pPr>
            <w:r w:rsidRPr="00FE4BC8">
              <w:t>2024</w:t>
            </w:r>
            <w:r w:rsidR="00817416" w:rsidRPr="00FE4BC8">
              <w:t>-202</w:t>
            </w:r>
            <w:r w:rsidRPr="00FE4BC8">
              <w:t>9</w:t>
            </w:r>
          </w:p>
        </w:tc>
        <w:tc>
          <w:tcPr>
            <w:tcW w:w="2268" w:type="dxa"/>
            <w:shd w:val="clear" w:color="auto" w:fill="auto"/>
          </w:tcPr>
          <w:p w14:paraId="34A0CD26" w14:textId="77777777" w:rsidR="00751A4A" w:rsidRPr="00FE4BC8" w:rsidRDefault="00187494" w:rsidP="0010095E">
            <w:pPr>
              <w:pStyle w:val="EPLogo"/>
            </w:pPr>
            <w:r w:rsidRPr="00FE4BC8">
              <w:rPr>
                <w:noProof/>
                <w:lang w:val="en-GB"/>
              </w:rPr>
              <w:drawing>
                <wp:inline distT="0" distB="0" distL="0" distR="0" wp14:anchorId="66E22E3F" wp14:editId="0E1507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5A3164" w14:textId="77777777" w:rsidR="00D058B8" w:rsidRPr="00FE4BC8" w:rsidRDefault="00D058B8" w:rsidP="004C5D52">
      <w:pPr>
        <w:pStyle w:val="LineTop"/>
      </w:pPr>
    </w:p>
    <w:p w14:paraId="32258366" w14:textId="77777777" w:rsidR="00680577" w:rsidRPr="00FE4BC8" w:rsidRDefault="00AF4201" w:rsidP="00680577">
      <w:pPr>
        <w:pStyle w:val="EPBodyTA1"/>
      </w:pPr>
      <w:r w:rsidRPr="00FE4BC8">
        <w:t>ANTAGNA TEXTER</w:t>
      </w:r>
    </w:p>
    <w:p w14:paraId="642EB120" w14:textId="77777777" w:rsidR="00D058B8" w:rsidRPr="00FE4BC8" w:rsidRDefault="00D058B8" w:rsidP="00D058B8">
      <w:pPr>
        <w:pStyle w:val="LineBottom"/>
      </w:pPr>
    </w:p>
    <w:p w14:paraId="6E4E06FE" w14:textId="1A7A8F31" w:rsidR="00AF4201" w:rsidRPr="00FE4BC8" w:rsidRDefault="00AF4201" w:rsidP="00AF4201">
      <w:pPr>
        <w:pStyle w:val="ATHeading1"/>
      </w:pPr>
      <w:bookmarkStart w:id="0" w:name="TANumber"/>
      <w:r w:rsidRPr="00FE4BC8">
        <w:t>P10_TA(2024)00</w:t>
      </w:r>
      <w:bookmarkEnd w:id="0"/>
      <w:r w:rsidR="00973DD0">
        <w:t>62</w:t>
      </w:r>
    </w:p>
    <w:p w14:paraId="426F2D78" w14:textId="23859EFB" w:rsidR="00AF4201" w:rsidRPr="00FE4BC8" w:rsidRDefault="00232642" w:rsidP="00AF4201">
      <w:pPr>
        <w:pStyle w:val="ATHeading2"/>
      </w:pPr>
      <w:bookmarkStart w:id="1" w:name="title"/>
      <w:r w:rsidRPr="00FE4BC8">
        <w:t>Utnyttjande av Europeiska fonden för justering för globaliseringseffekter: ansökan EGF/2024/002 BE/Limburg machinery and paper – Belgien</w:t>
      </w:r>
      <w:bookmarkEnd w:id="1"/>
    </w:p>
    <w:p w14:paraId="3E301D59" w14:textId="77777777" w:rsidR="00AF4201" w:rsidRPr="00FE4BC8" w:rsidRDefault="00AF4201" w:rsidP="00AF4201">
      <w:pPr>
        <w:rPr>
          <w:i/>
          <w:vanish/>
        </w:rPr>
      </w:pPr>
      <w:r w:rsidRPr="00FE4BC8">
        <w:rPr>
          <w:i/>
        </w:rPr>
        <w:fldChar w:fldCharType="begin"/>
      </w:r>
      <w:r w:rsidRPr="00FE4BC8">
        <w:rPr>
          <w:i/>
        </w:rPr>
        <w:instrText xml:space="preserve"> TC"(</w:instrText>
      </w:r>
      <w:bookmarkStart w:id="2" w:name="DocNumber"/>
      <w:r w:rsidRPr="00FE4BC8">
        <w:rPr>
          <w:i/>
        </w:rPr>
        <w:instrText>A10-0019/2024</w:instrText>
      </w:r>
      <w:bookmarkEnd w:id="2"/>
      <w:r w:rsidRPr="00FE4BC8">
        <w:rPr>
          <w:i/>
        </w:rPr>
        <w:instrText xml:space="preserve"> - Föredragande: Matjaž Nemec)"\l3 \n&gt; \* MERGEFORMAT </w:instrText>
      </w:r>
      <w:r w:rsidRPr="00FE4BC8">
        <w:rPr>
          <w:i/>
        </w:rPr>
        <w:fldChar w:fldCharType="end"/>
      </w:r>
    </w:p>
    <w:p w14:paraId="56E2C77B" w14:textId="77777777" w:rsidR="00AF4201" w:rsidRPr="00FE4BC8" w:rsidRDefault="00AF4201" w:rsidP="00AF4201">
      <w:pPr>
        <w:rPr>
          <w:vanish/>
        </w:rPr>
      </w:pPr>
      <w:bookmarkStart w:id="3" w:name="Commission"/>
      <w:r w:rsidRPr="00FE4BC8">
        <w:rPr>
          <w:vanish/>
        </w:rPr>
        <w:t>Budgetutskottet</w:t>
      </w:r>
      <w:bookmarkEnd w:id="3"/>
    </w:p>
    <w:p w14:paraId="550BA5F4" w14:textId="77777777" w:rsidR="00AF4201" w:rsidRPr="00FE4BC8" w:rsidRDefault="00AF4201" w:rsidP="00AF4201">
      <w:pPr>
        <w:rPr>
          <w:vanish/>
        </w:rPr>
      </w:pPr>
      <w:bookmarkStart w:id="4" w:name="PE"/>
      <w:r w:rsidRPr="00FE4BC8">
        <w:rPr>
          <w:vanish/>
        </w:rPr>
        <w:t>PE765.241</w:t>
      </w:r>
      <w:bookmarkEnd w:id="4"/>
    </w:p>
    <w:p w14:paraId="3AEA6D8A" w14:textId="1DE09E4A" w:rsidR="00AF4201" w:rsidRPr="00FE4BC8" w:rsidRDefault="003B7EF3" w:rsidP="00AF4201">
      <w:pPr>
        <w:pStyle w:val="ATHeading3"/>
      </w:pPr>
      <w:bookmarkStart w:id="5" w:name="Sujet"/>
      <w:r w:rsidRPr="00FE4BC8">
        <w:t xml:space="preserve">Europaparlamentets </w:t>
      </w:r>
      <w:r w:rsidR="00AF4201" w:rsidRPr="00FE4BC8">
        <w:t xml:space="preserve">resolution av den </w:t>
      </w:r>
      <w:r w:rsidRPr="00FE4BC8">
        <w:t>17</w:t>
      </w:r>
      <w:r w:rsidR="00AF4201" w:rsidRPr="00FE4BC8">
        <w:t xml:space="preserve"> </w:t>
      </w:r>
      <w:r w:rsidRPr="00FE4BC8">
        <w:t>december</w:t>
      </w:r>
      <w:r w:rsidR="00AF4201" w:rsidRPr="00FE4BC8">
        <w:t xml:space="preserve"> 2024 om förslaget till Europaparlamentets och rådets beslut om utnyttjande av Europeiska fonden för justering för globaliseringseffekter för uppsagda arbetstagare efter en ansökan från Belgien – EGF/2024/002 BE/Limburg machinery and paper</w:t>
      </w:r>
      <w:bookmarkEnd w:id="5"/>
      <w:r w:rsidR="00AF4201" w:rsidRPr="00FE4BC8">
        <w:t xml:space="preserve"> </w:t>
      </w:r>
      <w:bookmarkStart w:id="6" w:name="References"/>
      <w:r w:rsidR="00AF4201" w:rsidRPr="00FE4BC8">
        <w:t>(COM(2024)0370 – C10-0166/2024 – 2024/0286(BUD))</w:t>
      </w:r>
      <w:bookmarkEnd w:id="6"/>
    </w:p>
    <w:p w14:paraId="4E791030" w14:textId="77777777" w:rsidR="000C2DA9" w:rsidRPr="00FE4BC8" w:rsidRDefault="000C2DA9" w:rsidP="000C2DA9">
      <w:pPr>
        <w:pStyle w:val="EPComma"/>
        <w:widowControl/>
        <w:rPr>
          <w:noProof/>
        </w:rPr>
      </w:pPr>
      <w:r w:rsidRPr="00FE4BC8">
        <w:rPr>
          <w:i/>
          <w:iCs/>
        </w:rPr>
        <w:t>Europaparlamentet utfärdar denna resolution</w:t>
      </w:r>
    </w:p>
    <w:p w14:paraId="156EDF1A" w14:textId="77777777" w:rsidR="000C2DA9" w:rsidRPr="00FE4BC8" w:rsidRDefault="000C2DA9" w:rsidP="000C2DA9">
      <w:pPr>
        <w:pStyle w:val="NormalHanging12a"/>
        <w:widowControl/>
        <w:rPr>
          <w:noProof/>
        </w:rPr>
      </w:pPr>
      <w:r w:rsidRPr="00FE4BC8">
        <w:t>–</w:t>
      </w:r>
      <w:r w:rsidRPr="00FE4BC8">
        <w:tab/>
        <w:t>med beaktande av kommissionens förslag till Europaparlamentet och rådet (COM(2024)0370 – C10</w:t>
      </w:r>
      <w:r w:rsidRPr="00FE4BC8">
        <w:noBreakHyphen/>
        <w:t>0166/2024),</w:t>
      </w:r>
    </w:p>
    <w:p w14:paraId="59719DDE" w14:textId="77777777" w:rsidR="000C2DA9" w:rsidRPr="00FE4BC8" w:rsidRDefault="000C2DA9" w:rsidP="000C2DA9">
      <w:pPr>
        <w:pStyle w:val="NormalHanging12a"/>
        <w:widowControl/>
      </w:pPr>
      <w:r w:rsidRPr="00FE4BC8">
        <w:t>–</w:t>
      </w:r>
      <w:r w:rsidRPr="00FE4BC8">
        <w:tab/>
        <w:t>med beaktande av Europaparlamentets och rådets förordning (EU) 2021/691 av den 28 april 2021 om Europeiska fonden för justering för globaliseringseffekter för uppsagda arbetstagare (EGF) och om upphävande av förordning (EU) nr 1309/2013</w:t>
      </w:r>
      <w:r w:rsidRPr="00FE4BC8">
        <w:rPr>
          <w:rStyle w:val="FootnoteReference"/>
          <w:noProof/>
        </w:rPr>
        <w:footnoteReference w:id="1"/>
      </w:r>
      <w:r w:rsidRPr="00FE4BC8">
        <w:t xml:space="preserve"> (EGF-förordningen),</w:t>
      </w:r>
    </w:p>
    <w:p w14:paraId="76C23B0A" w14:textId="0DB0C56C" w:rsidR="000C2DA9" w:rsidRPr="00FE4BC8" w:rsidRDefault="000C2DA9" w:rsidP="000C2DA9">
      <w:pPr>
        <w:pStyle w:val="NormalHanging12a"/>
        <w:widowControl/>
        <w:rPr>
          <w:noProof/>
        </w:rPr>
      </w:pPr>
      <w:r w:rsidRPr="00FE4BC8">
        <w:t>–</w:t>
      </w:r>
      <w:r w:rsidRPr="00FE4BC8">
        <w:tab/>
        <w:t>med beaktande av råd</w:t>
      </w:r>
      <w:r w:rsidR="00EE64F4">
        <w:t xml:space="preserve">ets förordning (EU, Euratom) </w:t>
      </w:r>
      <w:r w:rsidRPr="00FE4BC8">
        <w:t>2020/2093 av den 17 december 2020 om den fleråriga budgetramen för 2021–2027</w:t>
      </w:r>
      <w:r w:rsidRPr="00FE4BC8">
        <w:rPr>
          <w:rStyle w:val="FootnoteReference"/>
          <w:noProof/>
        </w:rPr>
        <w:footnoteReference w:id="2"/>
      </w:r>
      <w:r w:rsidRPr="00FE4BC8">
        <w:t xml:space="preserve"> ändrad genom </w:t>
      </w:r>
      <w:r w:rsidR="00D2097A" w:rsidRPr="00FE4BC8">
        <w:t xml:space="preserve">rådets </w:t>
      </w:r>
      <w:r w:rsidRPr="00FE4BC8">
        <w:t>förordning (EU, Euratom) 2024/765</w:t>
      </w:r>
      <w:r w:rsidRPr="00FE4BC8">
        <w:rPr>
          <w:rStyle w:val="FootnoteReference"/>
          <w:bdr w:val="none" w:sz="0" w:space="0" w:color="auto" w:frame="1"/>
        </w:rPr>
        <w:footnoteReference w:id="3"/>
      </w:r>
      <w:r w:rsidRPr="00FE4BC8">
        <w:t>, särskilt artikel 8,</w:t>
      </w:r>
    </w:p>
    <w:p w14:paraId="145FF655" w14:textId="77777777" w:rsidR="000C2DA9" w:rsidRPr="00FE4BC8" w:rsidRDefault="000C2DA9" w:rsidP="000C2DA9">
      <w:pPr>
        <w:pStyle w:val="NormalHanging12a"/>
        <w:widowControl/>
        <w:rPr>
          <w:noProof/>
        </w:rPr>
      </w:pPr>
      <w:r w:rsidRPr="00FE4BC8">
        <w:t>–</w:t>
      </w:r>
      <w:r w:rsidRPr="00FE4BC8">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FE4BC8">
        <w:rPr>
          <w:rStyle w:val="FootnoteReference"/>
          <w:noProof/>
        </w:rPr>
        <w:footnoteReference w:id="4"/>
      </w:r>
      <w:r w:rsidRPr="00FE4BC8">
        <w:t>, särskilt punkt 9.</w:t>
      </w:r>
    </w:p>
    <w:p w14:paraId="4079CC8F" w14:textId="77777777" w:rsidR="000C2DA9" w:rsidRPr="00FE4BC8" w:rsidRDefault="000C2DA9" w:rsidP="000C2DA9">
      <w:pPr>
        <w:pStyle w:val="NormalHanging12a"/>
        <w:widowControl/>
        <w:rPr>
          <w:noProof/>
        </w:rPr>
      </w:pPr>
      <w:r w:rsidRPr="00FE4BC8">
        <w:lastRenderedPageBreak/>
        <w:t>–</w:t>
      </w:r>
      <w:r w:rsidRPr="00FE4BC8">
        <w:tab/>
        <w:t>med beaktande av principerna i den europeiska pelaren för sociala rättigheter och de mål som fastställs i handlingsplanen för den europeiska pelaren för sociala rättigheter,</w:t>
      </w:r>
    </w:p>
    <w:p w14:paraId="1BA94DD6" w14:textId="77777777" w:rsidR="000C2DA9" w:rsidRPr="00FE4BC8" w:rsidRDefault="000C2DA9" w:rsidP="000C2DA9">
      <w:pPr>
        <w:pStyle w:val="NormalHanging12a"/>
        <w:widowControl/>
      </w:pPr>
      <w:r w:rsidRPr="00FE4BC8">
        <w:t>–</w:t>
      </w:r>
      <w:r w:rsidRPr="00FE4BC8">
        <w:tab/>
        <w:t>med beaktande av skrivelsen från utskottet för sysselsättning och sociala frågor,</w:t>
      </w:r>
    </w:p>
    <w:p w14:paraId="491BD3F2" w14:textId="77777777" w:rsidR="000C2DA9" w:rsidRPr="00FE4BC8" w:rsidRDefault="000C2DA9" w:rsidP="000C2DA9">
      <w:pPr>
        <w:pStyle w:val="NormalHanging12a"/>
        <w:widowControl/>
      </w:pPr>
      <w:r w:rsidRPr="00FE4BC8">
        <w:t>–</w:t>
      </w:r>
      <w:r w:rsidRPr="00FE4BC8">
        <w:tab/>
        <w:t>med beaktande av betänkandet från budgetutskottet (A10-0019/2024), och av följande skäl:</w:t>
      </w:r>
    </w:p>
    <w:p w14:paraId="4B9ED683" w14:textId="77777777" w:rsidR="000C2DA9" w:rsidRPr="00FE4BC8" w:rsidRDefault="000C2DA9" w:rsidP="000C2DA9">
      <w:pPr>
        <w:pStyle w:val="NormalHanging12a"/>
        <w:widowControl/>
      </w:pPr>
      <w:r w:rsidRPr="00FE4BC8">
        <w:t>A.</w:t>
      </w:r>
      <w:r w:rsidRPr="00FE4BC8">
        <w:tab/>
        <w:t>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ges i form av ekonomiskt stöd till arbetstagare och till de företag som de har arbetat för.</w:t>
      </w:r>
    </w:p>
    <w:p w14:paraId="27983323" w14:textId="77777777" w:rsidR="000C2DA9" w:rsidRPr="00FE4BC8" w:rsidRDefault="000C2DA9" w:rsidP="000C2DA9">
      <w:pPr>
        <w:pStyle w:val="NormalHanging12a"/>
        <w:widowControl/>
      </w:pPr>
      <w:r w:rsidRPr="00FE4BC8">
        <w:t>B.</w:t>
      </w:r>
      <w:r w:rsidRPr="00FE4BC8">
        <w:tab/>
        <w:t>Belgien har lämnat in ansökan EGF/2024/002 BE/Limburg machinery and paper om ekonomiskt bidrag från Europeiska fonden för justering för globaliseringseffekter (EGF), efter uppsägningar av 681 arbetstagare</w:t>
      </w:r>
      <w:r w:rsidRPr="00FE4BC8">
        <w:rPr>
          <w:rStyle w:val="FootnoteReference"/>
        </w:rPr>
        <w:footnoteReference w:id="5"/>
      </w:r>
      <w:r w:rsidRPr="00FE4BC8">
        <w:t xml:space="preserve"> inom de ekonomiska sektorer som i Nace rev. 2 klassificeras som huvudgrupp 17 (Pappers- och pappersvarutillverkning) och huvudgrupp 28 (Tillverkning av övriga maskiner) i Nuts 2-regionen Limburg (BE22) i Belgien, under en referensperiod för ansökan från den 31 december 2023 till den 30 april 2024.</w:t>
      </w:r>
    </w:p>
    <w:p w14:paraId="14EE8D80" w14:textId="77777777" w:rsidR="000C2DA9" w:rsidRPr="00FE4BC8" w:rsidRDefault="000C2DA9" w:rsidP="000C2DA9">
      <w:pPr>
        <w:pStyle w:val="NormalHanging12a"/>
        <w:widowControl/>
      </w:pPr>
      <w:r w:rsidRPr="00FE4BC8">
        <w:t>C.</w:t>
      </w:r>
      <w:r w:rsidRPr="00FE4BC8">
        <w:tab/>
        <w:t>Ansökan gäller 567 arbetstagare som sagts upp vid företaget Sappi Lanaken NV (papper) och 114 arbetstagare</w:t>
      </w:r>
      <w:r w:rsidR="002C070A" w:rsidRPr="00FE4BC8">
        <w:t xml:space="preserve"> som sagts upp</w:t>
      </w:r>
      <w:r w:rsidRPr="00FE4BC8">
        <w:t xml:space="preserve"> vid företaget Purmo Group Belgium NV (maskiner). </w:t>
      </w:r>
    </w:p>
    <w:p w14:paraId="1EB71B6D" w14:textId="77777777" w:rsidR="000C2DA9" w:rsidRPr="00FE4BC8" w:rsidRDefault="000C2DA9" w:rsidP="000C2DA9">
      <w:pPr>
        <w:pStyle w:val="NormalHanging12a"/>
        <w:widowControl/>
      </w:pPr>
      <w:r w:rsidRPr="00FE4BC8">
        <w:t>D.</w:t>
      </w:r>
      <w:r w:rsidRPr="00FE4BC8">
        <w:tab/>
        <w:t>Ansökan lämnades in med stöd av insatskriteriet i artikel 4.2 c i EGF-förordningen, enligt vilket minst 200 arbetstagare ska ha blivit uppsagda under en referensperiod på fyra månader i företag som verkar inom samma eller olika ekonomiska sektorer och som är belägna i en och samma region.</w:t>
      </w:r>
    </w:p>
    <w:p w14:paraId="71A3F9B7" w14:textId="77777777" w:rsidR="000C2DA9" w:rsidRPr="00FE4BC8" w:rsidRDefault="000C2DA9" w:rsidP="000C2DA9">
      <w:pPr>
        <w:pStyle w:val="NormalHanging12a"/>
        <w:widowControl/>
      </w:pPr>
      <w:r w:rsidRPr="00FE4BC8">
        <w:t>E.</w:t>
      </w:r>
      <w:r w:rsidRPr="00FE4BC8">
        <w:tab/>
        <w:t>Covid-19-pandemin och det ryska anfallskriget mot Ukraina har minskat den ekonomiska konkurrenskraften och har en negativ inverkan på den ekonomiska tillväxten i Belgien.</w:t>
      </w:r>
    </w:p>
    <w:p w14:paraId="3AAFC882" w14:textId="77777777" w:rsidR="000C2DA9" w:rsidRPr="00FE4BC8" w:rsidRDefault="000C2DA9" w:rsidP="000C2DA9">
      <w:pPr>
        <w:pStyle w:val="NormalHanging12a"/>
        <w:widowControl/>
        <w:rPr>
          <w:rFonts w:eastAsia="Calibri"/>
          <w:szCs w:val="22"/>
        </w:rPr>
      </w:pPr>
      <w:r w:rsidRPr="00FE4BC8">
        <w:t>F.</w:t>
      </w:r>
      <w:r w:rsidRPr="00FE4BC8">
        <w:tab/>
        <w:t xml:space="preserve">Sappi Lanaken var specialiserad på tillverkning av träfritt bestruket papper. Den minskade efterfrågan på grafiska produkter till följd av den ökade digitaliseringen har lett till en växande överkapacitet inom den europeiska industrin för träfritt bestruket papper. En övergång till andra mer efterfrågade pappersprodukter skulle ha krävt stora investeringar, och Sappi-koncernen beslutade därför att upphöra med produktionen i Lanaken och stänga anläggningen, eftersom den strukturella överkapaciteten inom industrin gjorde att ingen lämplig köpare kunde hittas. </w:t>
      </w:r>
    </w:p>
    <w:p w14:paraId="04ABF3C7" w14:textId="77777777" w:rsidR="000C2DA9" w:rsidRPr="00FE4BC8" w:rsidRDefault="000C2DA9" w:rsidP="000C2DA9">
      <w:pPr>
        <w:pStyle w:val="NormalHanging12a"/>
        <w:widowControl/>
        <w:rPr>
          <w:noProof/>
        </w:rPr>
      </w:pPr>
      <w:r w:rsidRPr="00FE4BC8">
        <w:t>G.</w:t>
      </w:r>
      <w:r w:rsidRPr="00FE4BC8">
        <w:tab/>
        <w:t xml:space="preserve">Under perioden 2018–2023 minskade volymen för Purmo-koncernens produktion av panelradiatorer stadigt, från 820 000 enheter år 2018 till 320 000 enheter år 2023 (–60 %). När man jämför produktionskostnaderna för Purmo-koncernens olika anläggningar i Europa är anläggningen i Zonhoven mindre gynnad, eftersom kostnaderna är 17–35 % högre. Purmo-koncernen beslutade att lägga ner produktionen </w:t>
      </w:r>
      <w:r w:rsidRPr="00FE4BC8">
        <w:lastRenderedPageBreak/>
        <w:t xml:space="preserve">av 50 millimeters panelradiatorer i anläggningen i Zonhoven och att stänga den berörda produktionslinjen. Till följd av den oväntade situationen när det gäller tillgången och priserna på gas till följd av Rysslands anfallskrig mot Ukraina, och unionslagstiftning som gynnar lågtempererade värmesystem till nackdel för panelradiatorer, är det osannolikt att efterfrågan kommer att återhämta sig, eftersom marknaden för panelradiatorer i allt högre grad kommer att begränsas till att ersätta enheter som redan är i bruk. </w:t>
      </w:r>
    </w:p>
    <w:p w14:paraId="53B3D6E2" w14:textId="77777777" w:rsidR="000C2DA9" w:rsidRPr="00FE4BC8" w:rsidRDefault="000C2DA9" w:rsidP="000C2DA9">
      <w:pPr>
        <w:pStyle w:val="NormalHanging12a"/>
        <w:widowControl/>
      </w:pPr>
      <w:r w:rsidRPr="00FE4BC8">
        <w:t>H.</w:t>
      </w:r>
      <w:r w:rsidRPr="00FE4BC8">
        <w:tab/>
        <w:t xml:space="preserve">De två företagen följde, i enlighet med belgisk lagstiftning, det obligatoriska förfarandet för information till och samråd med arbetstagarrepresentanter och har inrättat en sysselsättningsenhet, vars uppgift är att erbjuda arbetstagare som har sagts upp i samband med kollektiva uppsägningar omställningstjänster. </w:t>
      </w:r>
    </w:p>
    <w:p w14:paraId="354781C8" w14:textId="77777777" w:rsidR="000C2DA9" w:rsidRPr="00FE4BC8" w:rsidRDefault="000C2DA9" w:rsidP="000C2DA9">
      <w:pPr>
        <w:pStyle w:val="NormalHanging12a"/>
        <w:widowControl/>
      </w:pPr>
      <w:r w:rsidRPr="00FE4BC8">
        <w:t>I.</w:t>
      </w:r>
      <w:r w:rsidRPr="00FE4BC8">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134A9BCB" w14:textId="77777777" w:rsidR="000C2DA9" w:rsidRPr="00FE4BC8" w:rsidRDefault="000C2DA9" w:rsidP="000C2DA9">
      <w:pPr>
        <w:pStyle w:val="NormalHanging12a"/>
        <w:widowControl/>
      </w:pPr>
      <w:r w:rsidRPr="00FE4BC8">
        <w:t>J.</w:t>
      </w:r>
      <w:r w:rsidRPr="00FE4BC8">
        <w:tab/>
        <w:t>Enligt artikel 8 i rådets förordning (EU, Euratom) 2020/2093, i dess ändrade lydelse enligt rådets förordning (EU, Euratom) 2024/765, får EGF inte överstiga ett årligt maximibelopp på 30 miljoner EUR (i 2018 års priser).</w:t>
      </w:r>
    </w:p>
    <w:p w14:paraId="30476ED3" w14:textId="77777777" w:rsidR="000C2DA9" w:rsidRPr="00FE4BC8" w:rsidRDefault="000C2DA9" w:rsidP="000C2DA9">
      <w:pPr>
        <w:pStyle w:val="NormalHanging12a"/>
        <w:widowControl/>
      </w:pPr>
      <w:r w:rsidRPr="00FE4BC8">
        <w:t>1.</w:t>
      </w:r>
      <w:r w:rsidRPr="00FE4BC8">
        <w:tab/>
        <w:t>Europaparlamentet delar kommissionens åsikt att villkoren i artikel 4.2 c i EGF</w:t>
      </w:r>
      <w:r w:rsidRPr="00FE4BC8">
        <w:noBreakHyphen/>
        <w:t>förordningen är uppfyllda och att Belgien är berättigat till ett ekonomiskt stöd på 704 135 EUR enligt denna förordning, vilket utgör 60 % av de totala kostnaderna på 1 173 559 EUR, inbegripet utgifter för individanpassade tjänster på 1 126 559 EUR och utgifter för förberedande åtgärder samt för förvaltning, information och marknadsföring, kontroll och rapportering på 47 000 EUR.</w:t>
      </w:r>
    </w:p>
    <w:p w14:paraId="3F735158" w14:textId="77777777" w:rsidR="000C2DA9" w:rsidRPr="00FE4BC8" w:rsidRDefault="000C2DA9" w:rsidP="000C2DA9">
      <w:pPr>
        <w:pStyle w:val="NormalHanging12a"/>
        <w:widowControl/>
      </w:pPr>
      <w:r w:rsidRPr="00FE4BC8">
        <w:t>2.</w:t>
      </w:r>
      <w:r w:rsidRPr="00FE4BC8">
        <w:tab/>
        <w:t xml:space="preserve">Europaparlamentet noterar att de belgiska myndigheterna lämnade in ansökan den 19 juli 2024 och att kommissionen, utifrån den ytterligare information som Belgien lämnade, slutförde sin bedömning den 5 november 2024 och underrättade parlamentet samma dag. </w:t>
      </w:r>
    </w:p>
    <w:p w14:paraId="46047BC1" w14:textId="77777777" w:rsidR="000C2DA9" w:rsidRPr="00FE4BC8" w:rsidRDefault="000C2DA9" w:rsidP="000C2DA9">
      <w:pPr>
        <w:pStyle w:val="NormalHanging12a"/>
        <w:widowControl/>
      </w:pPr>
      <w:r w:rsidRPr="00FE4BC8">
        <w:t>3.</w:t>
      </w:r>
      <w:r w:rsidRPr="00FE4BC8">
        <w:tab/>
        <w:t>Europaparlamentet konstaterar att ansökan gäller 567 arbetstagare som sagts upp vid företaget Sappi Lanaken och 114 arbetstagare</w:t>
      </w:r>
      <w:r w:rsidR="002C070A" w:rsidRPr="00FE4BC8">
        <w:t xml:space="preserve"> som sagts upp</w:t>
      </w:r>
      <w:r w:rsidRPr="00FE4BC8">
        <w:t xml:space="preserve"> vid företaget Purmo Group Belgium. Parlamentet noterar vidare att totalt 632 arbetstagare kommer att vara berörda stödmottagare, nästan uteslutande män.</w:t>
      </w:r>
    </w:p>
    <w:p w14:paraId="350C6C56" w14:textId="77777777" w:rsidR="000C2DA9" w:rsidRPr="00FE4BC8" w:rsidRDefault="000C2DA9" w:rsidP="000C2DA9">
      <w:pPr>
        <w:pStyle w:val="NormalHanging12a"/>
        <w:widowControl/>
      </w:pPr>
      <w:r w:rsidRPr="00FE4BC8">
        <w:t>4.</w:t>
      </w:r>
      <w:r w:rsidRPr="00FE4BC8">
        <w:tab/>
        <w:t>Europaparlamentet understryker att Lanakens och Zonhovens arbetsmarknader är missgynnade jämfört med Limburg som helhet eller Flandern, eftersom förhållandet mellan den förvärvsarbetande befolkningen och de tillgängliga arbetstillfällena är betydligt lägre än i Limburg som helhet eller i Flandern. Parlamentet uppmärksammar att antalet tillgängliga arbetstillfällen inom industrin i Limburg minskade med 15 % 2023.</w:t>
      </w:r>
    </w:p>
    <w:p w14:paraId="38A4F530" w14:textId="77777777" w:rsidR="000C2DA9" w:rsidRPr="00FE4BC8" w:rsidRDefault="000C2DA9" w:rsidP="000C2DA9">
      <w:pPr>
        <w:pStyle w:val="NormalHanging12a"/>
        <w:widowControl/>
      </w:pPr>
      <w:r w:rsidRPr="00FE4BC8">
        <w:t>5.</w:t>
      </w:r>
      <w:r w:rsidRPr="00FE4BC8">
        <w:tab/>
        <w:t xml:space="preserve">Europaparlamentet påpekar att en tredjedel av de uppsagda arbetstagarna är 55 år eller äldre och 30 % har låg utbildning, vilket innebär att de kommer att möta allvarliga hinder på arbetsmarknaden. Parlamentet betonar, med hänsyn till den nedåtgående trenden vad gäller lediga tjänster och dessa tjänsters geografiska fördelning, att arbetstagarna kommer att behöva ytterligare skräddarsytt stöd för att hitta nya jobb. </w:t>
      </w:r>
    </w:p>
    <w:p w14:paraId="2B5EF307" w14:textId="77777777" w:rsidR="000C2DA9" w:rsidRPr="00FE4BC8" w:rsidRDefault="000C2DA9" w:rsidP="000C2DA9">
      <w:pPr>
        <w:pStyle w:val="NormalHanging12a"/>
        <w:widowControl/>
      </w:pPr>
      <w:r w:rsidRPr="00FE4BC8">
        <w:t>6.</w:t>
      </w:r>
      <w:r w:rsidRPr="00FE4BC8">
        <w:tab/>
        <w:t>Europaparlamentet påminner om att de belgiska myndigheterna ska framhålla att finansieringen kommer från unionen och säkerställa unionsfinansieringens synlighet samt betona insatsens mervärde för unionen, genom att tillhandahålla enhetlig, ändamålsenlig och riktad information till olika målgrupper, däribland bidragsmottagare, lokala och regionala myndigheter, arbetsmarknadens parter, medier och allmänheten.</w:t>
      </w:r>
    </w:p>
    <w:p w14:paraId="749E1D0B" w14:textId="77777777" w:rsidR="000C2DA9" w:rsidRPr="00FE4BC8" w:rsidRDefault="000C2DA9" w:rsidP="000C2DA9">
      <w:pPr>
        <w:pStyle w:val="NormalHanging12a"/>
        <w:widowControl/>
      </w:pPr>
      <w:r w:rsidRPr="00FE4BC8">
        <w:t>7.</w:t>
      </w:r>
      <w:r w:rsidRPr="00FE4BC8">
        <w:tab/>
        <w:t>Europaparlamentet anser att det är unionens och medlemsstaternas sociala ansvar att ge de uppsagda arbetstagarna en möjlighet att förvärva de kvalifikationer som krävs för en framtida anställning, med tanke på att den digitala och den gröna omställningen har en betydande inverkan på deras sektorer och samtidigt leder till minskad efterfrågan. Parlamentet välkomnar att det samordnade paketet av individanpassade tjänster togs fram av Belgien i samråd med företrädare för de berörda stödmottagarna, deras företrädare och arbetsmarknadens parter.</w:t>
      </w:r>
    </w:p>
    <w:p w14:paraId="70CD3677" w14:textId="77777777" w:rsidR="000C2DA9" w:rsidRPr="00FE4BC8" w:rsidRDefault="000C2DA9" w:rsidP="000C2DA9">
      <w:pPr>
        <w:pStyle w:val="NormalHanging12a"/>
        <w:widowControl/>
      </w:pPr>
      <w:r w:rsidRPr="00FE4BC8">
        <w:t>8.</w:t>
      </w:r>
      <w:r w:rsidRPr="00FE4BC8">
        <w:tab/>
        <w:t>Europaparlamentet betonar att det stöd som tillhandahålls genom EGF måste ingå i en vidare strategi för de berörda arbetstagarna och regionen, på alla politiska nivåer, bland annat genom stöd från unionens relevanta finansieringsinstrument, i syfte att säkerställa att ingen hamnar på efterkälken i den digitala omställningen och klimatomställningen.</w:t>
      </w:r>
    </w:p>
    <w:p w14:paraId="0BAF5CA8" w14:textId="77777777" w:rsidR="000C2DA9" w:rsidRPr="00FE4BC8" w:rsidRDefault="000C2DA9" w:rsidP="000C2DA9">
      <w:pPr>
        <w:pStyle w:val="NormalHanging12a"/>
        <w:widowControl/>
      </w:pPr>
      <w:r w:rsidRPr="00FE4BC8">
        <w:t>9.</w:t>
      </w:r>
      <w:r w:rsidRPr="00FE4BC8">
        <w:tab/>
        <w:t>Europaparlamentet påminner om att de individanpassade tjänster som kommer att erbjudas arbetstagare består av följande åtgärder: rådgivare för sociala insatser, vägledning och yrkesorientering, aktivt stöd vid arbetssökande, utbildning, omskolning och yrkesutbildning, inbegripet utbildning i digitala färdigheter, samt utbildning på arbetsplatsen.</w:t>
      </w:r>
    </w:p>
    <w:p w14:paraId="61826262" w14:textId="77777777" w:rsidR="000C2DA9" w:rsidRPr="00FE4BC8" w:rsidRDefault="000C2DA9" w:rsidP="000C2DA9">
      <w:pPr>
        <w:pStyle w:val="NormalHanging12a"/>
        <w:widowControl/>
      </w:pPr>
      <w:r w:rsidRPr="00FE4BC8">
        <w:t>10.</w:t>
      </w:r>
      <w:r w:rsidRPr="00FE4BC8">
        <w:tab/>
        <w:t>Europarlamentet noterar att Belgien började tillhandahålla individanpassade tjänster till de berörda stödmottagarna den 26 december 2023 och att perioden för berättigande till ekonomiskt bidrag från EGF därför kommer att löpa från och med detta datum till och med 24 månader efter den dag då finansieringsbeslutet träder i kraft.</w:t>
      </w:r>
    </w:p>
    <w:p w14:paraId="62054322" w14:textId="77777777" w:rsidR="000C2DA9" w:rsidRPr="00FE4BC8" w:rsidRDefault="000C2DA9" w:rsidP="000C2DA9">
      <w:pPr>
        <w:pStyle w:val="NormalHanging12a"/>
        <w:widowControl/>
        <w:rPr>
          <w:sz w:val="23"/>
          <w:szCs w:val="23"/>
        </w:rPr>
      </w:pPr>
      <w:r w:rsidRPr="00FE4BC8">
        <w:t>11.</w:t>
      </w:r>
      <w:r w:rsidRPr="00FE4BC8">
        <w:tab/>
        <w:t>Europaparlamentet noterar att Belgien började ådra sig administrativa kostnader för att genomföra EGF den 20 november 2023, och att dessa utgifter därför ska berättiga till ekonomiskt bidrag från EGF från och med detta datum till och med 31 månader efter den dag då beslutet om det ekonomiska bidraget träder i kraft.</w:t>
      </w:r>
    </w:p>
    <w:p w14:paraId="7EED6104" w14:textId="77777777" w:rsidR="000C2DA9" w:rsidRPr="00FE4BC8" w:rsidRDefault="000C2DA9" w:rsidP="000C2DA9">
      <w:pPr>
        <w:pStyle w:val="NormalHanging12a"/>
        <w:widowControl/>
      </w:pPr>
      <w:r w:rsidRPr="00FE4BC8">
        <w:t>12.</w:t>
      </w:r>
      <w:r w:rsidRPr="00FE4BC8">
        <w:tab/>
        <w:t>Europaparlamentet betonar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73AFC558" w14:textId="5EA16263" w:rsidR="000C2DA9" w:rsidRPr="00FE4BC8" w:rsidRDefault="000C2DA9" w:rsidP="000C2DA9">
      <w:pPr>
        <w:pStyle w:val="NormalHanging12a"/>
        <w:widowControl/>
      </w:pPr>
      <w:r w:rsidRPr="00FE4BC8">
        <w:t>13.</w:t>
      </w:r>
      <w:r w:rsidRPr="00FE4BC8">
        <w:tab/>
        <w:t xml:space="preserve">Europaparlamentet påminner om att bidrag från EGF inte får ersätta åtgärder som åligger företagen enligt nationell rätt eller kollektivavtal och inte heller ersättningar till de uppsagda arbetstagarna eller deras rättigheter, för att till fullo säkerställa bidragets additionalitet. Parlamentet påminner om att de medlemsstater som ansöker om finansiellt stöd från EGF måste se till att kraven i nationell </w:t>
      </w:r>
      <w:r w:rsidR="00E53847" w:rsidRPr="00FE4BC8">
        <w:t xml:space="preserve">rätt </w:t>
      </w:r>
      <w:r w:rsidRPr="00FE4BC8">
        <w:t>och unions</w:t>
      </w:r>
      <w:r w:rsidR="00E53847" w:rsidRPr="00FE4BC8">
        <w:t>rätten</w:t>
      </w:r>
      <w:r w:rsidRPr="00FE4BC8">
        <w:t xml:space="preserve"> om kollektiva uppsägningar är uppfyllda och att det berörda företaget har vidtagit vederbörliga åtgärder avseende sina arbetstagare.</w:t>
      </w:r>
    </w:p>
    <w:p w14:paraId="3932BA94" w14:textId="77777777" w:rsidR="000C2DA9" w:rsidRPr="00FE4BC8" w:rsidRDefault="000C2DA9" w:rsidP="000C2DA9">
      <w:pPr>
        <w:pStyle w:val="NormalHanging12a"/>
        <w:widowControl/>
      </w:pPr>
      <w:r w:rsidRPr="00FE4BC8">
        <w:t>14.</w:t>
      </w:r>
      <w:r w:rsidRPr="00FE4BC8">
        <w:tab/>
        <w:t>Europaparlamentet uppmanar de belgiska myndigheterna och andra medlemsstater att vidta förebyggande åtgärder på ett proaktivt sätt för att anpassa industrin till globaliseringen och till tekniska och miljömässiga förändringar samt för att skydda arbetstagarna från att förlora sina arbetstillfällen och från andra negativa effekter av globaliseringen.</w:t>
      </w:r>
    </w:p>
    <w:p w14:paraId="6A2C921C" w14:textId="77777777" w:rsidR="000C2DA9" w:rsidRPr="00FE4BC8" w:rsidRDefault="000C2DA9" w:rsidP="000C2DA9">
      <w:pPr>
        <w:pStyle w:val="NormalHanging12a"/>
        <w:widowControl/>
      </w:pPr>
      <w:r w:rsidRPr="00FE4BC8">
        <w:t>15.</w:t>
      </w:r>
      <w:r w:rsidRPr="00FE4BC8">
        <w:tab/>
        <w:t>Europaparlamentet godkänner det bifogade beslutet.</w:t>
      </w:r>
    </w:p>
    <w:p w14:paraId="4AEE2DEA" w14:textId="77777777" w:rsidR="000C2DA9" w:rsidRPr="00FE4BC8" w:rsidRDefault="000C2DA9" w:rsidP="000C2DA9">
      <w:pPr>
        <w:pStyle w:val="NormalHanging12a"/>
        <w:widowControl/>
      </w:pPr>
      <w:r w:rsidRPr="00FE4BC8">
        <w:t>16.</w:t>
      </w:r>
      <w:r w:rsidRPr="00FE4BC8">
        <w:tab/>
        <w:t xml:space="preserve">Europaparlamentet uppdrar åt talmannen att tillsammans med rådets ordförande underteckna beslutet och se till att det offentliggörs i </w:t>
      </w:r>
      <w:r w:rsidRPr="00FE4BC8">
        <w:rPr>
          <w:i/>
          <w:iCs/>
        </w:rPr>
        <w:t>Europeiska unionens officiella tidning</w:t>
      </w:r>
      <w:r w:rsidRPr="00FE4BC8">
        <w:t>.</w:t>
      </w:r>
    </w:p>
    <w:p w14:paraId="2E643982" w14:textId="77777777" w:rsidR="000C2DA9" w:rsidRPr="00FE4BC8" w:rsidRDefault="000C2DA9" w:rsidP="000C2DA9">
      <w:pPr>
        <w:pStyle w:val="NormalHanging12a"/>
        <w:widowControl/>
      </w:pPr>
      <w:r w:rsidRPr="00FE4BC8">
        <w:t>17.</w:t>
      </w:r>
      <w:r w:rsidRPr="00FE4BC8">
        <w:tab/>
        <w:t>Europaparlamentet uppdrar åt talmannen att översända denna resolution med bilaga till rådet och kommissionen.</w:t>
      </w:r>
    </w:p>
    <w:p w14:paraId="55FEFF5A" w14:textId="77777777" w:rsidR="000C2DA9" w:rsidRPr="00FE4BC8" w:rsidRDefault="000C2DA9" w:rsidP="000C2DA9">
      <w:pPr>
        <w:widowControl/>
        <w:rPr>
          <w:rFonts w:eastAsia="Calibri"/>
          <w:szCs w:val="24"/>
        </w:rPr>
      </w:pPr>
      <w:r w:rsidRPr="00FE4BC8">
        <w:br w:type="page"/>
      </w:r>
    </w:p>
    <w:p w14:paraId="3296F258" w14:textId="70485079" w:rsidR="003B7EF3" w:rsidRPr="003230A9" w:rsidRDefault="000C2DA9" w:rsidP="003230A9">
      <w:pPr>
        <w:pStyle w:val="PageHeading"/>
        <w:widowControl/>
        <w:rPr>
          <w:rFonts w:ascii="Times New Roman" w:hAnsi="Times New Roman" w:cs="Times New Roman"/>
        </w:rPr>
      </w:pPr>
      <w:bookmarkStart w:id="7" w:name="_Toc183175843"/>
      <w:bookmarkStart w:id="8" w:name="_Toc183441519"/>
      <w:r w:rsidRPr="003230A9">
        <w:rPr>
          <w:rFonts w:ascii="Times New Roman" w:hAnsi="Times New Roman" w:cs="Times New Roman"/>
        </w:rPr>
        <w:t>BILAGA</w:t>
      </w:r>
    </w:p>
    <w:p w14:paraId="63DBDADB" w14:textId="1C691173" w:rsidR="000C2DA9" w:rsidRPr="003230A9" w:rsidRDefault="000C2DA9" w:rsidP="003230A9">
      <w:pPr>
        <w:pStyle w:val="PageHeading"/>
        <w:widowControl/>
        <w:rPr>
          <w:rFonts w:ascii="Times New Roman" w:hAnsi="Times New Roman" w:cs="Times New Roman"/>
          <w:noProof/>
        </w:rPr>
      </w:pPr>
      <w:r w:rsidRPr="003230A9">
        <w:rPr>
          <w:rFonts w:ascii="Times New Roman" w:hAnsi="Times New Roman" w:cs="Times New Roman"/>
        </w:rPr>
        <w:t>EUROPAPARLAMENTETS OCH RÅDETS BESLUT</w:t>
      </w:r>
      <w:bookmarkEnd w:id="7"/>
      <w:bookmarkEnd w:id="8"/>
    </w:p>
    <w:p w14:paraId="0467E8F1" w14:textId="77777777" w:rsidR="000C2DA9" w:rsidRPr="003230A9" w:rsidRDefault="000C2DA9" w:rsidP="003230A9">
      <w:pPr>
        <w:widowControl/>
        <w:jc w:val="center"/>
        <w:rPr>
          <w:b/>
          <w:bCs/>
          <w:noProof/>
        </w:rPr>
      </w:pPr>
      <w:r w:rsidRPr="003230A9">
        <w:rPr>
          <w:b/>
        </w:rPr>
        <w:t>om utnyttjande av Europeiska fonden för justering för globaliseringseffekter för uppsagda arbetstagare efter en ansökan från Belgien (EGF/2024/002 BE/Limburg machinery and paper)</w:t>
      </w:r>
    </w:p>
    <w:p w14:paraId="1C6E1369" w14:textId="77777777" w:rsidR="003230A9" w:rsidRPr="003230A9" w:rsidRDefault="003230A9" w:rsidP="00AF4201">
      <w:pPr>
        <w:rPr>
          <w:i/>
        </w:rPr>
      </w:pPr>
    </w:p>
    <w:p w14:paraId="5F430E44" w14:textId="68DAE1E3" w:rsidR="00E365E1" w:rsidRPr="003230A9" w:rsidRDefault="003230A9" w:rsidP="00AF4201">
      <w:pPr>
        <w:rPr>
          <w:i/>
        </w:rPr>
      </w:pPr>
      <w:r w:rsidRPr="003230A9">
        <w:rPr>
          <w:i/>
        </w:rPr>
        <w:t>(Texten till denna bilaga återges inte här eftersom den motsvaras av den slutliga rättsakten, beslut (EU)</w:t>
      </w:r>
      <w:r>
        <w:rPr>
          <w:i/>
        </w:rPr>
        <w:t xml:space="preserve"> 2025/47.)</w:t>
      </w:r>
      <w:bookmarkStart w:id="9" w:name="_GoBack"/>
      <w:bookmarkEnd w:id="9"/>
    </w:p>
    <w:sectPr w:rsidR="00E365E1" w:rsidRPr="003230A9" w:rsidSect="00AE20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04B99" w14:textId="77777777" w:rsidR="00AF4201" w:rsidRPr="00AE204A" w:rsidRDefault="00AF4201">
      <w:r w:rsidRPr="00AE204A">
        <w:separator/>
      </w:r>
    </w:p>
  </w:endnote>
  <w:endnote w:type="continuationSeparator" w:id="0">
    <w:p w14:paraId="6DC27770" w14:textId="77777777" w:rsidR="00AF4201" w:rsidRPr="00AE204A" w:rsidRDefault="00AF4201">
      <w:r w:rsidRPr="00AE20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4AB6" w14:textId="77777777" w:rsidR="00064002" w:rsidRPr="00AE20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CA02F" w14:textId="77777777" w:rsidR="00064002" w:rsidRPr="00AE20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1D00" w14:textId="77777777" w:rsidR="00064002" w:rsidRPr="00AE20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2F636" w14:textId="77777777" w:rsidR="00AF4201" w:rsidRPr="00AE204A" w:rsidRDefault="00AF4201">
      <w:r w:rsidRPr="00AE204A">
        <w:separator/>
      </w:r>
    </w:p>
  </w:footnote>
  <w:footnote w:type="continuationSeparator" w:id="0">
    <w:p w14:paraId="02C33AC2" w14:textId="77777777" w:rsidR="00AF4201" w:rsidRPr="00AE204A" w:rsidRDefault="00AF4201">
      <w:r w:rsidRPr="00AE204A">
        <w:continuationSeparator/>
      </w:r>
    </w:p>
  </w:footnote>
  <w:footnote w:id="1">
    <w:p w14:paraId="0575B2F5" w14:textId="45CA2DC1" w:rsidR="000C2DA9" w:rsidRPr="00FE4BC8" w:rsidRDefault="000C2DA9" w:rsidP="00AE204A">
      <w:pPr>
        <w:pStyle w:val="FootnoteText"/>
        <w:ind w:left="567" w:hanging="567"/>
        <w:rPr>
          <w:sz w:val="24"/>
          <w:szCs w:val="24"/>
          <w:lang w:val="fi-FI"/>
        </w:rPr>
      </w:pPr>
      <w:r w:rsidRPr="00D2097A">
        <w:rPr>
          <w:rStyle w:val="FootnoteReference"/>
          <w:sz w:val="24"/>
          <w:szCs w:val="24"/>
          <w:lang w:val="sv-SE"/>
        </w:rPr>
        <w:footnoteRef/>
      </w:r>
      <w:r w:rsidR="00AE204A" w:rsidRPr="00FE4BC8">
        <w:rPr>
          <w:sz w:val="24"/>
          <w:szCs w:val="24"/>
          <w:lang w:val="fi-FI"/>
        </w:rPr>
        <w:t xml:space="preserve"> </w:t>
      </w:r>
      <w:r w:rsidR="00AE204A" w:rsidRPr="00FE4BC8">
        <w:rPr>
          <w:sz w:val="24"/>
          <w:szCs w:val="24"/>
          <w:lang w:val="fi-FI"/>
        </w:rPr>
        <w:tab/>
      </w:r>
      <w:r w:rsidRPr="00FE4BC8">
        <w:rPr>
          <w:sz w:val="24"/>
          <w:szCs w:val="24"/>
          <w:lang w:val="fi-FI"/>
        </w:rPr>
        <w:t xml:space="preserve">EUT L 153, 3.5.2021, s. 48, </w:t>
      </w:r>
      <w:r w:rsidR="00D2097A" w:rsidRPr="00FE4BC8">
        <w:rPr>
          <w:sz w:val="24"/>
          <w:szCs w:val="24"/>
          <w:lang w:val="fi-FI"/>
        </w:rPr>
        <w:t xml:space="preserve">ELI: </w:t>
      </w:r>
      <w:hyperlink r:id="rId1" w:history="1">
        <w:r w:rsidRPr="00FE4BC8">
          <w:rPr>
            <w:rStyle w:val="Hyperlink"/>
            <w:sz w:val="24"/>
            <w:szCs w:val="24"/>
            <w:lang w:val="fi-FI"/>
          </w:rPr>
          <w:t>http://data.europa.eu/eli/reg/2021/691/oj</w:t>
        </w:r>
      </w:hyperlink>
      <w:r w:rsidRPr="00FE4BC8">
        <w:rPr>
          <w:sz w:val="24"/>
          <w:szCs w:val="24"/>
          <w:lang w:val="fi-FI"/>
        </w:rPr>
        <w:t>.</w:t>
      </w:r>
    </w:p>
  </w:footnote>
  <w:footnote w:id="2">
    <w:p w14:paraId="0F5F03D9" w14:textId="77777777" w:rsidR="000C2DA9" w:rsidRPr="00FE4BC8" w:rsidRDefault="000C2DA9" w:rsidP="00AE204A">
      <w:pPr>
        <w:pStyle w:val="FootnoteText"/>
        <w:ind w:left="567" w:hanging="567"/>
        <w:rPr>
          <w:sz w:val="24"/>
          <w:szCs w:val="24"/>
          <w:lang w:val="fi-FI"/>
        </w:rPr>
      </w:pPr>
      <w:r w:rsidRPr="00D2097A">
        <w:rPr>
          <w:rStyle w:val="FootnoteReference"/>
          <w:sz w:val="24"/>
          <w:szCs w:val="24"/>
          <w:lang w:val="sv-SE"/>
        </w:rPr>
        <w:footnoteRef/>
      </w:r>
      <w:r w:rsidR="00AE204A" w:rsidRPr="00FE4BC8">
        <w:rPr>
          <w:sz w:val="24"/>
          <w:szCs w:val="24"/>
          <w:lang w:val="fi-FI"/>
        </w:rPr>
        <w:t xml:space="preserve"> </w:t>
      </w:r>
      <w:r w:rsidR="00AE204A" w:rsidRPr="00FE4BC8">
        <w:rPr>
          <w:sz w:val="24"/>
          <w:szCs w:val="24"/>
          <w:lang w:val="fi-FI"/>
        </w:rPr>
        <w:tab/>
      </w:r>
      <w:r w:rsidRPr="00FE4BC8">
        <w:rPr>
          <w:sz w:val="24"/>
          <w:szCs w:val="24"/>
          <w:lang w:val="fi-FI"/>
        </w:rPr>
        <w:t xml:space="preserve">EUT L 433 I, 22.12.2020, s. 11, ELI: </w:t>
      </w:r>
      <w:hyperlink r:id="rId2" w:history="1">
        <w:r w:rsidRPr="00FE4BC8">
          <w:rPr>
            <w:rStyle w:val="Hyperlink"/>
            <w:sz w:val="24"/>
            <w:szCs w:val="24"/>
            <w:lang w:val="fi-FI"/>
          </w:rPr>
          <w:t>http://data.europa.eu/eli/reg/2020/2093/oj</w:t>
        </w:r>
      </w:hyperlink>
      <w:r w:rsidRPr="00FE4BC8">
        <w:rPr>
          <w:sz w:val="24"/>
          <w:szCs w:val="24"/>
          <w:lang w:val="fi-FI"/>
        </w:rPr>
        <w:t>.</w:t>
      </w:r>
    </w:p>
  </w:footnote>
  <w:footnote w:id="3">
    <w:p w14:paraId="4B236111" w14:textId="77777777" w:rsidR="000C2DA9" w:rsidRPr="00D2097A" w:rsidRDefault="000C2DA9" w:rsidP="00AE204A">
      <w:pPr>
        <w:pStyle w:val="FootnoteText"/>
        <w:ind w:left="567" w:hanging="567"/>
        <w:rPr>
          <w:sz w:val="24"/>
          <w:szCs w:val="24"/>
          <w:lang w:val="sv-SE"/>
        </w:rPr>
      </w:pPr>
      <w:r w:rsidRPr="00D2097A">
        <w:rPr>
          <w:rStyle w:val="FootnoteReference"/>
          <w:sz w:val="24"/>
          <w:szCs w:val="24"/>
          <w:lang w:val="sv-SE"/>
        </w:rPr>
        <w:footnoteRef/>
      </w:r>
      <w:r w:rsidR="00AE204A" w:rsidRPr="00D2097A">
        <w:rPr>
          <w:sz w:val="24"/>
          <w:szCs w:val="24"/>
          <w:lang w:val="sv-SE"/>
        </w:rPr>
        <w:t xml:space="preserve"> </w:t>
      </w:r>
      <w:r w:rsidR="00AE204A" w:rsidRPr="00D2097A">
        <w:rPr>
          <w:sz w:val="24"/>
          <w:szCs w:val="24"/>
          <w:lang w:val="sv-SE"/>
        </w:rPr>
        <w:tab/>
      </w:r>
      <w:r w:rsidRPr="00D2097A">
        <w:rPr>
          <w:sz w:val="24"/>
          <w:szCs w:val="24"/>
          <w:lang w:val="sv-SE"/>
        </w:rPr>
        <w:t xml:space="preserve">Rådets förordning (EU, Euratom) </w:t>
      </w:r>
      <w:r w:rsidRPr="00EE4863">
        <w:rPr>
          <w:sz w:val="24"/>
          <w:szCs w:val="24"/>
          <w:lang w:val="sv-SE"/>
        </w:rPr>
        <w:t>2024/765 av den 29 februari 2024 om ändring av förordning (EU, Euratom) 2020/2093 om den fleråriga budgetramen 2021–2027 (EUT L, 2024/765, 29.2.2024, ELI:</w:t>
      </w:r>
      <w:r w:rsidRPr="00EE4863">
        <w:rPr>
          <w:rStyle w:val="Emphasis"/>
          <w:color w:val="333333"/>
          <w:sz w:val="24"/>
          <w:szCs w:val="24"/>
          <w:shd w:val="clear" w:color="auto" w:fill="FFFFFF"/>
          <w:lang w:val="sv-SE"/>
        </w:rPr>
        <w:t xml:space="preserve"> </w:t>
      </w:r>
      <w:hyperlink r:id="rId3" w:history="1">
        <w:r w:rsidRPr="00FE4BC8">
          <w:rPr>
            <w:rStyle w:val="Hyperlink"/>
            <w:szCs w:val="24"/>
            <w:lang w:val="sv-SE"/>
          </w:rPr>
          <w:t>http://data.europa.eu/eli/reg/2024/765/oj</w:t>
        </w:r>
      </w:hyperlink>
      <w:r w:rsidRPr="00D2097A">
        <w:rPr>
          <w:rStyle w:val="Emphasis"/>
          <w:color w:val="333333"/>
          <w:sz w:val="24"/>
          <w:szCs w:val="24"/>
          <w:shd w:val="clear" w:color="auto" w:fill="FFFFFF"/>
          <w:lang w:val="sv-SE"/>
        </w:rPr>
        <w:t>).</w:t>
      </w:r>
    </w:p>
  </w:footnote>
  <w:footnote w:id="4">
    <w:p w14:paraId="274F9CB9" w14:textId="77777777" w:rsidR="000C2DA9" w:rsidRPr="00FE4BC8" w:rsidRDefault="000C2DA9" w:rsidP="00AE204A">
      <w:pPr>
        <w:pStyle w:val="FootnoteText"/>
        <w:ind w:left="567" w:hanging="567"/>
        <w:rPr>
          <w:sz w:val="24"/>
          <w:szCs w:val="24"/>
          <w:lang w:val="fi-FI"/>
        </w:rPr>
      </w:pPr>
      <w:r w:rsidRPr="00D2097A">
        <w:rPr>
          <w:rStyle w:val="FootnoteReference"/>
          <w:sz w:val="24"/>
          <w:szCs w:val="24"/>
          <w:lang w:val="sv-SE"/>
        </w:rPr>
        <w:footnoteRef/>
      </w:r>
      <w:r w:rsidR="00AE204A" w:rsidRPr="00FE4BC8">
        <w:rPr>
          <w:sz w:val="24"/>
          <w:szCs w:val="24"/>
          <w:lang w:val="fi-FI"/>
        </w:rPr>
        <w:t xml:space="preserve"> </w:t>
      </w:r>
      <w:r w:rsidR="00AE204A" w:rsidRPr="00FE4BC8">
        <w:rPr>
          <w:sz w:val="24"/>
          <w:szCs w:val="24"/>
          <w:lang w:val="fi-FI"/>
        </w:rPr>
        <w:tab/>
      </w:r>
      <w:r w:rsidRPr="00FE4BC8">
        <w:rPr>
          <w:sz w:val="24"/>
          <w:szCs w:val="24"/>
          <w:lang w:val="fi-FI"/>
        </w:rPr>
        <w:t xml:space="preserve">EUT L 433 I, 22.12.2020, s. 28, ELI: </w:t>
      </w:r>
      <w:hyperlink r:id="rId4" w:history="1">
        <w:r w:rsidRPr="00FE4BC8">
          <w:rPr>
            <w:rStyle w:val="Hyperlink"/>
            <w:sz w:val="24"/>
            <w:szCs w:val="24"/>
            <w:lang w:val="fi-FI"/>
          </w:rPr>
          <w:t>http://data.europa.eu/eli/agree_interinstit/2020/1222/oj</w:t>
        </w:r>
      </w:hyperlink>
      <w:r w:rsidRPr="00FE4BC8">
        <w:rPr>
          <w:sz w:val="24"/>
          <w:szCs w:val="24"/>
          <w:lang w:val="fi-FI"/>
        </w:rPr>
        <w:t>.</w:t>
      </w:r>
    </w:p>
  </w:footnote>
  <w:footnote w:id="5">
    <w:p w14:paraId="343C2CFD" w14:textId="77777777" w:rsidR="000C2DA9" w:rsidRPr="00EE4863" w:rsidRDefault="000C2DA9" w:rsidP="00AE204A">
      <w:pPr>
        <w:pStyle w:val="FootnoteText"/>
        <w:ind w:left="567" w:hanging="567"/>
        <w:rPr>
          <w:sz w:val="24"/>
          <w:szCs w:val="24"/>
          <w:lang w:val="sv-SE"/>
        </w:rPr>
      </w:pPr>
      <w:r w:rsidRPr="00D2097A">
        <w:rPr>
          <w:rStyle w:val="FootnoteReference"/>
          <w:sz w:val="24"/>
          <w:szCs w:val="24"/>
          <w:lang w:val="sv-SE"/>
        </w:rPr>
        <w:footnoteRef/>
      </w:r>
      <w:r w:rsidR="00AE204A" w:rsidRPr="00D2097A">
        <w:rPr>
          <w:sz w:val="24"/>
          <w:szCs w:val="24"/>
          <w:lang w:val="sv-SE"/>
        </w:rPr>
        <w:t xml:space="preserve"> </w:t>
      </w:r>
      <w:r w:rsidR="00AE204A" w:rsidRPr="00D2097A">
        <w:rPr>
          <w:sz w:val="24"/>
          <w:szCs w:val="24"/>
          <w:lang w:val="sv-SE"/>
        </w:rPr>
        <w:tab/>
      </w:r>
      <w:r w:rsidRPr="00D2097A">
        <w:rPr>
          <w:sz w:val="24"/>
          <w:szCs w:val="24"/>
          <w:lang w:val="sv-SE"/>
        </w:rPr>
        <w:t>I den mening som avses i artikel 3 i EGF-förordningen.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E0E66" w14:textId="77777777" w:rsidR="00064002" w:rsidRPr="00AE20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7610F" w14:textId="77777777" w:rsidR="00064002" w:rsidRPr="00AE20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973D2" w14:textId="77777777" w:rsidR="00064002" w:rsidRPr="00AE20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SV"/>
    <w:docVar w:name="dvnumam" w:val="0"/>
    <w:docVar w:name="dvpe" w:val="765.241"/>
    <w:docVar w:name="dvrapporteur" w:val="Föredragande: "/>
    <w:docVar w:name="dvtitre" w:val="Europaparlamentets lagstiftningsresolution av den xx xx 2024 om förslaget till Europaparlamentets och rådets beslut om utnyttjande av Europeiska fonden för justering för globaliseringseffekter för uppsagda arbetstagare efter en ansökan från Belgien – EGF/2024/002 BE/Limburg machinery and paper(COM(2024)0370 – C10-0166/2024 – 2024/0286(BUD))"/>
  </w:docVars>
  <w:rsids>
    <w:rsidRoot w:val="00AF4201"/>
    <w:rsid w:val="00002272"/>
    <w:rsid w:val="00064002"/>
    <w:rsid w:val="000677B9"/>
    <w:rsid w:val="000831BA"/>
    <w:rsid w:val="000A42CC"/>
    <w:rsid w:val="000C2DA9"/>
    <w:rsid w:val="000E7DD9"/>
    <w:rsid w:val="0010095E"/>
    <w:rsid w:val="00125B37"/>
    <w:rsid w:val="00187494"/>
    <w:rsid w:val="001F32AE"/>
    <w:rsid w:val="00232642"/>
    <w:rsid w:val="002767FF"/>
    <w:rsid w:val="002B18FE"/>
    <w:rsid w:val="002B5493"/>
    <w:rsid w:val="002C070A"/>
    <w:rsid w:val="003230A9"/>
    <w:rsid w:val="00343214"/>
    <w:rsid w:val="00361C00"/>
    <w:rsid w:val="00395FA1"/>
    <w:rsid w:val="003B7EF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DD0"/>
    <w:rsid w:val="00981893"/>
    <w:rsid w:val="00A1687D"/>
    <w:rsid w:val="00A43E52"/>
    <w:rsid w:val="00A4678D"/>
    <w:rsid w:val="00A6639A"/>
    <w:rsid w:val="00A778C7"/>
    <w:rsid w:val="00AB441E"/>
    <w:rsid w:val="00AB6293"/>
    <w:rsid w:val="00AE0928"/>
    <w:rsid w:val="00AE204A"/>
    <w:rsid w:val="00AF3B82"/>
    <w:rsid w:val="00AF4201"/>
    <w:rsid w:val="00B12E95"/>
    <w:rsid w:val="00B22876"/>
    <w:rsid w:val="00B558F0"/>
    <w:rsid w:val="00BD48FE"/>
    <w:rsid w:val="00BD7BD8"/>
    <w:rsid w:val="00BE6ADC"/>
    <w:rsid w:val="00C05BFE"/>
    <w:rsid w:val="00C23CD4"/>
    <w:rsid w:val="00C61C0C"/>
    <w:rsid w:val="00C941CB"/>
    <w:rsid w:val="00CC2357"/>
    <w:rsid w:val="00CF071A"/>
    <w:rsid w:val="00D058B8"/>
    <w:rsid w:val="00D2097A"/>
    <w:rsid w:val="00D56C11"/>
    <w:rsid w:val="00D834A0"/>
    <w:rsid w:val="00D872DF"/>
    <w:rsid w:val="00D91E21"/>
    <w:rsid w:val="00DA7FCD"/>
    <w:rsid w:val="00E365E1"/>
    <w:rsid w:val="00E53847"/>
    <w:rsid w:val="00E820A4"/>
    <w:rsid w:val="00EB006A"/>
    <w:rsid w:val="00EB4772"/>
    <w:rsid w:val="00ED169E"/>
    <w:rsid w:val="00ED4235"/>
    <w:rsid w:val="00EE4863"/>
    <w:rsid w:val="00EE64F4"/>
    <w:rsid w:val="00F04346"/>
    <w:rsid w:val="00F075DC"/>
    <w:rsid w:val="00F149E9"/>
    <w:rsid w:val="00F5134D"/>
    <w:rsid w:val="00F74202"/>
    <w:rsid w:val="00F87713"/>
    <w:rsid w:val="00FB4360"/>
    <w:rsid w:val="00FD0C70"/>
    <w:rsid w:val="00FE4BC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A1667"/>
  <w15:chartTrackingRefBased/>
  <w15:docId w15:val="{173A2E08-287F-47DC-A70C-AFEC10CB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0C2DA9"/>
    <w:pPr>
      <w:keepNext/>
      <w:spacing w:after="480"/>
      <w:jc w:val="center"/>
    </w:pPr>
    <w:rPr>
      <w:rFonts w:ascii="Arial" w:hAnsi="Arial" w:cs="Arial"/>
      <w:b/>
    </w:rPr>
  </w:style>
  <w:style w:type="paragraph" w:customStyle="1" w:styleId="NormalBold">
    <w:name w:val="NormalBold"/>
    <w:basedOn w:val="Normal"/>
    <w:rsid w:val="000C2DA9"/>
    <w:rPr>
      <w:b/>
    </w:rPr>
  </w:style>
  <w:style w:type="paragraph" w:customStyle="1" w:styleId="NormalHanging12a">
    <w:name w:val="NormalHanging12a"/>
    <w:basedOn w:val="Normal"/>
    <w:link w:val="NormalHanging12aChar"/>
    <w:rsid w:val="000C2DA9"/>
    <w:pPr>
      <w:spacing w:after="240"/>
      <w:ind w:left="567" w:hanging="567"/>
    </w:pPr>
  </w:style>
  <w:style w:type="paragraph" w:customStyle="1" w:styleId="EPComma">
    <w:name w:val="EPComma"/>
    <w:basedOn w:val="Normal"/>
    <w:rsid w:val="000C2DA9"/>
    <w:pPr>
      <w:spacing w:before="480" w:after="240"/>
    </w:pPr>
  </w:style>
  <w:style w:type="character" w:styleId="Hyperlink">
    <w:name w:val="Hyperlink"/>
    <w:basedOn w:val="DefaultParagraphFont"/>
    <w:uiPriority w:val="99"/>
    <w:rsid w:val="000C2DA9"/>
    <w:rPr>
      <w:color w:val="0563C1" w:themeColor="hyperlink"/>
      <w:u w:val="single"/>
    </w:rPr>
  </w:style>
  <w:style w:type="character" w:customStyle="1" w:styleId="NormalHanging12aChar">
    <w:name w:val="NormalHanging12a Char"/>
    <w:basedOn w:val="DefaultParagraphFont"/>
    <w:link w:val="NormalHanging12a"/>
    <w:locked/>
    <w:rsid w:val="000C2DA9"/>
    <w:rPr>
      <w:sz w:val="24"/>
      <w:lang w:val="sv-SE"/>
    </w:rPr>
  </w:style>
  <w:style w:type="character" w:styleId="Emphasis">
    <w:name w:val="Emphasis"/>
    <w:basedOn w:val="DefaultParagraphFont"/>
    <w:uiPriority w:val="20"/>
    <w:qFormat/>
    <w:rsid w:val="000C2DA9"/>
    <w:rPr>
      <w:i/>
      <w:iCs/>
    </w:rPr>
  </w:style>
  <w:style w:type="paragraph" w:customStyle="1" w:styleId="Institutionquisigne">
    <w:name w:val="Institution qui signe"/>
    <w:basedOn w:val="Normal"/>
    <w:next w:val="Normal"/>
    <w:rsid w:val="000C2DA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C2DA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C2DA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C2DA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C2DA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C2DA9"/>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0C2DA9"/>
    <w:pPr>
      <w:widowControl/>
      <w:tabs>
        <w:tab w:val="left" w:pos="5669"/>
      </w:tabs>
      <w:spacing w:line="360" w:lineRule="auto"/>
    </w:pPr>
    <w:rPr>
      <w:rFonts w:eastAsiaTheme="minorHAnsi"/>
      <w:i/>
      <w:szCs w:val="22"/>
      <w:lang w:eastAsia="en-US"/>
    </w:rPr>
  </w:style>
  <w:style w:type="paragraph" w:customStyle="1" w:styleId="Lignefinal">
    <w:name w:val="Ligne final"/>
    <w:basedOn w:val="Normal"/>
    <w:next w:val="Normal"/>
    <w:rsid w:val="000C2DA9"/>
    <w:pPr>
      <w:widowControl/>
      <w:pBdr>
        <w:bottom w:val="single" w:sz="4" w:space="0" w:color="000000"/>
      </w:pBdr>
      <w:spacing w:before="360" w:after="120" w:line="360" w:lineRule="auto"/>
      <w:ind w:left="3400" w:right="3400"/>
      <w:jc w:val="center"/>
    </w:pPr>
    <w:rPr>
      <w:rFonts w:eastAsiaTheme="minorHAnsi"/>
      <w:b/>
      <w:szCs w:val="22"/>
      <w:lang w:eastAsia="en-US"/>
    </w:rPr>
  </w:style>
  <w:style w:type="character" w:customStyle="1" w:styleId="PageHeadingChar">
    <w:name w:val="PageHeading Char"/>
    <w:basedOn w:val="DefaultParagraphFont"/>
    <w:link w:val="PageHeading"/>
    <w:rsid w:val="000C2DA9"/>
    <w:rPr>
      <w:rFonts w:ascii="Arial" w:hAnsi="Arial" w:cs="Arial"/>
      <w:b/>
      <w:sz w:val="24"/>
      <w:lang w:val="sv-SE"/>
    </w:rPr>
  </w:style>
  <w:style w:type="paragraph" w:styleId="BalloonText">
    <w:name w:val="Balloon Text"/>
    <w:basedOn w:val="Normal"/>
    <w:link w:val="BalloonTextChar"/>
    <w:rsid w:val="003B7EF3"/>
    <w:rPr>
      <w:rFonts w:ascii="Segoe UI" w:hAnsi="Segoe UI" w:cs="Segoe UI"/>
      <w:sz w:val="18"/>
      <w:szCs w:val="18"/>
    </w:rPr>
  </w:style>
  <w:style w:type="character" w:customStyle="1" w:styleId="BalloonTextChar">
    <w:name w:val="Balloon Text Char"/>
    <w:basedOn w:val="DefaultParagraphFont"/>
    <w:link w:val="BalloonText"/>
    <w:rsid w:val="003B7EF3"/>
    <w:rPr>
      <w:rFonts w:ascii="Segoe UI" w:hAnsi="Segoe UI" w:cs="Segoe UI"/>
      <w:sz w:val="18"/>
      <w:szCs w:val="18"/>
      <w:lang w:val="sv-SE"/>
    </w:rPr>
  </w:style>
  <w:style w:type="character" w:styleId="CommentReference">
    <w:name w:val="annotation reference"/>
    <w:basedOn w:val="DefaultParagraphFont"/>
    <w:rsid w:val="002C070A"/>
    <w:rPr>
      <w:sz w:val="16"/>
      <w:szCs w:val="16"/>
    </w:rPr>
  </w:style>
  <w:style w:type="paragraph" w:styleId="CommentText">
    <w:name w:val="annotation text"/>
    <w:basedOn w:val="Normal"/>
    <w:link w:val="CommentTextChar"/>
    <w:rsid w:val="002C070A"/>
    <w:rPr>
      <w:sz w:val="20"/>
    </w:rPr>
  </w:style>
  <w:style w:type="character" w:customStyle="1" w:styleId="CommentTextChar">
    <w:name w:val="Comment Text Char"/>
    <w:basedOn w:val="DefaultParagraphFont"/>
    <w:link w:val="CommentText"/>
    <w:rsid w:val="002C070A"/>
    <w:rPr>
      <w:lang w:val="sv-SE"/>
    </w:rPr>
  </w:style>
  <w:style w:type="paragraph" w:styleId="CommentSubject">
    <w:name w:val="annotation subject"/>
    <w:basedOn w:val="CommentText"/>
    <w:next w:val="CommentText"/>
    <w:link w:val="CommentSubjectChar"/>
    <w:rsid w:val="002C070A"/>
    <w:rPr>
      <w:b/>
      <w:bCs/>
    </w:rPr>
  </w:style>
  <w:style w:type="character" w:customStyle="1" w:styleId="CommentSubjectChar">
    <w:name w:val="Comment Subject Char"/>
    <w:basedOn w:val="CommentTextChar"/>
    <w:link w:val="CommentSubject"/>
    <w:rsid w:val="002C070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D6BE1-91D2-48A2-BAB7-8A989AEE2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1618</Words>
  <Characters>10353</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2025-02-10T09:53:00Z</dcterms:created>
  <dcterms:modified xsi:type="dcterms:W3CDTF">2025-02-10T09:53:00Z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P10_TA(2024)0062_</vt:lpwstr>
  </property>
  <property fmtid="{D5CDD505-2E9C-101B-9397-08002B2CF9AE}" pid="4" name="&lt;Type&gt;">
    <vt:lpwstr>RR</vt:lpwstr>
  </property>
</Properties>
</file>