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01BB" w:rsidTr="0010095E">
        <w:trPr>
          <w:trHeight w:hRule="exact" w:val="1418"/>
        </w:trPr>
        <w:tc>
          <w:tcPr>
            <w:tcW w:w="6804" w:type="dxa"/>
            <w:shd w:val="clear" w:color="auto" w:fill="auto"/>
            <w:vAlign w:val="center"/>
          </w:tcPr>
          <w:p w:rsidR="00751A4A" w:rsidRPr="00CE01BB" w:rsidRDefault="00DB18AA" w:rsidP="0010095E">
            <w:pPr>
              <w:pStyle w:val="EPName"/>
            </w:pPr>
            <w:r w:rsidRPr="00CE01BB">
              <w:t>Европейски</w:t>
            </w:r>
            <w:r w:rsidR="00331FE7" w:rsidRPr="00CE01BB">
              <w:t xml:space="preserve"> парламент</w:t>
            </w:r>
          </w:p>
          <w:p w:rsidR="00751A4A" w:rsidRPr="00CE01BB" w:rsidRDefault="005F1B17" w:rsidP="005F1B17">
            <w:pPr>
              <w:pStyle w:val="EPTerm"/>
              <w:rPr>
                <w:rStyle w:val="HideTWBExt"/>
                <w:noProof w:val="0"/>
                <w:vanish w:val="0"/>
                <w:color w:val="auto"/>
              </w:rPr>
            </w:pPr>
            <w:r w:rsidRPr="00CE01BB">
              <w:t>2024</w:t>
            </w:r>
            <w:r w:rsidR="00DB18AA" w:rsidRPr="00CE01BB">
              <w:t> – </w:t>
            </w:r>
            <w:r w:rsidR="00817416" w:rsidRPr="00CE01BB">
              <w:t>202</w:t>
            </w:r>
            <w:r w:rsidRPr="00CE01BB">
              <w:t>9</w:t>
            </w:r>
          </w:p>
        </w:tc>
        <w:tc>
          <w:tcPr>
            <w:tcW w:w="2268" w:type="dxa"/>
            <w:shd w:val="clear" w:color="auto" w:fill="auto"/>
          </w:tcPr>
          <w:p w:rsidR="00751A4A" w:rsidRPr="00CE01BB" w:rsidRDefault="00187494" w:rsidP="0010095E">
            <w:pPr>
              <w:pStyle w:val="EPLogo"/>
            </w:pPr>
            <w:r w:rsidRPr="00CE01B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01BB" w:rsidRDefault="00D058B8" w:rsidP="004C5D52">
      <w:pPr>
        <w:pStyle w:val="LineTop"/>
      </w:pPr>
    </w:p>
    <w:p w:rsidR="00680577" w:rsidRPr="00CE01BB" w:rsidRDefault="00331FE7" w:rsidP="00680577">
      <w:pPr>
        <w:pStyle w:val="EPBodyTA1"/>
      </w:pPr>
      <w:r w:rsidRPr="00CE01BB">
        <w:t>ПРИЕТИ ТЕКСТОВЕ</w:t>
      </w:r>
    </w:p>
    <w:p w:rsidR="00D058B8" w:rsidRPr="00CE01BB" w:rsidRDefault="00D058B8" w:rsidP="00D058B8">
      <w:pPr>
        <w:pStyle w:val="LineBottom"/>
      </w:pPr>
    </w:p>
    <w:p w:rsidR="00331FE7" w:rsidRPr="00CE01BB" w:rsidRDefault="00331FE7" w:rsidP="00331FE7">
      <w:pPr>
        <w:pStyle w:val="ATHeading1"/>
      </w:pPr>
      <w:bookmarkStart w:id="0" w:name="TANumber"/>
      <w:r w:rsidRPr="00CE01BB">
        <w:t>P10_TA(2024)00</w:t>
      </w:r>
      <w:r w:rsidR="004A120D" w:rsidRPr="00CE01BB">
        <w:t>63</w:t>
      </w:r>
      <w:bookmarkEnd w:id="0"/>
    </w:p>
    <w:p w:rsidR="00331FE7" w:rsidRPr="00CE01BB" w:rsidRDefault="00331FE7" w:rsidP="00331FE7">
      <w:pPr>
        <w:pStyle w:val="ATHeading2"/>
      </w:pPr>
      <w:bookmarkStart w:id="1" w:name="title"/>
      <w:r w:rsidRPr="00CE01BB">
        <w:t>Дейност</w:t>
      </w:r>
      <w:r w:rsidR="00DB18AA" w:rsidRPr="00CE01BB">
        <w:t>и</w:t>
      </w:r>
      <w:r w:rsidRPr="00CE01BB">
        <w:t xml:space="preserve"> на Европейския омбудсман – годишен доклад за 2023 г.</w:t>
      </w:r>
      <w:bookmarkEnd w:id="1"/>
    </w:p>
    <w:p w:rsidR="00331FE7" w:rsidRPr="00CE01BB" w:rsidRDefault="00331FE7" w:rsidP="00331FE7">
      <w:pPr>
        <w:rPr>
          <w:i/>
          <w:vanish/>
        </w:rPr>
      </w:pPr>
      <w:r w:rsidRPr="00CE01BB">
        <w:rPr>
          <w:i/>
        </w:rPr>
        <w:fldChar w:fldCharType="begin"/>
      </w:r>
      <w:r w:rsidRPr="00CE01BB">
        <w:rPr>
          <w:i/>
        </w:rPr>
        <w:instrText xml:space="preserve"> TC"(</w:instrText>
      </w:r>
      <w:bookmarkStart w:id="2" w:name="DocNumber"/>
      <w:r w:rsidRPr="00CE01BB">
        <w:rPr>
          <w:i/>
        </w:rPr>
        <w:instrText>A10-0016/2024</w:instrText>
      </w:r>
      <w:bookmarkEnd w:id="2"/>
      <w:r w:rsidRPr="00CE01BB">
        <w:rPr>
          <w:i/>
        </w:rPr>
        <w:instrText xml:space="preserve"> - Докладчик: Алекс </w:instrText>
      </w:r>
      <w:proofErr w:type="spellStart"/>
      <w:r w:rsidRPr="00CE01BB">
        <w:rPr>
          <w:i/>
        </w:rPr>
        <w:instrText>Аджус</w:instrText>
      </w:r>
      <w:proofErr w:type="spellEnd"/>
      <w:r w:rsidRPr="00CE01BB">
        <w:rPr>
          <w:i/>
        </w:rPr>
        <w:instrText xml:space="preserve"> </w:instrText>
      </w:r>
      <w:proofErr w:type="spellStart"/>
      <w:r w:rsidRPr="00CE01BB">
        <w:rPr>
          <w:i/>
        </w:rPr>
        <w:instrText>Салиба</w:instrText>
      </w:r>
      <w:proofErr w:type="spellEnd"/>
      <w:r w:rsidRPr="00CE01BB">
        <w:rPr>
          <w:i/>
        </w:rPr>
        <w:instrText xml:space="preserve">)"\l3 \n&gt; \* MERGEFORMAT </w:instrText>
      </w:r>
      <w:r w:rsidRPr="00CE01BB">
        <w:rPr>
          <w:i/>
        </w:rPr>
        <w:fldChar w:fldCharType="end"/>
      </w:r>
    </w:p>
    <w:p w:rsidR="00331FE7" w:rsidRPr="00CE01BB" w:rsidRDefault="00331FE7" w:rsidP="00331FE7">
      <w:pPr>
        <w:rPr>
          <w:vanish/>
        </w:rPr>
      </w:pPr>
      <w:bookmarkStart w:id="3" w:name="Commission"/>
      <w:r w:rsidRPr="00CE01BB">
        <w:rPr>
          <w:vanish/>
        </w:rPr>
        <w:t>Комисия по петиции</w:t>
      </w:r>
      <w:bookmarkEnd w:id="3"/>
    </w:p>
    <w:p w:rsidR="00331FE7" w:rsidRPr="00CE01BB" w:rsidRDefault="00331FE7" w:rsidP="00331FE7">
      <w:pPr>
        <w:rPr>
          <w:vanish/>
        </w:rPr>
      </w:pPr>
      <w:bookmarkStart w:id="4" w:name="PE"/>
      <w:r w:rsidRPr="00CE01BB">
        <w:rPr>
          <w:vanish/>
        </w:rPr>
        <w:t>PE763.122</w:t>
      </w:r>
      <w:bookmarkEnd w:id="4"/>
    </w:p>
    <w:p w:rsidR="00331FE7" w:rsidRPr="00CE01BB" w:rsidRDefault="00331FE7" w:rsidP="00331FE7">
      <w:pPr>
        <w:pStyle w:val="ATHeading3"/>
      </w:pPr>
      <w:bookmarkStart w:id="5" w:name="Sujet"/>
      <w:r w:rsidRPr="00CE01BB">
        <w:t xml:space="preserve">Резолюция на Европейския парламент от </w:t>
      </w:r>
      <w:r w:rsidR="006D1EBA" w:rsidRPr="00CE01BB">
        <w:t>17</w:t>
      </w:r>
      <w:r w:rsidRPr="00CE01BB">
        <w:t xml:space="preserve"> </w:t>
      </w:r>
      <w:r w:rsidR="00DB18AA" w:rsidRPr="00CE01BB">
        <w:t xml:space="preserve">декември </w:t>
      </w:r>
      <w:r w:rsidRPr="00CE01BB">
        <w:t>2024 г. относно годишния доклад за дейностите на Европейския омбудсман през 2023 г.</w:t>
      </w:r>
      <w:bookmarkEnd w:id="5"/>
      <w:r w:rsidRPr="00CE01BB">
        <w:t xml:space="preserve"> </w:t>
      </w:r>
      <w:bookmarkStart w:id="6" w:name="References"/>
      <w:r w:rsidRPr="00CE01BB">
        <w:t>(2024/2056(INI))</w:t>
      </w:r>
      <w:bookmarkEnd w:id="6"/>
    </w:p>
    <w:p w:rsidR="0041274F" w:rsidRPr="00CE01BB" w:rsidRDefault="0041274F" w:rsidP="0041274F">
      <w:pPr>
        <w:pStyle w:val="EPComma"/>
      </w:pPr>
      <w:r w:rsidRPr="00CE01BB">
        <w:rPr>
          <w:i/>
          <w:iCs/>
        </w:rPr>
        <w:t>Европейският парламент</w:t>
      </w:r>
      <w:r w:rsidRPr="00CE01BB">
        <w:t>,</w:t>
      </w:r>
    </w:p>
    <w:p w:rsidR="0041274F" w:rsidRPr="00CE01BB" w:rsidRDefault="0041274F" w:rsidP="0041274F">
      <w:pPr>
        <w:pStyle w:val="NormalHanging12a"/>
      </w:pPr>
      <w:r w:rsidRPr="00CE01BB">
        <w:t>–</w:t>
      </w:r>
      <w:r w:rsidRPr="00CE01BB">
        <w:tab/>
        <w:t>като взе предвид годишния доклад за дейностите на Европейския омбудсман през 2023 г.,</w:t>
      </w:r>
    </w:p>
    <w:p w:rsidR="0041274F" w:rsidRPr="00CE01BB" w:rsidRDefault="0041274F" w:rsidP="0041274F">
      <w:pPr>
        <w:pStyle w:val="NormalHanging12a"/>
      </w:pPr>
      <w:r w:rsidRPr="00CE01BB">
        <w:t>–</w:t>
      </w:r>
      <w:r w:rsidRPr="00CE01BB">
        <w:tab/>
        <w:t>като взе предвид член 10, параграф 3 от Договора за Европейския съюз,</w:t>
      </w:r>
    </w:p>
    <w:p w:rsidR="0041274F" w:rsidRPr="00CE01BB" w:rsidRDefault="0041274F" w:rsidP="0041274F">
      <w:pPr>
        <w:pStyle w:val="NormalHanging12a"/>
      </w:pPr>
      <w:r w:rsidRPr="00CE01BB">
        <w:t>–</w:t>
      </w:r>
      <w:r w:rsidRPr="00CE01BB">
        <w:tab/>
        <w:t xml:space="preserve">като взе предвид член 15, член 24, параграф 3, член 228 и член 298, параграф 1 от Договора за функционирането на Европейския съюз (ДФЕС), </w:t>
      </w:r>
    </w:p>
    <w:p w:rsidR="0041274F" w:rsidRPr="00CE01BB" w:rsidRDefault="0041274F" w:rsidP="0041274F">
      <w:pPr>
        <w:pStyle w:val="NormalHanging12a"/>
      </w:pPr>
      <w:r w:rsidRPr="00CE01BB">
        <w:t>–</w:t>
      </w:r>
      <w:r w:rsidRPr="00CE01BB">
        <w:tab/>
        <w:t>като взе предвид Регламент (ЕС, Евратом) 2021/1163 на Европейския парламент от 24 юни 2021 г. за установяване на правилата и общите условия за изпълнението на функциите на омбудсмана (Устав на Европейския омбудсман) и за отмяна на Решение 94/262/ЕОВС, ЕО, Евратом</w:t>
      </w:r>
      <w:r w:rsidRPr="00CE01BB">
        <w:rPr>
          <w:rStyle w:val="FootnoteReference"/>
          <w:color w:val="000000"/>
        </w:rPr>
        <w:footnoteReference w:id="1"/>
      </w:r>
      <w:r w:rsidRPr="00CE01BB">
        <w:t>,</w:t>
      </w:r>
    </w:p>
    <w:p w:rsidR="0041274F" w:rsidRPr="00CE01BB" w:rsidRDefault="0041274F" w:rsidP="0041274F">
      <w:pPr>
        <w:pStyle w:val="NormalHanging12a"/>
      </w:pPr>
      <w:r w:rsidRPr="00CE01BB">
        <w:t>–</w:t>
      </w:r>
      <w:r w:rsidRPr="00CE01BB">
        <w:tab/>
        <w:t>като взе предвид членове 11, 41, 42 и 43 от Хартата на основните права на Европейския съюз („Хартата“),</w:t>
      </w:r>
    </w:p>
    <w:p w:rsidR="0041274F" w:rsidRPr="00CE01BB" w:rsidRDefault="0041274F" w:rsidP="0041274F">
      <w:pPr>
        <w:pStyle w:val="NormalHanging12a"/>
      </w:pPr>
      <w:r w:rsidRPr="00CE01BB">
        <w:t>–</w:t>
      </w:r>
      <w:r w:rsidRPr="00CE01BB">
        <w:tab/>
        <w:t>като взе предвид Конвенцията на ООН за правата на хората с увреждания,</w:t>
      </w:r>
    </w:p>
    <w:p w:rsidR="0041274F" w:rsidRPr="00CE01BB" w:rsidRDefault="0041274F" w:rsidP="0041274F">
      <w:pPr>
        <w:pStyle w:val="NormalHanging12a"/>
      </w:pPr>
      <w:r w:rsidRPr="00CE01BB">
        <w:t>–</w:t>
      </w:r>
      <w:r w:rsidRPr="00CE01BB">
        <w:tab/>
        <w:t>като взе предвид Европейския кодекс за добро административно поведение, приет от Парламента на 6 септември 2001 г.,</w:t>
      </w:r>
    </w:p>
    <w:p w:rsidR="0041274F" w:rsidRPr="00CE01BB" w:rsidRDefault="0041274F" w:rsidP="0041274F">
      <w:pPr>
        <w:pStyle w:val="NormalHanging12a"/>
      </w:pPr>
      <w:r w:rsidRPr="00CE01BB">
        <w:t>–</w:t>
      </w:r>
      <w:r w:rsidRPr="00CE01BB">
        <w:tab/>
        <w:t>като взе предвид рамковото споразумение за сътрудничество, сключено между Парламента и Европейския омбудсман на 15 март 2006 г. и влязло в сила на 1 април 2006 г.,</w:t>
      </w:r>
    </w:p>
    <w:p w:rsidR="0041274F" w:rsidRPr="00CE01BB" w:rsidRDefault="0041274F" w:rsidP="0041274F">
      <w:pPr>
        <w:pStyle w:val="NormalHanging12a"/>
      </w:pPr>
      <w:r w:rsidRPr="00CE01BB">
        <w:t>–</w:t>
      </w:r>
      <w:r w:rsidRPr="00CE01BB">
        <w:tab/>
        <w:t>като взе предвид своите предходни резолюции относно дейностите на Европейския омбудсман,</w:t>
      </w:r>
    </w:p>
    <w:p w:rsidR="0041274F" w:rsidRPr="00CE01BB" w:rsidRDefault="0041274F" w:rsidP="0041274F">
      <w:pPr>
        <w:pStyle w:val="NormalHanging12a"/>
      </w:pPr>
      <w:r w:rsidRPr="00CE01BB">
        <w:lastRenderedPageBreak/>
        <w:t>–</w:t>
      </w:r>
      <w:r w:rsidRPr="00CE01BB">
        <w:tab/>
        <w:t>като взе предвид член 55 и член 148, параграф 2 от своя Правилник за дейността,</w:t>
      </w:r>
    </w:p>
    <w:p w:rsidR="0041274F" w:rsidRPr="00CE01BB" w:rsidRDefault="0041274F" w:rsidP="0041274F">
      <w:pPr>
        <w:pStyle w:val="NormalHanging12a"/>
      </w:pPr>
      <w:r w:rsidRPr="00CE01BB">
        <w:t>–</w:t>
      </w:r>
      <w:r w:rsidRPr="00CE01BB">
        <w:tab/>
        <w:t>като взе предвид доклада на комисията по петиции (A10-0016/2024),</w:t>
      </w:r>
    </w:p>
    <w:p w:rsidR="0041274F" w:rsidRPr="00CE01BB" w:rsidRDefault="0041274F" w:rsidP="0041274F">
      <w:pPr>
        <w:pStyle w:val="NormalHanging12a"/>
      </w:pPr>
      <w:r w:rsidRPr="00CE01BB">
        <w:t>А.</w:t>
      </w:r>
      <w:r w:rsidRPr="00CE01BB">
        <w:tab/>
        <w:t>като има предвид, че годишният доклад за дейностите на Европейския омбудсман през 2023 г. беше официално предаден на председателя на Европейския парламент на 18 април 2024 г. и че омбудсманът г-жа Емили О’Райли представи своя доклад пред комисията по петиции на 4 септември 2024 г. в Брюксел;</w:t>
      </w:r>
    </w:p>
    <w:p w:rsidR="0041274F" w:rsidRPr="00CE01BB" w:rsidRDefault="0041274F" w:rsidP="0041274F">
      <w:pPr>
        <w:pStyle w:val="NormalHanging12a"/>
      </w:pPr>
      <w:r w:rsidRPr="00CE01BB">
        <w:t>Б.</w:t>
      </w:r>
      <w:r w:rsidRPr="00CE01BB">
        <w:tab/>
        <w:t>като има предвид, че членове 20, 24 и 228 от ДФЕС оправомощават Европейския омбудсман да получава жалби относно случаи на лошо администриране в действията на институциите, органите, службите или агенциите на Съюза, с изключение на Съда на Европейския съюз, в качеството му на съдебен орган;</w:t>
      </w:r>
    </w:p>
    <w:p w:rsidR="0041274F" w:rsidRPr="00CE01BB" w:rsidRDefault="0041274F" w:rsidP="0041274F">
      <w:pPr>
        <w:pStyle w:val="NormalHanging12a"/>
      </w:pPr>
      <w:r w:rsidRPr="00CE01BB">
        <w:t>В.</w:t>
      </w:r>
      <w:r w:rsidRPr="00CE01BB">
        <w:tab/>
        <w:t>като има предвид, че в член 15 от ДФЕС се посочва, че „за да се насърчи доброто управление и да се осигури участието на гражданското общество, институциите, органите, службите и агенциите на Съюза работят при възможно най-голямо зачитане на принципа на откритост“ и че „всеки гражданин на Съюза, както и всяко физическо или юридическо лице, което пребивава или има седалище според устройствения му акт в държава членка, има право на достъп до документите на институциите, органите, службите и агенциите на Съюза“;</w:t>
      </w:r>
    </w:p>
    <w:p w:rsidR="0041274F" w:rsidRPr="00CE01BB" w:rsidRDefault="0041274F" w:rsidP="0041274F">
      <w:pPr>
        <w:pStyle w:val="NormalHanging12a"/>
      </w:pPr>
      <w:r w:rsidRPr="00CE01BB">
        <w:t>Г.</w:t>
      </w:r>
      <w:r w:rsidRPr="00CE01BB">
        <w:tab/>
        <w:t>като има предвид, че съгласно член 41 от Хартата „всеки има право засягащите го въпроси да бъдат разглеждани от институциите, органите, службите и агенциите на Съюза безпристрастно, справедливо и в разумен срок“;</w:t>
      </w:r>
    </w:p>
    <w:p w:rsidR="0041274F" w:rsidRPr="00CE01BB" w:rsidRDefault="0041274F" w:rsidP="0041274F">
      <w:pPr>
        <w:pStyle w:val="NormalHanging12a"/>
      </w:pPr>
      <w:r w:rsidRPr="00CE01BB">
        <w:t>Д.</w:t>
      </w:r>
      <w:r w:rsidRPr="00CE01BB">
        <w:tab/>
        <w:t>като има предвид, че съгласно член 43 от Хартата „всеки гражданин на Съюза, както и всяко физическо или юридическо лице, което пребивава или има седалище според устройствения му акт в държава членка, има право да сезира Европейския омбудсман за случаи на лоша администрация в действията на институциите, органите, службите и агенциите на Съюза, с изключение на Съда на Европейския съюз при изпълнението на неговите съдебни функции“;</w:t>
      </w:r>
    </w:p>
    <w:p w:rsidR="0041274F" w:rsidRPr="00CE01BB" w:rsidRDefault="0041274F" w:rsidP="0041274F">
      <w:pPr>
        <w:pStyle w:val="NormalHanging12a"/>
        <w:rPr>
          <w:b/>
          <w:i/>
        </w:rPr>
      </w:pPr>
      <w:r w:rsidRPr="00CE01BB">
        <w:t>Е.</w:t>
      </w:r>
      <w:r w:rsidRPr="00CE01BB">
        <w:rPr>
          <w:b/>
          <w:i/>
        </w:rPr>
        <w:tab/>
      </w:r>
      <w:r w:rsidRPr="00CE01BB">
        <w:t>като има предвид, че съгласно член 298, параграф 1 от ДФЕС „институциите, органите, службите и агенциите на Съюза изпълняват своите задачи с подкрепата на открита, ефикасна и независима европейска администрация“;</w:t>
      </w:r>
    </w:p>
    <w:p w:rsidR="0041274F" w:rsidRPr="00CE01BB" w:rsidRDefault="0041274F" w:rsidP="0041274F">
      <w:pPr>
        <w:pStyle w:val="NormalHanging12a"/>
      </w:pPr>
      <w:r w:rsidRPr="00CE01BB">
        <w:t>Ж.</w:t>
      </w:r>
      <w:r w:rsidRPr="00CE01BB">
        <w:tab/>
        <w:t>като има предвид, че Европейският омбудсман може да прави препоръки, да предлага корективни мерки и подобрения, насочени към разрешаване на различни аспекти на лошото администриране;</w:t>
      </w:r>
    </w:p>
    <w:p w:rsidR="0041274F" w:rsidRPr="00CE01BB" w:rsidRDefault="0041274F" w:rsidP="0041274F">
      <w:pPr>
        <w:pStyle w:val="NormalHanging12a"/>
      </w:pPr>
      <w:r w:rsidRPr="00CE01BB">
        <w:t>З.</w:t>
      </w:r>
      <w:r w:rsidRPr="00CE01BB">
        <w:tab/>
        <w:t xml:space="preserve">като има предвид, че през 2023 г. омбудсманът започна </w:t>
      </w:r>
      <w:r w:rsidRPr="00CE01BB">
        <w:rPr>
          <w:bCs/>
        </w:rPr>
        <w:t>398 разследвания</w:t>
      </w:r>
      <w:r w:rsidRPr="00CE01BB">
        <w:t>, от които 393 въз основа на жалби и 5 по собствена инициатива, и приключи 372 разследвания (369 въз основа на жалби и 3 по собствена инициатива);</w:t>
      </w:r>
    </w:p>
    <w:p w:rsidR="0041274F" w:rsidRPr="00CE01BB" w:rsidRDefault="0041274F" w:rsidP="0041274F">
      <w:pPr>
        <w:pStyle w:val="NormalHanging12a"/>
      </w:pPr>
      <w:r w:rsidRPr="00CE01BB">
        <w:t>И.</w:t>
      </w:r>
      <w:r w:rsidRPr="00CE01BB">
        <w:tab/>
        <w:t>като има предвид, че голямата част от разследванията през 2023 г. се отнасят до Комисията (250 разследвания, или 62,81 %), а следващи по численост са разследванията във връзка с Европейската служба за подбор на персонал (EPSO) (47 разследвания, или 11,81 %), Европейския парламент (16 разследвания, или 4,02 %) и Европейската агенция за гранична и брегова охрана (</w:t>
      </w:r>
      <w:proofErr w:type="spellStart"/>
      <w:r w:rsidRPr="00CE01BB">
        <w:t>Frontex</w:t>
      </w:r>
      <w:proofErr w:type="spellEnd"/>
      <w:r w:rsidRPr="00CE01BB">
        <w:t xml:space="preserve">) (11 разследвания, или 2,76 %); като има предвид, че останалите разследвания са разпределени, както следва: Съвета на Европейския съюз (7 разследвания, или </w:t>
      </w:r>
      <w:r w:rsidRPr="00CE01BB">
        <w:lastRenderedPageBreak/>
        <w:t>1,76 %), Европейската служба за борба с измамите (7 разследвания, или 1,76 %), Европейската служба за външна дейност (6 разследвания, или 1,51 %), Европейския надзорен орган по защита на данните (6 разследвания, или 1,51 %), Службата на Европейския съюз за интелектуална собственост (5 разследвания, или 1,26 %), други агенции на ЕС (33 разследвания, или 8,27 %) и други институции или органи на ЕС (12 разследвания, или 3,01 %);</w:t>
      </w:r>
    </w:p>
    <w:p w:rsidR="0041274F" w:rsidRPr="00CE01BB" w:rsidRDefault="0041274F" w:rsidP="0041274F">
      <w:pPr>
        <w:pStyle w:val="NormalHanging12a"/>
      </w:pPr>
      <w:r w:rsidRPr="00CE01BB">
        <w:t>Й.</w:t>
      </w:r>
      <w:r w:rsidRPr="00CE01BB">
        <w:tab/>
        <w:t>като има предвид, че най-голям процент от разследванията на омбудсмана през 2023 г. се отнасят до Комисията, чиято административна дейност е обект на значително обществено внимание, предвид факта, че тя е изпълнителният орган на ЕС;</w:t>
      </w:r>
    </w:p>
    <w:p w:rsidR="0041274F" w:rsidRPr="00CE01BB" w:rsidRDefault="0041274F" w:rsidP="0041274F">
      <w:pPr>
        <w:pStyle w:val="NormalHanging12a"/>
      </w:pPr>
      <w:r w:rsidRPr="00CE01BB">
        <w:t>К.</w:t>
      </w:r>
      <w:r w:rsidRPr="00CE01BB">
        <w:tab/>
        <w:t>като има предвид, че при разследванията, приключени от омбудсмана през 2023 г., в 99 (26,6 %) от случаите не е установено лошо администриране, в 206 (55,4 %) от случаите институцията е намерила решение изцяло или частично, в 46 (12,4 %) от случаите не са оправдани допълнителни разследвания, а в 27 (7,3 %) от случаите е установено лошо администриране;</w:t>
      </w:r>
    </w:p>
    <w:p w:rsidR="0041274F" w:rsidRPr="00CE01BB" w:rsidRDefault="0041274F" w:rsidP="0041274F">
      <w:pPr>
        <w:pStyle w:val="NormalHanging12a"/>
      </w:pPr>
      <w:r w:rsidRPr="00CE01BB">
        <w:t>Л.</w:t>
      </w:r>
      <w:r w:rsidRPr="00CE01BB">
        <w:tab/>
        <w:t>като има предвид, че трите основни въпроса, пораждащи безпокойство при разследванията, приключени от омбудсмана през 2023 г., са прозрачността и отчетността (напр. достъп до информация и документи) (34,2 %), културата на обслужване (21,5 %) и назначаванията (15,3 %); като има предвид, че други опасения включват доброто управление на въпросите, свързани с персонала, правилното използване на правото на преценка (включително в производствата за установяване на нарушение), правилното управление на производствата за установяване на нарушение, зачитането на основните права, зачитането на процесуалните права, отпускането на безвъзмездни средства, обществените поръчки, договорите, етиката, участието на обществеността в процеса на вземане на решения в ЕС и доброто финансово управление;</w:t>
      </w:r>
    </w:p>
    <w:p w:rsidR="0041274F" w:rsidRPr="00CE01BB" w:rsidRDefault="0041274F" w:rsidP="0041274F">
      <w:pPr>
        <w:pStyle w:val="NormalHanging12a"/>
      </w:pPr>
      <w:r w:rsidRPr="00CE01BB">
        <w:t>М.</w:t>
      </w:r>
      <w:r w:rsidRPr="00CE01BB">
        <w:tab/>
        <w:t>като има предвид, че през 2023 г. омбудсманът проведе и по-широки стратегически разследвания и инициативи по системни проблеми в институциите на ЕС, обхващащи достъпа до документи, основните права, етични въпроси, отчетността при вземането на решения и назначаванията служители на ЕС;</w:t>
      </w:r>
    </w:p>
    <w:p w:rsidR="0041274F" w:rsidRPr="00CE01BB" w:rsidRDefault="0041274F" w:rsidP="0041274F">
      <w:pPr>
        <w:pStyle w:val="NormalHanging12a"/>
        <w:rPr>
          <w:szCs w:val="24"/>
        </w:rPr>
      </w:pPr>
      <w:r w:rsidRPr="00CE01BB">
        <w:t>Н.</w:t>
      </w:r>
      <w:r w:rsidRPr="00CE01BB">
        <w:tab/>
        <w:t>като има предвид, че гражданите на ЕС имат широки права на достъп до документи, съхранявани от администрацията на ЕС; като има предвид, че омбудсманът започна разследване по собствена инициатива, като поиска от Комисията спешно да разгледа систематичните забавяния при обработването на заявленията за достъп до документи, за да се гарантира, че спазва сроковете, определени в правото на ЕС в областта на публичния достъп (Регламент (ЕО) № 1049/2001</w:t>
      </w:r>
      <w:r w:rsidRPr="00CE01BB">
        <w:rPr>
          <w:rStyle w:val="FootnoteReference"/>
        </w:rPr>
        <w:footnoteReference w:id="2"/>
      </w:r>
      <w:r w:rsidRPr="00CE01BB">
        <w:t xml:space="preserve">); като има предвид, че това разследване разкри, че когато физически лица искат преразглеждане на решение за достъп, известно като потвърдително заявление, Комисията не спазва законоустановените срокове в 85 % от случаите, като повечето от отговорите пристигат след 60 дни; като има предвид, че поради тези забавяния получената информация често вече не е от </w:t>
      </w:r>
      <w:r w:rsidRPr="00CE01BB">
        <w:lastRenderedPageBreak/>
        <w:t>полза за заявителите, което ги възпрепятства да изразят мнението си в рамките на съответните срокове в процеса на вземане на решения;</w:t>
      </w:r>
    </w:p>
    <w:p w:rsidR="0041274F" w:rsidRPr="00CE01BB" w:rsidRDefault="0041274F" w:rsidP="0041274F">
      <w:pPr>
        <w:pStyle w:val="NormalHanging12a"/>
      </w:pPr>
      <w:r w:rsidRPr="00CE01BB">
        <w:t>О.</w:t>
      </w:r>
      <w:r w:rsidRPr="00CE01BB">
        <w:tab/>
        <w:t>като има предвид, че през 2023 г. омбудсманът публикува специален доклад след стратегическото разследване относно времето, необходимо на Комисията за разглеждане на заявленията за публичен достъп до документи; като има предвид, че службата на омбудсмана представи този доклад на Европейския парламент с цел да потърси неговата подкрепа, за да убеди Комисията да предприеме действия по препоръките на омбудсмана, тъй като счита, че гражданите имат право да очакват по-добри практики от една отворена, модерна и ориентирана към услугите администрация на ЕС;</w:t>
      </w:r>
    </w:p>
    <w:p w:rsidR="0041274F" w:rsidRPr="00CE01BB" w:rsidRDefault="0041274F" w:rsidP="0041274F">
      <w:pPr>
        <w:pStyle w:val="NormalHanging12a"/>
        <w:rPr>
          <w:szCs w:val="24"/>
        </w:rPr>
      </w:pPr>
      <w:r w:rsidRPr="00CE01BB">
        <w:t>П.</w:t>
      </w:r>
      <w:r w:rsidRPr="00CE01BB">
        <w:tab/>
        <w:t>като има предвид, че специалният доклад беше обсъден в комисията по граждански свободи, правосъдие и вътрешни работи на Парламента и доведе до резолюция на Европейския парламент, озаглавена „Времето, за което Европейската комисия разглежда заявленията за публичен достъп до документи“</w:t>
      </w:r>
      <w:r w:rsidRPr="00CE01BB">
        <w:rPr>
          <w:rStyle w:val="FootnoteReference"/>
        </w:rPr>
        <w:footnoteReference w:id="3"/>
      </w:r>
      <w:r w:rsidRPr="00CE01BB">
        <w:t>, приета на 14 март 2024 г., в която Парламентът изразява дълбока загриженост относно сериозните забавяния в процеса на Комисията за предоставяне на публичен достъп до исканите документи и поиска от Комисията да коригира тези системни и значителни забавяния; като има предвид, че Парламентът посочи, че ще обмисли използването на всички налични парламентарни инструменти за справяне с този проблем; като има предвид, че в резолюцията също така се посочват преговорите относно закупуването на ваксини срещу COVID-19 и се призовава за подходящо оповестяване от страна на Комисията, за по-проактивна прозрачност с повече специализирани човешки ресурси за разглеждане на потвърдителните заявления и за по-отворено и конструктивно отношение към заявителите;</w:t>
      </w:r>
      <w:r w:rsidRPr="00CE01BB">
        <w:rPr>
          <w:b/>
          <w:i/>
        </w:rPr>
        <w:t xml:space="preserve"> </w:t>
      </w:r>
    </w:p>
    <w:p w:rsidR="0041274F" w:rsidRPr="00CE01BB" w:rsidRDefault="0041274F" w:rsidP="0041274F">
      <w:pPr>
        <w:pStyle w:val="NormalHanging12a"/>
        <w:rPr>
          <w:szCs w:val="24"/>
        </w:rPr>
      </w:pPr>
      <w:r w:rsidRPr="00CE01BB">
        <w:t>Р.</w:t>
      </w:r>
      <w:r w:rsidRPr="00CE01BB">
        <w:tab/>
        <w:t>като има предвид, че омбудсманът подчерта необходимостта от подходящо наблюдение и прилагане на новите етични правила на Парламента;</w:t>
      </w:r>
    </w:p>
    <w:p w:rsidR="0041274F" w:rsidRPr="00CE01BB" w:rsidRDefault="0041274F" w:rsidP="0041274F">
      <w:pPr>
        <w:pStyle w:val="NormalHanging12a"/>
        <w:rPr>
          <w:b/>
          <w:i/>
        </w:rPr>
      </w:pPr>
      <w:r w:rsidRPr="00CE01BB">
        <w:t>С.</w:t>
      </w:r>
      <w:r w:rsidRPr="00CE01BB">
        <w:rPr>
          <w:b/>
          <w:i/>
        </w:rPr>
        <w:tab/>
      </w:r>
      <w:r w:rsidRPr="00CE01BB">
        <w:t>като има предвид, че омбудсманът призна значителния напредък в укрепването на етичните правила в Парламента след „</w:t>
      </w:r>
      <w:proofErr w:type="spellStart"/>
      <w:r w:rsidRPr="00CE01BB">
        <w:t>Катаргейт</w:t>
      </w:r>
      <w:proofErr w:type="spellEnd"/>
      <w:r w:rsidRPr="00CE01BB">
        <w:t>“, но изрази загриженост относно тяхното прилагане и изпълнение; като има предвид, че омбудсманът започна отделно разследване относно пътните разходи, плащани на Комисията от трети страни от 2021 г. насам;</w:t>
      </w:r>
    </w:p>
    <w:p w:rsidR="0041274F" w:rsidRPr="00CE01BB" w:rsidRDefault="0041274F" w:rsidP="0041274F">
      <w:pPr>
        <w:pStyle w:val="NormalHanging12a"/>
      </w:pPr>
      <w:r w:rsidRPr="00CE01BB">
        <w:t>Т.</w:t>
      </w:r>
      <w:r w:rsidRPr="00CE01BB">
        <w:tab/>
        <w:t>като има предвид, че прозрачността е жизненоважна част от демократичното общество и основен инструмент в борбата срещу корупцията; като има предвид, че гражданите на ЕС имат право на най-високо равнище на прозрачност и като има предвид, че най-високото равнище на достъпност до публични документи е от съществено значение за гарантирането на отчетност;</w:t>
      </w:r>
    </w:p>
    <w:p w:rsidR="0041274F" w:rsidRPr="00CE01BB" w:rsidRDefault="0041274F" w:rsidP="0041274F">
      <w:pPr>
        <w:pStyle w:val="NormalHanging12a"/>
        <w:rPr>
          <w:szCs w:val="24"/>
        </w:rPr>
      </w:pPr>
      <w:r w:rsidRPr="00CE01BB">
        <w:t>У.</w:t>
      </w:r>
      <w:r w:rsidRPr="00CE01BB">
        <w:tab/>
        <w:t>като има предвид, че през 2023 г. службата на омбудсмана допълнително повиши обществената осведоменост относно ролята на омбудсмана за поддържането на високи стандарти на работа в администрацията на ЕС и за защитата на правата на гражданите и основните свободи;</w:t>
      </w:r>
    </w:p>
    <w:p w:rsidR="0041274F" w:rsidRPr="00CE01BB" w:rsidRDefault="0041274F" w:rsidP="0041274F">
      <w:pPr>
        <w:pStyle w:val="NormalHanging12a"/>
        <w:rPr>
          <w:szCs w:val="24"/>
        </w:rPr>
      </w:pPr>
      <w:r w:rsidRPr="00CE01BB">
        <w:t>1.</w:t>
      </w:r>
      <w:r w:rsidRPr="00CE01BB">
        <w:tab/>
        <w:t xml:space="preserve">одобрява представения от Европейския омбудсман годишен доклад за 2023 г. и </w:t>
      </w:r>
      <w:r w:rsidRPr="00CE01BB">
        <w:lastRenderedPageBreak/>
        <w:t>приветства отличния начин, по който г-жа О’Райли представи най-важните факти и цифри относно работата на омбудсмана през 2023 г.;</w:t>
      </w:r>
    </w:p>
    <w:p w:rsidR="0041274F" w:rsidRPr="00CE01BB" w:rsidRDefault="0041274F" w:rsidP="0041274F">
      <w:pPr>
        <w:pStyle w:val="NormalHanging12a"/>
        <w:rPr>
          <w:szCs w:val="24"/>
        </w:rPr>
      </w:pPr>
      <w:r w:rsidRPr="00CE01BB">
        <w:t>2.</w:t>
      </w:r>
      <w:r w:rsidRPr="00CE01BB">
        <w:tab/>
        <w:t>поздравява Емили О’Райли за забележителната ѝ работа и неуморните усилия да подкрепя демокрацията чрез повишаване на отчетността и прозрачността на институциите, органите, службите и агенциите на ЕС и да гарантира, че администрацията на ЕС откликва на опасенията на гражданите;</w:t>
      </w:r>
    </w:p>
    <w:p w:rsidR="0041274F" w:rsidRPr="00CE01BB" w:rsidRDefault="0041274F" w:rsidP="0041274F">
      <w:pPr>
        <w:pStyle w:val="NormalHanging12a"/>
      </w:pPr>
      <w:r w:rsidRPr="00CE01BB">
        <w:t>3.</w:t>
      </w:r>
      <w:r w:rsidRPr="00CE01BB">
        <w:tab/>
        <w:t>изразява своята признателност за конструктивното сътрудничество между Европейския омбудсман и Европейския парламент, и по-специално с комисията по петиции, както и с други институции на ЕС;</w:t>
      </w:r>
    </w:p>
    <w:p w:rsidR="0041274F" w:rsidRPr="00CE01BB" w:rsidRDefault="0041274F" w:rsidP="0041274F">
      <w:pPr>
        <w:pStyle w:val="NormalHanging12a"/>
      </w:pPr>
      <w:r w:rsidRPr="00CE01BB">
        <w:t>4.</w:t>
      </w:r>
      <w:r w:rsidRPr="00CE01BB">
        <w:tab/>
        <w:t>приветства публикуването от омбудсмана на ръководство за достъп до документи на ЕС, което има за цел да повиши осведомеността на гражданите относно правото им на достъп до документи и да им даде възможност да контролират процеса на вземане на решения в ЕС; счита, че е от съществено значение да продължи да се предоставя на гражданите подходяща информация относно ролята и обхвата на дейностите на омбудсмана и неговото влияние върху развитието на институциите на ЕС;</w:t>
      </w:r>
    </w:p>
    <w:p w:rsidR="0041274F" w:rsidRPr="00CE01BB" w:rsidRDefault="0041274F" w:rsidP="0041274F">
      <w:pPr>
        <w:pStyle w:val="NormalHanging12a"/>
        <w:rPr>
          <w:szCs w:val="24"/>
        </w:rPr>
      </w:pPr>
      <w:r w:rsidRPr="00CE01BB">
        <w:t>5.</w:t>
      </w:r>
      <w:r w:rsidRPr="00CE01BB">
        <w:tab/>
        <w:t xml:space="preserve">приветства препоръките след </w:t>
      </w:r>
      <w:r w:rsidRPr="00CE01BB">
        <w:rPr>
          <w:shd w:val="clear" w:color="auto" w:fill="FFFFFF"/>
        </w:rPr>
        <w:t>разследването по собствена инициатива на омбудсмана относно времето, необходимо на Комисията за разглеждане на заявленията за публичен достъп до документи;</w:t>
      </w:r>
      <w:r w:rsidRPr="00CE01BB">
        <w:rPr>
          <w:b/>
          <w:i/>
          <w:shd w:val="clear" w:color="auto" w:fill="FFFFFF"/>
        </w:rPr>
        <w:t xml:space="preserve"> </w:t>
      </w:r>
      <w:r w:rsidRPr="00CE01BB">
        <w:rPr>
          <w:shd w:val="clear" w:color="auto" w:fill="FFFFFF"/>
        </w:rPr>
        <w:t>призовава Комисията да подобри начина си на разглеждане на такива заявления, спешно да се справи със системните си забавяния и да спазва сроковете, определени в Регламент (ЕО) № 1049/2001</w:t>
      </w:r>
      <w:r w:rsidRPr="00CE01BB">
        <w:t xml:space="preserve"> относно публичния достъп до документи на Европейския парламент, на Съвета и на Комисията; споделя становището на омбудсмана, че при документите и исканата информация времето често е важен фактор и те могат да загубят значението си за заявителите, ако има забавяния; счита, че Комисията трябва проактивно да публикува документи и статистически данни относно начина, по който обработва искания за достъп до документи, тъй като тази информация е от ключово значение за подобряване на прозрачността по този въпрос и за засилване на отчетността на Комисията пред гражданите; подчертава, че прозрачността на процеса на вземане на решения е в центъра на множество разследвания на омбудсмана, по-специално по отношение на лобирането;</w:t>
      </w:r>
    </w:p>
    <w:p w:rsidR="0041274F" w:rsidRPr="00CE01BB" w:rsidRDefault="0041274F" w:rsidP="0041274F">
      <w:pPr>
        <w:pStyle w:val="NormalHanging12a"/>
        <w:rPr>
          <w:szCs w:val="24"/>
        </w:rPr>
      </w:pPr>
      <w:r w:rsidRPr="00CE01BB">
        <w:t>6.</w:t>
      </w:r>
      <w:r w:rsidRPr="00CE01BB">
        <w:rPr>
          <w:b/>
          <w:i/>
        </w:rPr>
        <w:tab/>
      </w:r>
      <w:r w:rsidRPr="00CE01BB">
        <w:t xml:space="preserve">подчертава, че публичният достъп до документи е основно право на гражданите на ЕС и крайъгълен камък на европейската демокрация; припомня, че технологичният и общественият напредък след приемането на Регламент </w:t>
      </w:r>
      <w:r w:rsidRPr="00CE01BB">
        <w:rPr>
          <w:shd w:val="clear" w:color="auto" w:fill="FFFFFF"/>
        </w:rPr>
        <w:t>(ЕО) № </w:t>
      </w:r>
      <w:r w:rsidRPr="00CE01BB">
        <w:t xml:space="preserve">1049/2001 изисква привеждането му в съответствие с новия цифров контекст; в този смисъл признава необходимостта да преразгледа посочения регламент и да започне конструктивни преговори с Парламента и Комисията относно неговото преразглеждане, за да превърне тези три ключови институции на ЕС в модели за подражание за прозрачност и публична отчетност за целия ЕС; изразява твърдо убеждение, че всички преговори относно преразглеждането на Регламент </w:t>
      </w:r>
      <w:r w:rsidRPr="00CE01BB">
        <w:rPr>
          <w:shd w:val="clear" w:color="auto" w:fill="FFFFFF"/>
        </w:rPr>
        <w:t>(ЕО) №</w:t>
      </w:r>
      <w:r w:rsidRPr="00CE01BB">
        <w:t xml:space="preserve"> 1049/2001 следва да се основават на вече приетата от Парламента позиция и че обхватът му следва да бъде разширен, така че да включва всички институции, органи и агенции на ЕС, като по този начин се повиши отчетността на процеса на вземане на решения; в този контекст припомня, че „документ“ следва да означава всяка информация, която се съдържа на независимо какъв информационен носител (на хартиен носител или в електронна форма, звукозапис, видео- или </w:t>
      </w:r>
      <w:r w:rsidRPr="00CE01BB">
        <w:lastRenderedPageBreak/>
        <w:t>аудио-визуален запис) която се отнася до въпроси, попадащи в сферата на отговорност на институция, орган, служба или агенция на Съюза</w:t>
      </w:r>
      <w:r w:rsidRPr="00CE01BB">
        <w:rPr>
          <w:szCs w:val="24"/>
          <w:vertAlign w:val="superscript"/>
        </w:rPr>
        <w:footnoteReference w:id="4"/>
      </w:r>
      <w:r w:rsidRPr="00CE01BB">
        <w:t>; подчертава, че е от съществено значение институциите да бъдат прозрачни в отношенията си с гражданите, както се потвърждава и от омбудсмана г-жа О’Райли в нейното разследване относно прозрачността на тристранните срещи</w:t>
      </w:r>
      <w:r w:rsidRPr="00CE01BB">
        <w:rPr>
          <w:rStyle w:val="FootnoteReference"/>
        </w:rPr>
        <w:footnoteReference w:id="5"/>
      </w:r>
      <w:r w:rsidRPr="00CE01BB">
        <w:t xml:space="preserve">, в която омбудсманът разбира конкретните предизвикателства и чувствителните въпроси в рамките на системата на ЕС за междуинституционални преговори, но прикани институциите да положат усилия за преодоляване на тези предизвикателства, за да се даде възможност на гражданите да упражняват ефективно своите демократични права; </w:t>
      </w:r>
    </w:p>
    <w:p w:rsidR="0041274F" w:rsidRPr="00CE01BB" w:rsidRDefault="0041274F" w:rsidP="0041274F">
      <w:pPr>
        <w:pStyle w:val="NormalHanging12a"/>
        <w:rPr>
          <w:szCs w:val="24"/>
        </w:rPr>
      </w:pPr>
      <w:r w:rsidRPr="00CE01BB">
        <w:t>7.</w:t>
      </w:r>
      <w:r w:rsidRPr="00CE01BB">
        <w:tab/>
        <w:t>подкрепя заключенията от специалния доклад на омбудсмана</w:t>
      </w:r>
      <w:r w:rsidRPr="00CE01BB">
        <w:rPr>
          <w:rStyle w:val="FootnoteReference"/>
        </w:rPr>
        <w:footnoteReference w:id="6"/>
      </w:r>
      <w:r w:rsidRPr="00CE01BB">
        <w:t xml:space="preserve"> до Европейския парламент относно времето, необходимо на Европейската комисия за разглеждане на заявления за публичен достъп до документи, и изразява загриженост относно оценката на омбудсмана, че тези системни и значителни забавяния в обработването от страна на Комисията на заявления за публичен достъп до документи представляват лошо администриране; подчертава колко е важно Комисията да </w:t>
      </w:r>
      <w:r w:rsidRPr="00CE01BB">
        <w:rPr>
          <w:shd w:val="clear" w:color="auto" w:fill="FFFFFF"/>
        </w:rPr>
        <w:t>отдели повече ресурси за разглеждане на потвърдителни заявления съгласно Регламент (ЕО) № 1049/2001, както и</w:t>
      </w:r>
      <w:r w:rsidRPr="00CE01BB">
        <w:t xml:space="preserve"> необходимостта от по-проактивна прозрачност и по-конструктивен подход към заявителите; </w:t>
      </w:r>
      <w:r w:rsidRPr="00CE01BB">
        <w:rPr>
          <w:shd w:val="clear" w:color="auto" w:fill="FFFFFF"/>
        </w:rPr>
        <w:t>призовава Комисията приоритетно да коригира това положение, като реформира начина, по който управлява публичния достъп до документи;</w:t>
      </w:r>
      <w:r w:rsidRPr="00CE01BB">
        <w:rPr>
          <w:b/>
          <w:i/>
          <w:color w:val="000000"/>
          <w:shd w:val="clear" w:color="auto" w:fill="FFFFFF"/>
        </w:rPr>
        <w:t xml:space="preserve"> </w:t>
      </w:r>
      <w:r w:rsidRPr="00CE01BB">
        <w:t xml:space="preserve">припомня на Комисията правото на Парламента да заведе дело срещу нея пред Съда на Европейския съюз и очаква новият колегиум на членовете на Комисията да поеме ясен и недвусмислен ангажимент за коригиране на това положение; </w:t>
      </w:r>
    </w:p>
    <w:p w:rsidR="0041274F" w:rsidRPr="00CE01BB" w:rsidRDefault="0041274F" w:rsidP="0041274F">
      <w:pPr>
        <w:pStyle w:val="NormalHanging12a"/>
        <w:rPr>
          <w:szCs w:val="24"/>
        </w:rPr>
      </w:pPr>
      <w:r w:rsidRPr="00CE01BB">
        <w:t>8.</w:t>
      </w:r>
      <w:r w:rsidRPr="00CE01BB">
        <w:tab/>
        <w:t xml:space="preserve">взема под внимание проведеното от омбудсмана разследване относно степента, в която Европейският парламент, Съветът на Европейския съюз и Европейската комисия прилагат правото на ЕС и решенията на Съда на ЕС що се отнася до заявления за публичен достъп до законодателни документи, в която омбудсманът подчерта необходимостта да се гарантира навременен публичен достъп до законодателни документи, както и да се улесни участието на гражданите на ЕС в законодателния процес на ЕС; признава значението на навременното обработване на заявленията за достъп до документи от всички институции за насърчаване на доверието в законодателния процес на ЕС, което се основава на основните принципи на прозрачност и публичен достъп до информация, както се потвърждава от съдебната практика на Съда на ЕС; припомня, че съгласно съдебната практика на Съда на ЕС институциите на ЕС могат да откажат да оповестят законодателни документи само при изключителни обстоятелства и техните мотиви за това трябва да се основават на конкретни и </w:t>
      </w:r>
      <w:proofErr w:type="spellStart"/>
      <w:r w:rsidRPr="00CE01BB">
        <w:t>проверими</w:t>
      </w:r>
      <w:proofErr w:type="spellEnd"/>
      <w:r w:rsidRPr="00CE01BB">
        <w:t xml:space="preserve"> факти;</w:t>
      </w:r>
    </w:p>
    <w:p w:rsidR="0041274F" w:rsidRPr="00CE01BB" w:rsidRDefault="0041274F" w:rsidP="0041274F">
      <w:pPr>
        <w:pStyle w:val="NormalHanging12a"/>
        <w:rPr>
          <w:szCs w:val="24"/>
        </w:rPr>
      </w:pPr>
      <w:r w:rsidRPr="00CE01BB">
        <w:rPr>
          <w:shd w:val="clear" w:color="auto" w:fill="FFFFFF"/>
        </w:rPr>
        <w:t>9.</w:t>
      </w:r>
      <w:r w:rsidRPr="00CE01BB">
        <w:rPr>
          <w:b/>
          <w:i/>
          <w:shd w:val="clear" w:color="auto" w:fill="FFFFFF"/>
        </w:rPr>
        <w:tab/>
      </w:r>
      <w:r w:rsidRPr="00CE01BB">
        <w:rPr>
          <w:shd w:val="clear" w:color="auto" w:fill="FFFFFF"/>
        </w:rPr>
        <w:t xml:space="preserve">отбелязва намерението на омбудсмана да проведе по-широко разследване на </w:t>
      </w:r>
      <w:r w:rsidRPr="00CE01BB">
        <w:rPr>
          <w:shd w:val="clear" w:color="auto" w:fill="FFFFFF"/>
        </w:rPr>
        <w:lastRenderedPageBreak/>
        <w:t>начина, по който Комисията тълкува обхвата на информацията за околната среда и информацията, свързана с емисиите в околната среда; изразява особена загриженост във връзка с факта, че омбудсманът установи наличието на лошо администриране, свързано с отказа на Комисията да предостави достъп до документи относно емисиите на парникови газове от керамичната промишленост, докладвани в рамките на схемата на ЕС за търговия с емисии</w:t>
      </w:r>
      <w:r w:rsidRPr="00CE01BB">
        <w:t xml:space="preserve">; изразява съжаление, че Комисията отхвърли предложението от страна на омбудсмана за намиране на решение и не осигури необходимата прозрачност, нито приложи изцяло </w:t>
      </w:r>
      <w:r w:rsidRPr="00CE01BB">
        <w:rPr>
          <w:shd w:val="clear" w:color="auto" w:fill="FFFFFF"/>
        </w:rPr>
        <w:t xml:space="preserve">Регламент (ЕО) № 1367/2006 на Европейския парламент и на Съвета от 6 септември 2006 г. относно прилагането на разпоредбите на </w:t>
      </w:r>
      <w:proofErr w:type="spellStart"/>
      <w:r w:rsidRPr="00CE01BB">
        <w:rPr>
          <w:shd w:val="clear" w:color="auto" w:fill="FFFFFF"/>
        </w:rPr>
        <w:t>Орхуската</w:t>
      </w:r>
      <w:proofErr w:type="spellEnd"/>
      <w:r w:rsidRPr="00CE01BB">
        <w:rPr>
          <w:shd w:val="clear" w:color="auto" w:fill="FFFFFF"/>
        </w:rPr>
        <w:t xml:space="preserve"> конвенция за достъп до информация, публично участие в процеса на вземане на решения и достъп до правосъдие по въпроси на околната среда към институциите и органите на Общността</w:t>
      </w:r>
      <w:r w:rsidRPr="00CE01BB">
        <w:rPr>
          <w:rStyle w:val="FootnoteReference"/>
          <w:bCs/>
          <w:szCs w:val="24"/>
          <w:shd w:val="clear" w:color="auto" w:fill="FFFFFF"/>
        </w:rPr>
        <w:footnoteReference w:id="7"/>
      </w:r>
      <w:r w:rsidRPr="00CE01BB">
        <w:rPr>
          <w:shd w:val="clear" w:color="auto" w:fill="FFFFFF"/>
        </w:rPr>
        <w:t xml:space="preserve"> или</w:t>
      </w:r>
      <w:r w:rsidRPr="00CE01BB">
        <w:t xml:space="preserve"> самата </w:t>
      </w:r>
      <w:proofErr w:type="spellStart"/>
      <w:r w:rsidRPr="00CE01BB">
        <w:t>Орхуска</w:t>
      </w:r>
      <w:proofErr w:type="spellEnd"/>
      <w:r w:rsidRPr="00CE01BB">
        <w:t xml:space="preserve"> конвенция; призовава Комисията да осигури публичния достъп до информацията за околната среда в съответствие с правото на ЕС и свързаната с него съдебна практика на Съда на ЕС и да насърчава участието на обществеността във вземането на решения, свързани с </w:t>
      </w:r>
      <w:r w:rsidRPr="00CE01BB">
        <w:rPr>
          <w:shd w:val="clear" w:color="auto" w:fill="FFFFFF"/>
        </w:rPr>
        <w:t>околната среда</w:t>
      </w:r>
      <w:r w:rsidRPr="00CE01BB">
        <w:t>;</w:t>
      </w:r>
      <w:r w:rsidRPr="00CE01BB">
        <w:rPr>
          <w:shd w:val="clear" w:color="auto" w:fill="FFFFFF"/>
        </w:rPr>
        <w:t xml:space="preserve"> </w:t>
      </w:r>
      <w:r w:rsidRPr="00CE01BB">
        <w:t>изразява загрижеността си във връзка с това, че отказът на Комисията да предостави достъп до всички изискани документи относно емисиите на парникови газове, докладвани в рамките на схемата на ЕС за търговия с емисии, обхваща и други промишлени съоръжения извън съоръженията на керамичната промишленост, и призовава омбудсмана да продължи да повишава осведомеността относно констатациите в рамките на разследванията с оглед на повишаването на прозрачността; припомня, че значителен брой петиции до Европейския парламент се отнасят до липсата на достъп или ограничения достъп до информация за околната среда;</w:t>
      </w:r>
    </w:p>
    <w:p w:rsidR="0041274F" w:rsidRPr="00CE01BB" w:rsidRDefault="0041274F" w:rsidP="0041274F">
      <w:pPr>
        <w:pStyle w:val="NormalHanging12a"/>
      </w:pPr>
      <w:r w:rsidRPr="00CE01BB">
        <w:t>10.</w:t>
      </w:r>
      <w:r w:rsidRPr="00CE01BB">
        <w:tab/>
        <w:t xml:space="preserve">призовава Съвета да предостави пълен публичен достъп до </w:t>
      </w:r>
      <w:r w:rsidRPr="00CE01BB">
        <w:rPr>
          <w:shd w:val="clear" w:color="auto" w:fill="FFFFFF"/>
        </w:rPr>
        <w:t>правното становище относно Директива (ЕС) 2022/2041 на Европейския парламент и на Съвета от 19 октомври 2022 г.</w:t>
      </w:r>
      <w:r w:rsidRPr="00CE01BB">
        <w:rPr>
          <w:rFonts w:ascii="Segoe UI" w:hAnsi="Segoe UI"/>
          <w:b/>
          <w:sz w:val="21"/>
          <w:shd w:val="clear" w:color="auto" w:fill="FFFFFF"/>
        </w:rPr>
        <w:t xml:space="preserve"> </w:t>
      </w:r>
      <w:r w:rsidRPr="00CE01BB">
        <w:rPr>
          <w:shd w:val="clear" w:color="auto" w:fill="FFFFFF"/>
        </w:rPr>
        <w:t>относно</w:t>
      </w:r>
      <w:r w:rsidRPr="00CE01BB">
        <w:t xml:space="preserve"> адекватните минимални работни заплати в Европейския съюз</w:t>
      </w:r>
      <w:r w:rsidRPr="00CE01BB">
        <w:rPr>
          <w:rStyle w:val="FootnoteReference"/>
          <w:bCs/>
          <w:szCs w:val="24"/>
          <w:shd w:val="clear" w:color="auto" w:fill="FFFFFF"/>
        </w:rPr>
        <w:footnoteReference w:id="8"/>
      </w:r>
      <w:r w:rsidRPr="00CE01BB">
        <w:t>, както омбудсманът препоръча, след като откри доказателства за лошо администриране във връзка с този въпрос;</w:t>
      </w:r>
    </w:p>
    <w:p w:rsidR="0041274F" w:rsidRPr="00CE01BB" w:rsidRDefault="0041274F" w:rsidP="0041274F">
      <w:pPr>
        <w:pStyle w:val="NormalHanging12a"/>
        <w:rPr>
          <w:szCs w:val="24"/>
        </w:rPr>
      </w:pPr>
      <w:r w:rsidRPr="00CE01BB">
        <w:t>11.</w:t>
      </w:r>
      <w:r w:rsidRPr="00CE01BB">
        <w:rPr>
          <w:b/>
          <w:i/>
        </w:rPr>
        <w:tab/>
      </w:r>
      <w:r w:rsidRPr="00CE01BB">
        <w:t xml:space="preserve">подкрепя омбудсмана г-жа О’Райли в усилията ѝ да допринесе допълнително за изясняването на това какво представлява документ на ЕС и подчертава, че институциите на ЕС трябва да следват препоръките на омбудсмана, за да адаптират своите административни практики с оглед на развитието на средствата за комуникация; подчертава, че правото на гражданите на публичен достъп до информация се прилага за писмени физически и електронни документи, както и за </w:t>
      </w:r>
      <w:proofErr w:type="spellStart"/>
      <w:r w:rsidRPr="00CE01BB">
        <w:t>аудиозаписи</w:t>
      </w:r>
      <w:proofErr w:type="spellEnd"/>
      <w:r w:rsidRPr="00CE01BB">
        <w:t xml:space="preserve"> и аудио-визуални записи, свързани с политиките, дейностите и решенията на институциите на ЕС, и припомня, че свързаните с работата текстови съобщения и съобщения в реално време се считат за „документи“ съгласно Регламент (ЕО) № 1049/2001; изразява съжаление относно случаите, в които Комисията не е предоставила публичен достъп до документи под формата на електронни писма или текстови съобщения, например във връзка с проектите на стратегии на ЕС за почвите, горите и адаптирането към изменението на климата или обмена между председателя на Комисията и главния изпълнителен директор на фармацевтично дружество във връзка със закупуването на ваксини срещу </w:t>
      </w:r>
      <w:r w:rsidRPr="00CE01BB">
        <w:lastRenderedPageBreak/>
        <w:t xml:space="preserve">COVID-19; </w:t>
      </w:r>
    </w:p>
    <w:p w:rsidR="0041274F" w:rsidRPr="00CE01BB" w:rsidRDefault="0041274F" w:rsidP="0041274F">
      <w:pPr>
        <w:pStyle w:val="NormalHanging12a"/>
      </w:pPr>
      <w:r w:rsidRPr="00CE01BB">
        <w:t>12.</w:t>
      </w:r>
      <w:r w:rsidRPr="00CE01BB">
        <w:tab/>
        <w:t>оценява ангажимента на омбудсмана да отстоява основните права в рамките на дейностите, свързани с миграцията; отбелязва, че омбудсманът отправи искане към Комисията да даде допълнителни разяснения относно начина, по който възнамерява да обезпечи зачитането на правата на човека в контекста на Меморандума за разбирателство между ЕС и Тунис, с цел да се гарантира, че ЕС спазва задълженията си в областта на правата на човека; подчертава, че всички институции, органи и агенции на ЕС са задължени да зачитат правата на човека и основните свободи, както е посочено в Договорите и в Хартата на основните права;</w:t>
      </w:r>
    </w:p>
    <w:p w:rsidR="0041274F" w:rsidRPr="00CE01BB" w:rsidRDefault="0041274F" w:rsidP="0041274F">
      <w:pPr>
        <w:pStyle w:val="NormalHanging12a"/>
      </w:pPr>
      <w:r w:rsidRPr="00CE01BB">
        <w:t>13.</w:t>
      </w:r>
      <w:r w:rsidRPr="00CE01BB">
        <w:tab/>
        <w:t>отбелязва решението на Комисията да работи заедно с националните и местните органи с оглед на изготвянето на оценка на въздействието върху основните права във финансираните от ЕС съоръжения за управление на миграцията вследствие на свързаното с това разследване по собствена инициатива на омбудсмана;</w:t>
      </w:r>
    </w:p>
    <w:p w:rsidR="0041274F" w:rsidRPr="00CE01BB" w:rsidRDefault="0041274F" w:rsidP="0041274F">
      <w:pPr>
        <w:pStyle w:val="NormalHanging12a"/>
        <w:rPr>
          <w:szCs w:val="24"/>
        </w:rPr>
      </w:pPr>
      <w:r w:rsidRPr="00CE01BB">
        <w:t>14.</w:t>
      </w:r>
      <w:r w:rsidRPr="00CE01BB">
        <w:rPr>
          <w:b/>
          <w:i/>
        </w:rPr>
        <w:tab/>
      </w:r>
      <w:r w:rsidRPr="00CE01BB">
        <w:t>посреща със задоволство дейностите на омбудсмана след скандала „</w:t>
      </w:r>
      <w:proofErr w:type="spellStart"/>
      <w:r w:rsidRPr="00CE01BB">
        <w:t>Катаргейт</w:t>
      </w:r>
      <w:proofErr w:type="spellEnd"/>
      <w:r w:rsidRPr="00CE01BB">
        <w:t>“ в Европейския парламент; решително подкрепя заключенията на омбудсмана, че етичните правила и правилата за борба с корупцията на ЕС трябва да се спазват и засилят от институциите на ЕС и че изпълнението на реформите в тази област от страна на Парламента трябва да бъде надлежно наблюдавано, а тяхното спазване – налагано на всички равнища; подчертава необходимостта Парламентът и Комисията неизменно да следят отблизо дейностите, свързани с пряко и непряко лобиране в Парламента, с цел да установят какви са евентуалните пропуски и слабости, които биха могли да подкопаят прозрачността и отчетността и да увеличат риска от потенциални конфликти на интереси; посреща със задоволство значителния напредък, постигнат по отношение на действащия Кодекс за поведение на членовете на Европейския парламент по отношение на почтеността и прозрачността, и насърчава омбудсмана да продължи да следи, когато това е целесъобразно, процеса на неговото прилагане; подчертава, че етичните правила трябва да се спазват стриктно, за да се засили доверието на гражданите в европейските институции;</w:t>
      </w:r>
    </w:p>
    <w:p w:rsidR="0041274F" w:rsidRPr="00CE01BB" w:rsidRDefault="0041274F" w:rsidP="0041274F">
      <w:pPr>
        <w:pStyle w:val="NormalHanging12a"/>
        <w:rPr>
          <w:szCs w:val="24"/>
        </w:rPr>
      </w:pPr>
      <w:r w:rsidRPr="00CE01BB">
        <w:t>15.</w:t>
      </w:r>
      <w:r w:rsidRPr="00CE01BB">
        <w:tab/>
        <w:t xml:space="preserve">подчертава основната роля на прозрачността, доброто администриране и принципите на институционална взаимозависимост и </w:t>
      </w:r>
      <w:proofErr w:type="spellStart"/>
      <w:r w:rsidRPr="00CE01BB">
        <w:t>взаимоограничаване</w:t>
      </w:r>
      <w:proofErr w:type="spellEnd"/>
      <w:r w:rsidRPr="00CE01BB">
        <w:t xml:space="preserve"> в работата на институциите на ЕС;</w:t>
      </w:r>
    </w:p>
    <w:p w:rsidR="0041274F" w:rsidRPr="00CE01BB" w:rsidRDefault="0041274F" w:rsidP="0041274F">
      <w:pPr>
        <w:pStyle w:val="NormalHanging12a"/>
        <w:rPr>
          <w:szCs w:val="24"/>
        </w:rPr>
      </w:pPr>
      <w:r w:rsidRPr="00CE01BB">
        <w:t>16.</w:t>
      </w:r>
      <w:r w:rsidRPr="00CE01BB">
        <w:tab/>
        <w:t xml:space="preserve">приема за сведение разследванията на омбудсмана, свързани с риска от конфликти на интереси в Комисията, особено в областта на Европейския фонд за отбрана, включително факта, че от Комисията не се изисква да оповестява публично имената на експертите, с които се консултира по проекти, свързани с Европейския фонд за отбрана; в този контекст посочва предложението на омбудсмана Комисията да публикува по своя инициатива декларациите за интереси на членовете на Комитета за регулаторен контрол и при необходимост да измени съответните правила, уреждащи дейността на Комитета; </w:t>
      </w:r>
    </w:p>
    <w:p w:rsidR="0041274F" w:rsidRPr="00CE01BB" w:rsidRDefault="0041274F" w:rsidP="0041274F">
      <w:pPr>
        <w:pStyle w:val="NormalHanging12a"/>
      </w:pPr>
      <w:r w:rsidRPr="00CE01BB">
        <w:t>17.</w:t>
      </w:r>
      <w:r w:rsidRPr="00CE01BB">
        <w:tab/>
        <w:t xml:space="preserve">отбелязва призива на омбудсмана към Европейската инвестиционна банка (ЕИБ) да подобри своите правила относно конфликтите на интереси и да засили надзорната роля на своя Комитет по етика и съответствие вследствие на решението на един от заместник-председателите на банката да приеме </w:t>
      </w:r>
      <w:r w:rsidRPr="00CE01BB">
        <w:lastRenderedPageBreak/>
        <w:t>длъжността главен изпълнителен директор в национална насърчителна банка; във връзка с това насърчава омбудсмана да продължи да насочва вниманието си към въпроса за периодите на прекъсване и кадровата въртележка между публичния и частния сектор на висши служители от всички институции, агенции и органи на ЕС, за да се гарантира спазването на най-високите етични стандарти за прозрачност и публична отчетност;</w:t>
      </w:r>
    </w:p>
    <w:p w:rsidR="0041274F" w:rsidRPr="00CE01BB" w:rsidRDefault="0041274F" w:rsidP="0041274F">
      <w:pPr>
        <w:pStyle w:val="NormalHanging12a"/>
        <w:rPr>
          <w:szCs w:val="24"/>
          <w:shd w:val="clear" w:color="auto" w:fill="FFFFFF"/>
        </w:rPr>
      </w:pPr>
      <w:r w:rsidRPr="00CE01BB">
        <w:rPr>
          <w:shd w:val="clear" w:color="auto" w:fill="FFFFFF"/>
        </w:rPr>
        <w:t>18.</w:t>
      </w:r>
      <w:r w:rsidRPr="00CE01BB">
        <w:rPr>
          <w:shd w:val="clear" w:color="auto" w:fill="FFFFFF"/>
        </w:rPr>
        <w:tab/>
        <w:t>приветства промените на Комисията във вътрешните ѝ насоки относно обществените поръчки, които при разследването на омбудсмана бяха оценени положително и които укрепват преодоляването на потенциалните професионални конфликти на интереси при тръжните процедури;</w:t>
      </w:r>
    </w:p>
    <w:p w:rsidR="0041274F" w:rsidRPr="00CE01BB" w:rsidRDefault="0041274F" w:rsidP="0041274F">
      <w:pPr>
        <w:pStyle w:val="NormalHanging12a"/>
      </w:pPr>
      <w:r w:rsidRPr="00CE01BB">
        <w:t>19.</w:t>
      </w:r>
      <w:r w:rsidRPr="00CE01BB">
        <w:tab/>
        <w:t>насърчава Комисията да увеличи усилията си за повишаване на прозрачността по отношение на Механизма за възстановяване и устойчивост (МВУ) и приканва Комисията да подобри обработването на заявките за публичен достъп до документи, свързани с МВУ, и да продължи да публикува предварителни оценки на исканията за плащане на държавите членки;</w:t>
      </w:r>
    </w:p>
    <w:p w:rsidR="0041274F" w:rsidRPr="00CE01BB" w:rsidRDefault="0041274F" w:rsidP="0041274F">
      <w:pPr>
        <w:pStyle w:val="NormalHanging12a"/>
        <w:rPr>
          <w:shd w:val="clear" w:color="auto" w:fill="FFFFFF"/>
        </w:rPr>
      </w:pPr>
      <w:r w:rsidRPr="00CE01BB">
        <w:t>20.</w:t>
      </w:r>
      <w:r w:rsidRPr="00CE01BB">
        <w:tab/>
      </w:r>
      <w:r w:rsidRPr="00CE01BB">
        <w:rPr>
          <w:shd w:val="clear" w:color="auto" w:fill="FFFFFF"/>
        </w:rPr>
        <w:t>посреща със задоволство решението на омбудсмана да започне</w:t>
      </w:r>
      <w:r w:rsidRPr="00CE01BB">
        <w:t xml:space="preserve"> разследване по собствена инициатива на забавянето на действията на Комисията, </w:t>
      </w:r>
      <w:r w:rsidRPr="00CE01BB">
        <w:rPr>
          <w:shd w:val="clear" w:color="auto" w:fill="FFFFFF"/>
        </w:rPr>
        <w:t>свързани</w:t>
      </w:r>
      <w:r w:rsidRPr="00CE01BB">
        <w:t xml:space="preserve"> с управлението на риска от опасни химикали, като целта е да се проучат случаите на забавяне при въвеждането на ограничения за намаляване на рисковете от конкретни химикали и при включването на химикали в списъка на веществата, чиято употреба подлежи на предварително разрешение</w:t>
      </w:r>
      <w:r w:rsidRPr="00CE01BB">
        <w:rPr>
          <w:shd w:val="clear" w:color="auto" w:fill="FFFFFF"/>
        </w:rPr>
        <w:t>;</w:t>
      </w:r>
    </w:p>
    <w:p w:rsidR="0041274F" w:rsidRPr="00CE01BB" w:rsidRDefault="0041274F" w:rsidP="0041274F">
      <w:pPr>
        <w:pStyle w:val="NormalHanging12a"/>
        <w:rPr>
          <w:spacing w:val="2"/>
          <w:szCs w:val="24"/>
          <w:shd w:val="clear" w:color="auto" w:fill="FFFFFF"/>
        </w:rPr>
      </w:pPr>
      <w:r w:rsidRPr="00CE01BB">
        <w:rPr>
          <w:shd w:val="clear" w:color="auto" w:fill="FFFFFF"/>
        </w:rPr>
        <w:t>21.</w:t>
      </w:r>
      <w:r w:rsidRPr="00CE01BB">
        <w:rPr>
          <w:shd w:val="clear" w:color="auto" w:fill="FFFFFF"/>
        </w:rPr>
        <w:tab/>
        <w:t>изразява загриженост във връзка с това, че омбудсманът констатира редица поводи за опасения относно прозрачността в рамките на контактите на Комисията с тютюневата промишленост; отбелязва обаче, че Комисията се ангажира да направи допълнителна оценка на лобирането от страна на тютюневата промишленост, на които са изложени нейните служби;</w:t>
      </w:r>
      <w:r w:rsidRPr="00CE01BB">
        <w:rPr>
          <w:color w:val="000000"/>
          <w:shd w:val="clear" w:color="auto" w:fill="FFFFFF"/>
        </w:rPr>
        <w:t xml:space="preserve"> припомня на Комисията, че ЕС и всички негови държави членки са страни по Рамковата конвенция на Световната здравна организация за контрол на тютюна и че поради това те са задължени при определянето и прилагането на своите политики в областта на общественото здраве във връзка с контрола на тютюна да предприемат действия за защита на тези политики от търговските и други интереси на тютюневата промишленост;</w:t>
      </w:r>
    </w:p>
    <w:p w:rsidR="0041274F" w:rsidRPr="00CE01BB" w:rsidRDefault="0041274F" w:rsidP="0041274F">
      <w:pPr>
        <w:pStyle w:val="NormalHanging12a"/>
      </w:pPr>
      <w:r w:rsidRPr="00CE01BB">
        <w:t>22.</w:t>
      </w:r>
      <w:r w:rsidRPr="00CE01BB">
        <w:tab/>
        <w:t>припомня неотменимото задължение на институциите на ЕС да осигуряват услугите на независими и високо квалифицирани длъжностни лица, назначени по открит начин, като се обезпечава подходящ географски баланс между националностите и езиците; посочва, че омбудсманът извърши разследване на начина, по който Европейската служба за подбор на персонал (EPSO) е провела тестове за „предварителен подбор“ като част от процедура за набиране на нови служители в публичната служба на ЕС, и установи наличието на проблеми, свързани с организирането на тестове, които се провеждат само дистанционно; призовава EPSO да подобри своите процедури за набиране на персонал, като гарантира, че техническите изисквания не поставят някои кандидати в неизгодно положение, и да предоставя ясна информация на кандидатите; счита, че на кандидатите следва да се предоставя възможност да участват в тези тестове, като по свой избор присъстват физически в център за оценяване, каквато беше обичайната практика преди пандемията от COVID-19;</w:t>
      </w:r>
    </w:p>
    <w:p w:rsidR="0041274F" w:rsidRPr="00CE01BB" w:rsidRDefault="0041274F" w:rsidP="0041274F">
      <w:pPr>
        <w:pStyle w:val="NormalHanging12a"/>
      </w:pPr>
      <w:r w:rsidRPr="00CE01BB">
        <w:lastRenderedPageBreak/>
        <w:t>23.</w:t>
      </w:r>
      <w:r w:rsidRPr="00CE01BB">
        <w:tab/>
        <w:t xml:space="preserve">посреща със задоволство факта, че през 2023 г. службата на Европейския омбудсман продължи </w:t>
      </w:r>
      <w:r w:rsidRPr="00CE01BB">
        <w:rPr>
          <w:shd w:val="clear" w:color="auto" w:fill="FFFFFF"/>
        </w:rPr>
        <w:t>да повишава осведомеността за своята роля и да популяризира работата си сред възможно най-широка публика и че тя участва в Срещата на европейската младеж (EYE2023)</w:t>
      </w:r>
      <w:r w:rsidRPr="00CE01BB">
        <w:t xml:space="preserve">; подчертава значението на </w:t>
      </w:r>
      <w:r w:rsidRPr="00CE01BB">
        <w:rPr>
          <w:shd w:val="clear" w:color="auto" w:fill="FFFFFF"/>
        </w:rPr>
        <w:t>дискусията, организирана от омбудсмана с участието на Комисията и Парламента, относно съблюдаването на уредбата за почтеност на администрацията на ЕС;</w:t>
      </w:r>
    </w:p>
    <w:p w:rsidR="0041274F" w:rsidRPr="00CE01BB" w:rsidRDefault="0041274F" w:rsidP="0041274F">
      <w:pPr>
        <w:pStyle w:val="NormalHanging12a"/>
      </w:pPr>
      <w:r w:rsidRPr="00CE01BB">
        <w:t>24.</w:t>
      </w:r>
      <w:r w:rsidRPr="00CE01BB">
        <w:tab/>
        <w:t xml:space="preserve">посреща със задоволство разследванията на омбудсмана по жалби на лица с увреждания и насърчава работата на омбудсмана като активен участник в рамката на ЕС за Конвенцията на ООН за правата на хората с увреждания; подчертава значението на ангажимента на омбудсмана да следи прилагането от страна на администрацията на ЕС на Конвенцията на ООН за правата на хората с увреждания </w:t>
      </w:r>
      <w:r w:rsidRPr="00CE01BB">
        <w:rPr>
          <w:rStyle w:val="Aucun"/>
          <w:color w:val="000000"/>
        </w:rPr>
        <w:t>и призовава всички институции на ЕС</w:t>
      </w:r>
      <w:r w:rsidRPr="00CE01BB">
        <w:t xml:space="preserve"> да </w:t>
      </w:r>
      <w:r w:rsidRPr="00CE01BB">
        <w:rPr>
          <w:shd w:val="clear" w:color="auto" w:fill="FFFFFF"/>
        </w:rPr>
        <w:t>обърнат специално внимание на препоръките на омбудсмана в рамките на разследванията, свързани с правата на хората с увреждания</w:t>
      </w:r>
      <w:r w:rsidRPr="00CE01BB">
        <w:t>; оценява високо председателството на омбудсмана г-жа О’Райли през 2023 г. на рамката на ЕС за Конвенцията на ООН за правата на хората с увреждания и продължаващата ѝ работа като член на тази рамка;</w:t>
      </w:r>
    </w:p>
    <w:p w:rsidR="0041274F" w:rsidRPr="00CE01BB" w:rsidRDefault="0041274F" w:rsidP="0041274F">
      <w:pPr>
        <w:pStyle w:val="NormalHanging12a"/>
      </w:pPr>
      <w:r w:rsidRPr="00CE01BB">
        <w:t>25.</w:t>
      </w:r>
      <w:r w:rsidRPr="00CE01BB">
        <w:tab/>
        <w:t>подчертава, че Европейският акт за достъпността</w:t>
      </w:r>
      <w:r w:rsidRPr="00CE01BB">
        <w:rPr>
          <w:vertAlign w:val="superscript"/>
        </w:rPr>
        <w:footnoteReference w:id="9"/>
      </w:r>
      <w:r w:rsidRPr="00CE01BB">
        <w:t xml:space="preserve"> беше приет на 17 април 2019 г. и че определеният в него краен срок за транспонирането му от държавите членки беше 28 юни 2022 г.; подчертава, че основната цел на Европейския акт за достъпността е да улесни живота на най-малко 87 милиона души с увреждания, като улесни достъпа им, наред с другото, до обществения транспорт, банковите услуги и ползването на компютри, телевизори, електронни книги и онлайн магазини; изразява дълбоко съжаление, че нито една държава членка все още не е успяла да осигури пълното и последователно транспониране на акта и че продължават да се натрупват забавяния, както се потвърждава от висящите производства за установяване на неизпълнение на задължения, започнати срещу всички държави членки от Комисията; призовава омбудсмана – като част от цялостните дейности, извършвани по линия на рамката на ЕС за Конвенцията на ООН за правата на хората с увреждания – да повдигне въпроса за това много тежко нарушение на правото на ЕС, което сериозно възпрепятства правата на хората с увреждания, така че да спомогне за приоритетното му разрешаване;</w:t>
      </w:r>
    </w:p>
    <w:p w:rsidR="0041274F" w:rsidRPr="00CE01BB" w:rsidRDefault="0041274F" w:rsidP="0041274F">
      <w:pPr>
        <w:pStyle w:val="NormalHanging12a"/>
      </w:pPr>
      <w:r w:rsidRPr="00CE01BB">
        <w:t>26.</w:t>
      </w:r>
      <w:r w:rsidRPr="00CE01BB">
        <w:tab/>
        <w:t>посреща със задоволство разследването на омбудсмана относно начина, по който Комисията прилага правилото относно удвояването на детските надбавки за подпомагане на децата с увреждания съгласно Правилника за длъжностните лица на ЕС; във връзка с това приветства инициативата на Комисията за преразглеждане от страна на цялата администрация на ЕС на приложимите правила, за да се гарантира, че всички заявления за този вид надбавки се оценяват поотделно и по същество;</w:t>
      </w:r>
    </w:p>
    <w:p w:rsidR="0041274F" w:rsidRPr="00CE01BB" w:rsidRDefault="0041274F" w:rsidP="0041274F">
      <w:pPr>
        <w:pStyle w:val="NormalHanging12a"/>
      </w:pPr>
      <w:r w:rsidRPr="00CE01BB">
        <w:t>27.</w:t>
      </w:r>
      <w:r w:rsidRPr="00CE01BB">
        <w:tab/>
        <w:t xml:space="preserve">подчертава значението на Европейската мрежа на омбудсманите (ЕМО) и на годишните заседания, провеждани с националните и регионалните омбудсмани с помощта на ЕМО, за допълнителното повишаване на осведомеността за това, което Европейският омбудсман може да направи за европейските граждани; </w:t>
      </w:r>
      <w:r w:rsidRPr="00CE01BB">
        <w:lastRenderedPageBreak/>
        <w:t>насърчава омбудсмана да продължи да участва в обмена на опит и най-добри практики с националните омбудсмани чрез ЕМО; отбелязва, че по време на годишната конференция на ЕМО през 2023 г. вниманието беше съсредоточено върху защитата на правата на човека и разглеждането на ползите и потенциалните недостатъци при използването на ИИ в публичната администрация;</w:t>
      </w:r>
      <w:r w:rsidRPr="00CE01BB">
        <w:rPr>
          <w:b/>
          <w:i/>
        </w:rPr>
        <w:t> </w:t>
      </w:r>
      <w:r w:rsidRPr="00CE01BB">
        <w:t>насърчава организациите на гражданското общество да използват по-добре услугите на Европейския омбудсман във връзка с контрола над институциите на ЕС, осигуряването на прозрачност и разглеждането на случаи на неспазване на правото на Съюза;</w:t>
      </w:r>
      <w:r w:rsidR="004A120D" w:rsidRPr="00CE01BB">
        <w:t xml:space="preserve"> приветства присъединяването на институцията на омбудсмана по правата на човека на Босна и Херцеговина към ЕМО; призовава омбудсмана да засили сътрудничеството със службите на националните омбудсмани на страните кандидатки за членство в ЕС, за да се повиши капацитетът на публичните органи на тези държави за привеждане в съответствие със ста</w:t>
      </w:r>
      <w:bookmarkStart w:id="7" w:name="_GoBack"/>
      <w:bookmarkEnd w:id="7"/>
      <w:r w:rsidR="004A120D" w:rsidRPr="00CE01BB">
        <w:t>ндартите на ЕС за добра администрация, почтеност и отчетност;</w:t>
      </w:r>
    </w:p>
    <w:p w:rsidR="0041274F" w:rsidRPr="00CE01BB" w:rsidRDefault="0041274F" w:rsidP="0041274F">
      <w:pPr>
        <w:pStyle w:val="NormalHanging12a"/>
        <w:rPr>
          <w:szCs w:val="24"/>
        </w:rPr>
      </w:pPr>
      <w:r w:rsidRPr="00CE01BB">
        <w:t>28.</w:t>
      </w:r>
      <w:r w:rsidRPr="00CE01BB">
        <w:tab/>
        <w:t>призовава за продължаване на тясното сътрудничество между омбудсмана и комисията по петиции на Европейския парламент, чиято обща мисия е да доближат институциите на ЕС до гражданите; изразява високата си признателност за вниманието, което омбудсманът г-жа О’Райли отделя за всички жалби и за последващите действия, свързани с тях, включително за това, че тя препраща жалбите, които попадат извън обхвата на нейната компетентност, но които засягат прилагането на законодателството на ЕС, на засегнатите органи или на комисията по петиции на Европейския парламент; насърчава службата на омбудсмана да продължи усилията си в тази насока, като се има предвид, че сътрудничеството с комисията по петиции, навременната информация и достъпът до документи на всички 24 официални езика на ЕС могат да активизират ефективното участие на гражданите и гражданското общество в процеса на вземане на решения;</w:t>
      </w:r>
    </w:p>
    <w:p w:rsidR="0041274F" w:rsidRPr="00CE01BB" w:rsidRDefault="0041274F" w:rsidP="0041274F">
      <w:pPr>
        <w:pStyle w:val="NormalHanging12a"/>
      </w:pPr>
      <w:r w:rsidRPr="00CE01BB">
        <w:t>29.</w:t>
      </w:r>
      <w:r w:rsidRPr="00CE01BB">
        <w:tab/>
        <w:t>посреща със задоволство факта, че през 2023 г. процентът на положителните отговори на институциите на ЕС на общия брой предложения на омбудсмана за коригиране или подобряване на техните административни практики беше 81%, което представлява подобрение спрямо предходната година; изразява твърдото си убеждение обаче, че институциите, агенциите, органите и службите на Съюза трябва да изпълняват напълно и последователно всички решения, препоръки и предложения на омбудсмана;</w:t>
      </w:r>
    </w:p>
    <w:p w:rsidR="0041274F" w:rsidRPr="00CE01BB" w:rsidRDefault="0041274F" w:rsidP="0041274F">
      <w:pPr>
        <w:pStyle w:val="NormalHanging12a"/>
      </w:pPr>
      <w:r w:rsidRPr="00CE01BB">
        <w:rPr>
          <w:shd w:val="clear" w:color="auto" w:fill="FFFFFF"/>
        </w:rPr>
        <w:t>30.</w:t>
      </w:r>
      <w:r w:rsidRPr="00CE01BB">
        <w:rPr>
          <w:shd w:val="clear" w:color="auto" w:fill="FFFFFF"/>
        </w:rPr>
        <w:tab/>
      </w:r>
      <w:r w:rsidRPr="00CE01BB">
        <w:rPr>
          <w:color w:val="000000"/>
          <w:shd w:val="clear" w:color="auto" w:fill="FFFFFF"/>
        </w:rPr>
        <w:t>поздравява</w:t>
      </w:r>
      <w:r w:rsidRPr="00CE01BB">
        <w:t xml:space="preserve"> омбудсмана О’Райли за непрекъснатите ѝ конструктивни работни отношения с Комисията, която е институцията на ЕС, която е обект на по-голямата част от разследванията на омбудсмана; отбелязва, че тези отношения помагат на Комисията да повиши ефикасността и прозрачността на административните си процедури;</w:t>
      </w:r>
    </w:p>
    <w:p w:rsidR="0041274F" w:rsidRPr="00CE01BB" w:rsidRDefault="0041274F" w:rsidP="0041274F">
      <w:pPr>
        <w:pStyle w:val="NormalHanging12a"/>
      </w:pPr>
      <w:r w:rsidRPr="00CE01BB">
        <w:t>31.</w:t>
      </w:r>
      <w:r w:rsidRPr="00CE01BB">
        <w:tab/>
        <w:t>оценява и приветства усилията на омбудсмана О’Райли и нейната служба за постоянно подобряване на вътрешните им процедури с цел да гарантират, че жалбоподателите имат максимални ползи и че жалбите се разглеждат по възможно най-ефикасния начин; насърчава усилията на омбудсмана О’Райли за допълнително повишаване на видимостта на нейните дейности и посреща със задоволство подобренията в онлайн системата на омбудсмана за подаване на жалби, които улесниха нейното ползване; приветства многоезичния уебсайт на омбудсмана, който отразява ангажимента на омбудсмана да предлага съдействие на 24-те официални езика на ЕС;</w:t>
      </w:r>
      <w:r w:rsidRPr="00CE01BB">
        <w:rPr>
          <w:b/>
          <w:i/>
        </w:rPr>
        <w:t> </w:t>
      </w:r>
      <w:r w:rsidRPr="00CE01BB">
        <w:t xml:space="preserve">подчертава, че е важно да се гарантира пълен </w:t>
      </w:r>
      <w:r w:rsidRPr="00CE01BB">
        <w:lastRenderedPageBreak/>
        <w:t xml:space="preserve">достъп за хората с увреждания до целия набор от ресурси, предоставяни от ЕС на неговите граждани, особено чрез системни услуги за писмен и устен превод, предлагани на всички официални езици, включително на </w:t>
      </w:r>
      <w:proofErr w:type="spellStart"/>
      <w:r w:rsidRPr="00CE01BB">
        <w:t>жестомимичен</w:t>
      </w:r>
      <w:proofErr w:type="spellEnd"/>
      <w:r w:rsidRPr="00CE01BB">
        <w:t xml:space="preserve"> език;</w:t>
      </w:r>
    </w:p>
    <w:p w:rsidR="0041274F" w:rsidRPr="00CE01BB" w:rsidRDefault="0041274F" w:rsidP="00DB18AA">
      <w:pPr>
        <w:pStyle w:val="NormalHanging12a"/>
        <w:rPr>
          <w:rFonts w:ascii="Arial" w:hAnsi="Arial" w:cs="Arial"/>
          <w:b/>
        </w:rPr>
      </w:pPr>
      <w:r w:rsidRPr="00CE01BB">
        <w:t>32.</w:t>
      </w:r>
      <w:r w:rsidRPr="00CE01BB">
        <w:tab/>
        <w:t>възлага на своя председател да предаде настоящата резолюция и доклада на комисията по петиции съответно на Съвета, Комисията, Европейския омбудсман, правителствата и парламентите на държавите членки, както и на техните омбудсмани или сходни компетентни органи.</w:t>
      </w:r>
    </w:p>
    <w:p w:rsidR="00E365E1" w:rsidRPr="00CE01BB" w:rsidRDefault="00E365E1" w:rsidP="0041274F"/>
    <w:sectPr w:rsidR="00E365E1" w:rsidRPr="00CE01BB" w:rsidSect="00C061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FE7" w:rsidRPr="00C061B2" w:rsidRDefault="00331FE7">
      <w:r w:rsidRPr="00C061B2">
        <w:separator/>
      </w:r>
    </w:p>
  </w:endnote>
  <w:endnote w:type="continuationSeparator" w:id="0">
    <w:p w:rsidR="00331FE7" w:rsidRPr="00C061B2" w:rsidRDefault="00331FE7">
      <w:r w:rsidRPr="00C061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FE7" w:rsidRPr="00C061B2" w:rsidRDefault="00331FE7">
      <w:r w:rsidRPr="00C061B2">
        <w:separator/>
      </w:r>
    </w:p>
  </w:footnote>
  <w:footnote w:type="continuationSeparator" w:id="0">
    <w:p w:rsidR="00331FE7" w:rsidRPr="00C061B2" w:rsidRDefault="00331FE7">
      <w:r w:rsidRPr="00C061B2">
        <w:continuationSeparator/>
      </w:r>
    </w:p>
  </w:footnote>
  <w:footnote w:id="1">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lang w:val="bg-BG"/>
        </w:rPr>
        <w:t xml:space="preserve"> </w:t>
      </w:r>
      <w:r w:rsidR="00C061B2" w:rsidRPr="00C061B2">
        <w:rPr>
          <w:sz w:val="24"/>
          <w:lang w:val="bg-BG"/>
        </w:rPr>
        <w:tab/>
      </w:r>
      <w:r w:rsidRPr="00C061B2">
        <w:rPr>
          <w:sz w:val="24"/>
          <w:lang w:val="bg-BG"/>
        </w:rPr>
        <w:t xml:space="preserve">ОВ L 253, 16.7.2021 г., стр. 1, </w:t>
      </w:r>
      <w:r w:rsidRPr="00C061B2">
        <w:rPr>
          <w:sz w:val="24"/>
          <w:shd w:val="clear" w:color="auto" w:fill="FFFFFF"/>
          <w:lang w:val="bg-BG"/>
        </w:rPr>
        <w:t>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C061B2">
          <w:rPr>
            <w:sz w:val="24"/>
            <w:shd w:val="clear" w:color="auto" w:fill="FFFFFF"/>
            <w:lang w:val="bg-BG"/>
          </w:rPr>
          <w:t>http://data.europa.eu/eli/reg/2021/1163/oj</w:t>
        </w:r>
      </w:hyperlink>
      <w:r w:rsidRPr="00C061B2">
        <w:rPr>
          <w:sz w:val="24"/>
          <w:lang w:val="bg-BG"/>
        </w:rPr>
        <w:t>.</w:t>
      </w:r>
    </w:p>
  </w:footnote>
  <w:footnote w:id="2">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lang w:val="bg-BG"/>
        </w:rPr>
        <w:t xml:space="preserve"> </w:t>
      </w:r>
      <w:r w:rsidR="00C061B2" w:rsidRPr="00C061B2">
        <w:rPr>
          <w:sz w:val="24"/>
          <w:lang w:val="bg-BG"/>
        </w:rPr>
        <w:tab/>
      </w:r>
      <w:r w:rsidRPr="00C061B2">
        <w:rPr>
          <w:sz w:val="24"/>
          <w:lang w:val="bg-BG"/>
        </w:rPr>
        <w:t xml:space="preserve">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w:t>
      </w:r>
      <w:r w:rsidR="00DB18AA">
        <w:rPr>
          <w:sz w:val="24"/>
          <w:lang w:val="bg-BG"/>
        </w:rPr>
        <w:t>(</w:t>
      </w:r>
      <w:r w:rsidRPr="00C061B2">
        <w:rPr>
          <w:sz w:val="24"/>
          <w:lang w:val="bg-BG"/>
        </w:rPr>
        <w:t xml:space="preserve">OВ L 145, 31.5.2001 г., стр. 43, </w:t>
      </w:r>
      <w:r w:rsidRPr="00C061B2">
        <w:rPr>
          <w:sz w:val="24"/>
          <w:shd w:val="clear" w:color="auto" w:fill="FFFFFF"/>
          <w:lang w:val="bg-BG"/>
        </w:rPr>
        <w:t>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C061B2">
          <w:rPr>
            <w:sz w:val="24"/>
            <w:shd w:val="clear" w:color="auto" w:fill="FFFFFF"/>
            <w:lang w:val="bg-BG"/>
          </w:rPr>
          <w:t>http://data.europa.eu/eli/reg/2001/1049/oj</w:t>
        </w:r>
      </w:hyperlink>
      <w:r w:rsidR="00DB18AA">
        <w:rPr>
          <w:sz w:val="24"/>
          <w:shd w:val="clear" w:color="auto" w:fill="FFFFFF"/>
          <w:lang w:val="bg-BG"/>
        </w:rPr>
        <w:t>)</w:t>
      </w:r>
      <w:r w:rsidRPr="00C061B2">
        <w:rPr>
          <w:sz w:val="24"/>
          <w:lang w:val="bg-BG"/>
        </w:rPr>
        <w:t>.</w:t>
      </w:r>
    </w:p>
  </w:footnote>
  <w:footnote w:id="3">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shd w:val="clear" w:color="auto" w:fill="FFFFFF"/>
          <w:lang w:val="bg-BG"/>
        </w:rPr>
        <w:t xml:space="preserve"> </w:t>
      </w:r>
      <w:r w:rsidR="00C061B2" w:rsidRPr="00C061B2">
        <w:rPr>
          <w:sz w:val="24"/>
          <w:shd w:val="clear" w:color="auto" w:fill="FFFFFF"/>
          <w:lang w:val="bg-BG"/>
        </w:rPr>
        <w:tab/>
      </w:r>
      <w:r w:rsidRPr="00C061B2">
        <w:rPr>
          <w:sz w:val="24"/>
          <w:shd w:val="clear" w:color="auto" w:fill="FFFFFF"/>
          <w:lang w:val="bg-BG"/>
        </w:rPr>
        <w:t>ОВ C, C/2024/6560, 12.11.2024 г., ELI: </w:t>
      </w:r>
      <w:hyperlink r:id="rId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C061B2">
          <w:rPr>
            <w:sz w:val="24"/>
            <w:lang w:val="bg-BG"/>
          </w:rPr>
          <w:t>http://data.europa.eu/eli/C/2024/6560/oj</w:t>
        </w:r>
      </w:hyperlink>
      <w:r w:rsidRPr="00C061B2">
        <w:rPr>
          <w:sz w:val="24"/>
          <w:lang w:val="bg-BG"/>
        </w:rPr>
        <w:t>.</w:t>
      </w:r>
    </w:p>
  </w:footnote>
  <w:footnote w:id="4">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lang w:val="bg-BG"/>
        </w:rPr>
        <w:t xml:space="preserve"> </w:t>
      </w:r>
      <w:r w:rsidR="00C061B2" w:rsidRPr="00C061B2">
        <w:rPr>
          <w:sz w:val="24"/>
          <w:lang w:val="bg-BG"/>
        </w:rPr>
        <w:tab/>
      </w:r>
      <w:r w:rsidRPr="00C061B2">
        <w:rPr>
          <w:sz w:val="24"/>
          <w:lang w:val="bg-BG"/>
        </w:rPr>
        <w:t xml:space="preserve">Законодателна резолюция на Европейския парламент от 15 декември 2011 г. относно предложението за регламент на Европейския парламент и на Съвета относно публичния достъп до документи на Европейския парламент, на Съвета и на Комисията (преработен), член 3: </w:t>
      </w:r>
      <w:hyperlink r:id="rId4" w:history="1">
        <w:r w:rsidRPr="00C061B2">
          <w:rPr>
            <w:rStyle w:val="Hyperlink"/>
            <w:sz w:val="24"/>
            <w:lang w:val="bg-BG"/>
          </w:rPr>
          <w:t>https://www.europarl.europa.eu/doceo/document/TA-7-2011-0580_BG.pdf</w:t>
        </w:r>
      </w:hyperlink>
      <w:r w:rsidRPr="00C061B2">
        <w:rPr>
          <w:sz w:val="24"/>
          <w:lang w:val="bg-BG"/>
        </w:rPr>
        <w:t>.</w:t>
      </w:r>
    </w:p>
  </w:footnote>
  <w:footnote w:id="5">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lang w:val="bg-BG"/>
        </w:rPr>
        <w:t xml:space="preserve"> </w:t>
      </w:r>
      <w:r w:rsidR="00C061B2" w:rsidRPr="00C061B2">
        <w:rPr>
          <w:sz w:val="24"/>
          <w:lang w:val="bg-BG"/>
        </w:rPr>
        <w:tab/>
      </w:r>
      <w:hyperlink r:id="rId5" w:history="1">
        <w:r w:rsidRPr="00C061B2">
          <w:rPr>
            <w:rStyle w:val="Hyperlink"/>
            <w:sz w:val="24"/>
            <w:lang w:val="bg-BG"/>
          </w:rPr>
          <w:t>https://www.ombudsman.europa.eu/en/decision/en/69206</w:t>
        </w:r>
      </w:hyperlink>
      <w:r w:rsidRPr="00C061B2">
        <w:rPr>
          <w:sz w:val="24"/>
          <w:lang w:val="bg-BG"/>
        </w:rPr>
        <w:t>.</w:t>
      </w:r>
    </w:p>
  </w:footnote>
  <w:footnote w:id="6">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lang w:val="bg-BG"/>
        </w:rPr>
        <w:t xml:space="preserve"> </w:t>
      </w:r>
      <w:r w:rsidR="00C061B2" w:rsidRPr="00C061B2">
        <w:rPr>
          <w:sz w:val="24"/>
          <w:lang w:val="bg-BG"/>
        </w:rPr>
        <w:tab/>
      </w:r>
      <w:r w:rsidRPr="00C061B2">
        <w:rPr>
          <w:sz w:val="24"/>
          <w:lang w:val="bg-BG"/>
        </w:rPr>
        <w:t>Специален доклад на Европейския омбудсман в рамките на стратегическо разследване относно времето, необходимо на Комисията за разглеждане на заявленията за публичен достъп до документи (OI/2/2022/OAM).</w:t>
      </w:r>
    </w:p>
  </w:footnote>
  <w:footnote w:id="7">
    <w:p w:rsidR="0041274F" w:rsidRPr="00DB18AA" w:rsidRDefault="0041274F" w:rsidP="00C061B2">
      <w:pPr>
        <w:pStyle w:val="FootnoteText"/>
        <w:ind w:left="567" w:hanging="567"/>
        <w:rPr>
          <w:sz w:val="24"/>
          <w:lang w:val="bg-BG"/>
        </w:rPr>
      </w:pPr>
      <w:r w:rsidRPr="00C061B2">
        <w:rPr>
          <w:rStyle w:val="FootnoteReference"/>
          <w:sz w:val="24"/>
          <w:lang w:val="bg-BG"/>
        </w:rPr>
        <w:footnoteRef/>
      </w:r>
      <w:r w:rsidR="00C061B2" w:rsidRPr="00C061B2">
        <w:rPr>
          <w:rStyle w:val="Emphasis"/>
          <w:sz w:val="24"/>
          <w:shd w:val="clear" w:color="auto" w:fill="FFFFFF"/>
          <w:lang w:val="bg-BG"/>
        </w:rPr>
        <w:t xml:space="preserve"> </w:t>
      </w:r>
      <w:r w:rsidR="00C061B2" w:rsidRPr="00C061B2">
        <w:rPr>
          <w:rStyle w:val="Emphasis"/>
          <w:sz w:val="24"/>
          <w:shd w:val="clear" w:color="auto" w:fill="FFFFFF"/>
          <w:lang w:val="bg-BG"/>
        </w:rPr>
        <w:tab/>
      </w:r>
      <w:r w:rsidRPr="004A120D">
        <w:rPr>
          <w:rStyle w:val="Emphasis"/>
          <w:i w:val="0"/>
          <w:iCs w:val="0"/>
          <w:sz w:val="24"/>
          <w:shd w:val="clear" w:color="auto" w:fill="FFFFFF"/>
          <w:lang w:val="bg-BG"/>
        </w:rPr>
        <w:t>ОВ L 264, 25.9.2006 г., стр. 13,</w:t>
      </w:r>
      <w:r w:rsidRPr="00DB18AA">
        <w:rPr>
          <w:sz w:val="24"/>
          <w:shd w:val="clear" w:color="auto" w:fill="FFFFFF"/>
          <w:lang w:val="bg-BG"/>
        </w:rPr>
        <w:t xml:space="preserve"> ELI: </w:t>
      </w:r>
      <w:hyperlink r:id="rId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B18AA">
          <w:rPr>
            <w:sz w:val="24"/>
            <w:shd w:val="clear" w:color="auto" w:fill="FFFFFF"/>
            <w:lang w:val="bg-BG"/>
          </w:rPr>
          <w:t>http://data.europa.eu/eli/reg/2006/1367/oj</w:t>
        </w:r>
      </w:hyperlink>
      <w:r w:rsidRPr="00DB18AA">
        <w:rPr>
          <w:sz w:val="24"/>
          <w:lang w:val="bg-BG"/>
        </w:rPr>
        <w:t>.</w:t>
      </w:r>
    </w:p>
  </w:footnote>
  <w:footnote w:id="8">
    <w:p w:rsidR="0041274F" w:rsidRPr="00DB18AA" w:rsidRDefault="0041274F" w:rsidP="00C061B2">
      <w:pPr>
        <w:pStyle w:val="FootnoteText"/>
        <w:ind w:left="567" w:hanging="567"/>
        <w:rPr>
          <w:sz w:val="24"/>
          <w:lang w:val="bg-BG"/>
        </w:rPr>
      </w:pPr>
      <w:r w:rsidRPr="00DB18AA">
        <w:rPr>
          <w:rStyle w:val="FootnoteReference"/>
          <w:sz w:val="24"/>
          <w:lang w:val="bg-BG"/>
        </w:rPr>
        <w:footnoteRef/>
      </w:r>
      <w:r w:rsidR="00C061B2" w:rsidRPr="004A120D">
        <w:rPr>
          <w:rStyle w:val="Emphasis"/>
          <w:i w:val="0"/>
          <w:iCs w:val="0"/>
          <w:sz w:val="24"/>
          <w:shd w:val="clear" w:color="auto" w:fill="FFFFFF"/>
          <w:lang w:val="bg-BG"/>
        </w:rPr>
        <w:t xml:space="preserve"> </w:t>
      </w:r>
      <w:r w:rsidR="00C061B2" w:rsidRPr="004A120D">
        <w:rPr>
          <w:rStyle w:val="Emphasis"/>
          <w:i w:val="0"/>
          <w:iCs w:val="0"/>
          <w:sz w:val="24"/>
          <w:shd w:val="clear" w:color="auto" w:fill="FFFFFF"/>
          <w:lang w:val="bg-BG"/>
        </w:rPr>
        <w:tab/>
      </w:r>
      <w:r w:rsidRPr="004A120D">
        <w:rPr>
          <w:rStyle w:val="Emphasis"/>
          <w:i w:val="0"/>
          <w:iCs w:val="0"/>
          <w:sz w:val="24"/>
          <w:shd w:val="clear" w:color="auto" w:fill="FFFFFF"/>
          <w:lang w:val="bg-BG"/>
        </w:rPr>
        <w:t>ОВ L 275, 25.10.2022 г., стр. 33,</w:t>
      </w:r>
      <w:r w:rsidRPr="00DB18AA">
        <w:rPr>
          <w:sz w:val="24"/>
          <w:shd w:val="clear" w:color="auto" w:fill="FFFFFF"/>
          <w:lang w:val="bg-BG"/>
        </w:rPr>
        <w:t xml:space="preserve"> ELI: </w:t>
      </w:r>
      <w:hyperlink r:id="rId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B18AA">
          <w:rPr>
            <w:sz w:val="24"/>
            <w:shd w:val="clear" w:color="auto" w:fill="FFFFFF"/>
            <w:lang w:val="bg-BG"/>
          </w:rPr>
          <w:t>http://data.europa.eu/eli/dir/2022/2041/oj</w:t>
        </w:r>
      </w:hyperlink>
      <w:r w:rsidRPr="00DB18AA">
        <w:rPr>
          <w:sz w:val="24"/>
          <w:lang w:val="bg-BG"/>
        </w:rPr>
        <w:t>.</w:t>
      </w:r>
    </w:p>
  </w:footnote>
  <w:footnote w:id="9">
    <w:p w:rsidR="0041274F" w:rsidRPr="00C061B2" w:rsidRDefault="0041274F" w:rsidP="00C061B2">
      <w:pPr>
        <w:pStyle w:val="FootnoteText"/>
        <w:ind w:left="567" w:hanging="567"/>
        <w:rPr>
          <w:sz w:val="24"/>
          <w:lang w:val="bg-BG"/>
        </w:rPr>
      </w:pPr>
      <w:r w:rsidRPr="00C061B2">
        <w:rPr>
          <w:rStyle w:val="FootnoteReference"/>
          <w:sz w:val="24"/>
          <w:lang w:val="bg-BG"/>
        </w:rPr>
        <w:footnoteRef/>
      </w:r>
      <w:r w:rsidR="00C061B2" w:rsidRPr="00C061B2">
        <w:rPr>
          <w:sz w:val="24"/>
          <w:lang w:val="bg-BG"/>
        </w:rPr>
        <w:t xml:space="preserve"> </w:t>
      </w:r>
      <w:r w:rsidR="00C061B2" w:rsidRPr="00C061B2">
        <w:rPr>
          <w:sz w:val="24"/>
          <w:lang w:val="bg-BG"/>
        </w:rPr>
        <w:tab/>
      </w:r>
      <w:r w:rsidRPr="00C061B2">
        <w:rPr>
          <w:sz w:val="24"/>
          <w:lang w:val="bg-BG"/>
        </w:rPr>
        <w:t>Директива (ЕС) 2019/882 на Европейския парламент и на Съвета от 17 април 2019 г. за изискванията за достъпност на продукти и услуги</w:t>
      </w:r>
      <w:r w:rsidRPr="00C061B2">
        <w:rPr>
          <w:sz w:val="24"/>
          <w:shd w:val="clear" w:color="auto" w:fill="FFFFFF"/>
          <w:lang w:val="bg-BG"/>
        </w:rPr>
        <w:t xml:space="preserve"> </w:t>
      </w:r>
      <w:r w:rsidR="00DB18AA">
        <w:rPr>
          <w:sz w:val="24"/>
          <w:shd w:val="clear" w:color="auto" w:fill="FFFFFF"/>
          <w:lang w:val="bg-BG"/>
        </w:rPr>
        <w:t>(</w:t>
      </w:r>
      <w:r w:rsidRPr="004A120D">
        <w:rPr>
          <w:rStyle w:val="Emphasis"/>
          <w:i w:val="0"/>
          <w:iCs w:val="0"/>
          <w:sz w:val="24"/>
          <w:shd w:val="clear" w:color="auto" w:fill="FFFFFF"/>
          <w:lang w:val="bg-BG"/>
        </w:rPr>
        <w:t>OB L 151, 7.6.2019 г.,</w:t>
      </w:r>
      <w:r w:rsidRPr="00C061B2">
        <w:rPr>
          <w:sz w:val="24"/>
          <w:shd w:val="clear" w:color="auto" w:fill="FFFFFF"/>
          <w:lang w:val="bg-BG"/>
        </w:rPr>
        <w:t xml:space="preserve"> стр. 70, ELI: </w:t>
      </w:r>
      <w:hyperlink r:id="rId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C061B2">
          <w:rPr>
            <w:sz w:val="24"/>
            <w:shd w:val="clear" w:color="auto" w:fill="FFFFFF"/>
            <w:lang w:val="bg-BG"/>
          </w:rPr>
          <w:t>http://data.europa.eu/eli/dir/2019/882/oj</w:t>
        </w:r>
      </w:hyperlink>
      <w:r w:rsidR="00DB18AA">
        <w:rPr>
          <w:sz w:val="24"/>
          <w:shd w:val="clear" w:color="auto" w:fill="FFFFFF"/>
          <w:lang w:val="bg-BG"/>
        </w:rPr>
        <w:t>)</w:t>
      </w:r>
      <w:r w:rsidRPr="00C061B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BG"/>
    <w:docVar w:name="dvnumam" w:val="0"/>
    <w:docVar w:name="dvpe" w:val="763.122"/>
    <w:docVar w:name="dvrapporteur" w:val="Докладчик: "/>
    <w:docVar w:name="dvtitre" w:val="Резолюция на Европейския парламент от ... 2024 г. относно годишния доклад за дейностите на Европейския омбудсман през 2023 г.(2024/2056(INI))"/>
  </w:docVars>
  <w:rsids>
    <w:rsidRoot w:val="00331FE7"/>
    <w:rsid w:val="00002272"/>
    <w:rsid w:val="00064002"/>
    <w:rsid w:val="000677B9"/>
    <w:rsid w:val="000831BA"/>
    <w:rsid w:val="000A42CC"/>
    <w:rsid w:val="000E7DD9"/>
    <w:rsid w:val="0010095E"/>
    <w:rsid w:val="00125B37"/>
    <w:rsid w:val="00187494"/>
    <w:rsid w:val="001F32AE"/>
    <w:rsid w:val="002767FF"/>
    <w:rsid w:val="002B18FE"/>
    <w:rsid w:val="002B5493"/>
    <w:rsid w:val="00331FE7"/>
    <w:rsid w:val="00343214"/>
    <w:rsid w:val="00361C00"/>
    <w:rsid w:val="00395FA1"/>
    <w:rsid w:val="003E15D4"/>
    <w:rsid w:val="00411CCE"/>
    <w:rsid w:val="0041274F"/>
    <w:rsid w:val="0041666E"/>
    <w:rsid w:val="00421060"/>
    <w:rsid w:val="00471C19"/>
    <w:rsid w:val="004867E3"/>
    <w:rsid w:val="00494A28"/>
    <w:rsid w:val="004A120D"/>
    <w:rsid w:val="004C0004"/>
    <w:rsid w:val="004C5D52"/>
    <w:rsid w:val="0050519A"/>
    <w:rsid w:val="005072A1"/>
    <w:rsid w:val="00514517"/>
    <w:rsid w:val="00545827"/>
    <w:rsid w:val="00560270"/>
    <w:rsid w:val="005C2568"/>
    <w:rsid w:val="005F1B17"/>
    <w:rsid w:val="006037C0"/>
    <w:rsid w:val="006631B6"/>
    <w:rsid w:val="00680577"/>
    <w:rsid w:val="006D1EB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1B2"/>
    <w:rsid w:val="00C23CD4"/>
    <w:rsid w:val="00C61C0C"/>
    <w:rsid w:val="00C941CB"/>
    <w:rsid w:val="00CC2357"/>
    <w:rsid w:val="00CE01BB"/>
    <w:rsid w:val="00CF071A"/>
    <w:rsid w:val="00D058B8"/>
    <w:rsid w:val="00D56C11"/>
    <w:rsid w:val="00D834A0"/>
    <w:rsid w:val="00D872DF"/>
    <w:rsid w:val="00D91E21"/>
    <w:rsid w:val="00DA7FCD"/>
    <w:rsid w:val="00DB18A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76C570-6A3A-4061-AF38-667E7522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1274F"/>
    <w:pPr>
      <w:spacing w:before="480" w:after="240"/>
    </w:pPr>
  </w:style>
  <w:style w:type="paragraph" w:customStyle="1" w:styleId="NormalHanging12a">
    <w:name w:val="NormalHanging12a"/>
    <w:basedOn w:val="Normal"/>
    <w:link w:val="NormalHanging12aChar"/>
    <w:rsid w:val="0041274F"/>
    <w:pPr>
      <w:spacing w:after="240"/>
      <w:ind w:left="567" w:hanging="567"/>
    </w:pPr>
  </w:style>
  <w:style w:type="character" w:styleId="Hyperlink">
    <w:name w:val="Hyperlink"/>
    <w:basedOn w:val="DefaultParagraphFont"/>
    <w:uiPriority w:val="99"/>
    <w:unhideWhenUsed/>
    <w:rsid w:val="0041274F"/>
    <w:rPr>
      <w:color w:val="0000FF"/>
      <w:u w:val="single"/>
    </w:rPr>
  </w:style>
  <w:style w:type="character" w:customStyle="1" w:styleId="NormalHanging12aChar">
    <w:name w:val="NormalHanging12a Char"/>
    <w:basedOn w:val="DefaultParagraphFont"/>
    <w:link w:val="NormalHanging12a"/>
    <w:locked/>
    <w:rsid w:val="0041274F"/>
    <w:rPr>
      <w:sz w:val="24"/>
      <w:lang w:val="bg-BG"/>
    </w:rPr>
  </w:style>
  <w:style w:type="character" w:customStyle="1" w:styleId="graphbold">
    <w:name w:val="graph bold"/>
    <w:basedOn w:val="DefaultParagraphFont"/>
    <w:uiPriority w:val="1"/>
    <w:qFormat/>
    <w:rsid w:val="0041274F"/>
    <w:rPr>
      <w:rFonts w:ascii="Arial" w:hAnsi="Arial" w:cs="Arial" w:hint="default"/>
      <w:b/>
      <w:bCs w:val="0"/>
      <w:sz w:val="16"/>
    </w:rPr>
  </w:style>
  <w:style w:type="character" w:customStyle="1" w:styleId="Aucun">
    <w:name w:val="Aucun"/>
    <w:rsid w:val="0041274F"/>
    <w:rPr>
      <w:lang w:val="bg-BG"/>
    </w:rPr>
  </w:style>
  <w:style w:type="character" w:styleId="Emphasis">
    <w:name w:val="Emphasis"/>
    <w:basedOn w:val="DefaultParagraphFont"/>
    <w:uiPriority w:val="20"/>
    <w:qFormat/>
    <w:rsid w:val="0041274F"/>
    <w:rPr>
      <w:i/>
      <w:iCs/>
    </w:rPr>
  </w:style>
  <w:style w:type="paragraph" w:styleId="BalloonText">
    <w:name w:val="Balloon Text"/>
    <w:basedOn w:val="Normal"/>
    <w:link w:val="BalloonTextChar"/>
    <w:rsid w:val="00DB18AA"/>
    <w:rPr>
      <w:rFonts w:ascii="Segoe UI" w:hAnsi="Segoe UI" w:cs="Segoe UI"/>
      <w:sz w:val="18"/>
      <w:szCs w:val="18"/>
    </w:rPr>
  </w:style>
  <w:style w:type="character" w:customStyle="1" w:styleId="BalloonTextChar">
    <w:name w:val="Balloon Text Char"/>
    <w:basedOn w:val="DefaultParagraphFont"/>
    <w:link w:val="BalloonText"/>
    <w:rsid w:val="00DB18A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B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B7E9B-A8F0-4DC8-9D9B-9B64100E0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4836</Words>
  <Characters>28199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2024-12-17T13:16:00Z</dcterms:created>
  <dcterms:modified xsi:type="dcterms:W3CDTF">2024-12-17T13:16:00Z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A10-0016/2024</vt:lpwstr>
  </property>
  <property fmtid="{D5CDD505-2E9C-101B-9397-08002B2CF9AE}" pid="4" name="&lt;Type&gt;">
    <vt:lpwstr>RR</vt:lpwstr>
  </property>
</Properties>
</file>