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41A3" w:rsidTr="0010095E">
        <w:trPr>
          <w:trHeight w:hRule="exact" w:val="1418"/>
        </w:trPr>
        <w:tc>
          <w:tcPr>
            <w:tcW w:w="6804" w:type="dxa"/>
            <w:shd w:val="clear" w:color="auto" w:fill="auto"/>
            <w:vAlign w:val="center"/>
          </w:tcPr>
          <w:p w:rsidR="00751A4A" w:rsidRPr="009641A3" w:rsidRDefault="00944A6C" w:rsidP="0010095E">
            <w:pPr>
              <w:pStyle w:val="EPName"/>
            </w:pPr>
            <w:bookmarkStart w:id="0" w:name="_GoBack"/>
            <w:bookmarkEnd w:id="0"/>
            <w:r w:rsidRPr="009641A3">
              <w:t>Europa-Parlamentet</w:t>
            </w:r>
          </w:p>
          <w:p w:rsidR="00751A4A" w:rsidRPr="009641A3" w:rsidRDefault="005F1B17" w:rsidP="005F1B17">
            <w:pPr>
              <w:pStyle w:val="EPTerm"/>
              <w:rPr>
                <w:rStyle w:val="HideTWBExt"/>
                <w:noProof w:val="0"/>
                <w:vanish w:val="0"/>
                <w:color w:val="auto"/>
              </w:rPr>
            </w:pPr>
            <w:r w:rsidRPr="009641A3">
              <w:t>2024</w:t>
            </w:r>
            <w:r w:rsidR="00817416" w:rsidRPr="009641A3">
              <w:t>-202</w:t>
            </w:r>
            <w:r w:rsidRPr="009641A3">
              <w:t>9</w:t>
            </w:r>
          </w:p>
        </w:tc>
        <w:tc>
          <w:tcPr>
            <w:tcW w:w="2268" w:type="dxa"/>
            <w:shd w:val="clear" w:color="auto" w:fill="auto"/>
          </w:tcPr>
          <w:p w:rsidR="00751A4A" w:rsidRPr="009641A3" w:rsidRDefault="00187494" w:rsidP="0010095E">
            <w:pPr>
              <w:pStyle w:val="EPLogo"/>
            </w:pPr>
            <w:r w:rsidRPr="009641A3">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41A3" w:rsidRDefault="00D058B8" w:rsidP="004C5D52">
      <w:pPr>
        <w:pStyle w:val="LineTop"/>
      </w:pPr>
    </w:p>
    <w:p w:rsidR="00680577" w:rsidRPr="009641A3" w:rsidRDefault="00944A6C" w:rsidP="00680577">
      <w:pPr>
        <w:pStyle w:val="EPBodyTA1"/>
      </w:pPr>
      <w:r w:rsidRPr="009641A3">
        <w:t>VEDTAGNE TEKSTER</w:t>
      </w:r>
    </w:p>
    <w:p w:rsidR="00D058B8" w:rsidRPr="009641A3" w:rsidRDefault="00D058B8" w:rsidP="00D058B8">
      <w:pPr>
        <w:pStyle w:val="LineBottom"/>
      </w:pPr>
    </w:p>
    <w:p w:rsidR="00944A6C" w:rsidRPr="009641A3" w:rsidRDefault="00944A6C" w:rsidP="00944A6C">
      <w:pPr>
        <w:pStyle w:val="ATHeading1"/>
      </w:pPr>
      <w:bookmarkStart w:id="1" w:name="TANumber"/>
      <w:r w:rsidRPr="009641A3">
        <w:t>P10_</w:t>
      </w:r>
      <w:proofErr w:type="gramStart"/>
      <w:r w:rsidRPr="009641A3">
        <w:t>TA(</w:t>
      </w:r>
      <w:proofErr w:type="gramEnd"/>
      <w:r w:rsidRPr="009641A3">
        <w:t>2024)00</w:t>
      </w:r>
      <w:bookmarkEnd w:id="1"/>
      <w:r w:rsidR="005968E9">
        <w:t>63</w:t>
      </w:r>
    </w:p>
    <w:p w:rsidR="00944A6C" w:rsidRPr="009641A3" w:rsidRDefault="007E1B5F" w:rsidP="00944A6C">
      <w:pPr>
        <w:pStyle w:val="ATHeading2"/>
      </w:pPr>
      <w:r w:rsidRPr="007E1B5F">
        <w:t>Den Europæiske Ombudsmands virksomhed – årsberetning 2023</w:t>
      </w:r>
    </w:p>
    <w:p w:rsidR="00944A6C" w:rsidRPr="009641A3" w:rsidRDefault="00944A6C" w:rsidP="00944A6C">
      <w:pPr>
        <w:rPr>
          <w:i/>
          <w:vanish/>
        </w:rPr>
      </w:pPr>
      <w:r w:rsidRPr="009641A3">
        <w:rPr>
          <w:i/>
        </w:rPr>
        <w:fldChar w:fldCharType="begin"/>
      </w:r>
      <w:r w:rsidRPr="009641A3">
        <w:rPr>
          <w:i/>
        </w:rPr>
        <w:instrText xml:space="preserve"> TC"(</w:instrText>
      </w:r>
      <w:bookmarkStart w:id="2" w:name="DocNumber"/>
      <w:r w:rsidRPr="009641A3">
        <w:rPr>
          <w:i/>
        </w:rPr>
        <w:instrText>A10-0016/2024</w:instrText>
      </w:r>
      <w:bookmarkEnd w:id="2"/>
      <w:r w:rsidRPr="009641A3">
        <w:rPr>
          <w:i/>
        </w:rPr>
        <w:instrText xml:space="preserve"> - Ordfører: Alex </w:instrText>
      </w:r>
      <w:proofErr w:type="spellStart"/>
      <w:r w:rsidRPr="009641A3">
        <w:rPr>
          <w:i/>
        </w:rPr>
        <w:instrText>Agius</w:instrText>
      </w:r>
      <w:proofErr w:type="spellEnd"/>
      <w:r w:rsidRPr="009641A3">
        <w:rPr>
          <w:i/>
        </w:rPr>
        <w:instrText xml:space="preserve"> </w:instrText>
      </w:r>
      <w:proofErr w:type="spellStart"/>
      <w:r w:rsidRPr="009641A3">
        <w:rPr>
          <w:i/>
        </w:rPr>
        <w:instrText>Saliba</w:instrText>
      </w:r>
      <w:proofErr w:type="spellEnd"/>
      <w:r w:rsidRPr="009641A3">
        <w:rPr>
          <w:i/>
        </w:rPr>
        <w:instrText xml:space="preserve">)"\l3 \n&gt; \* MERGEFORMAT </w:instrText>
      </w:r>
      <w:r w:rsidRPr="009641A3">
        <w:rPr>
          <w:i/>
        </w:rPr>
        <w:fldChar w:fldCharType="end"/>
      </w:r>
    </w:p>
    <w:p w:rsidR="00944A6C" w:rsidRPr="009641A3" w:rsidRDefault="00944A6C" w:rsidP="00944A6C">
      <w:pPr>
        <w:rPr>
          <w:vanish/>
        </w:rPr>
      </w:pPr>
      <w:bookmarkStart w:id="3" w:name="Commission"/>
      <w:r w:rsidRPr="009641A3">
        <w:rPr>
          <w:vanish/>
        </w:rPr>
        <w:t>Udvalget for Andragender</w:t>
      </w:r>
      <w:bookmarkEnd w:id="3"/>
    </w:p>
    <w:p w:rsidR="00944A6C" w:rsidRPr="009641A3" w:rsidRDefault="00944A6C" w:rsidP="00944A6C">
      <w:pPr>
        <w:rPr>
          <w:vanish/>
        </w:rPr>
      </w:pPr>
      <w:bookmarkStart w:id="4" w:name="PE"/>
      <w:r w:rsidRPr="009641A3">
        <w:rPr>
          <w:vanish/>
        </w:rPr>
        <w:t>PE763.122</w:t>
      </w:r>
      <w:bookmarkEnd w:id="4"/>
    </w:p>
    <w:p w:rsidR="00944A6C" w:rsidRPr="009641A3" w:rsidRDefault="00944A6C" w:rsidP="00944A6C">
      <w:pPr>
        <w:pStyle w:val="ATHeading3"/>
      </w:pPr>
      <w:bookmarkStart w:id="5" w:name="Sujet"/>
      <w:r w:rsidRPr="009641A3">
        <w:t xml:space="preserve">Europa-Parlamentets beslutning af </w:t>
      </w:r>
      <w:r w:rsidR="00224515">
        <w:t>17</w:t>
      </w:r>
      <w:r w:rsidRPr="009641A3">
        <w:t>.</w:t>
      </w:r>
      <w:r w:rsidR="007E1B5F">
        <w:t xml:space="preserve"> december</w:t>
      </w:r>
      <w:r w:rsidRPr="009641A3">
        <w:t xml:space="preserve"> 2024 om Den Europæiske Ombudsmands virksomhed – årsberetning 2023</w:t>
      </w:r>
      <w:bookmarkEnd w:id="5"/>
      <w:r w:rsidRPr="009641A3">
        <w:t xml:space="preserve"> </w:t>
      </w:r>
      <w:bookmarkStart w:id="6" w:name="References"/>
      <w:r w:rsidRPr="009641A3">
        <w:t>(2024/2056(INI))</w:t>
      </w:r>
      <w:bookmarkEnd w:id="6"/>
    </w:p>
    <w:p w:rsidR="0082358E" w:rsidRPr="009641A3" w:rsidRDefault="0082358E" w:rsidP="0082358E">
      <w:pPr>
        <w:pStyle w:val="EPComma"/>
      </w:pPr>
      <w:r w:rsidRPr="009641A3">
        <w:rPr>
          <w:i/>
        </w:rPr>
        <w:t>Europa-Parlamentet</w:t>
      </w:r>
      <w:r w:rsidRPr="009641A3">
        <w:t>,</w:t>
      </w:r>
    </w:p>
    <w:p w:rsidR="0082358E" w:rsidRPr="009641A3" w:rsidRDefault="0082358E" w:rsidP="0082358E">
      <w:pPr>
        <w:pStyle w:val="NormalHanging12a"/>
      </w:pPr>
      <w:r w:rsidRPr="009641A3">
        <w:t>–</w:t>
      </w:r>
      <w:r w:rsidRPr="009641A3">
        <w:tab/>
        <w:t>der henviser til Den Europæiske Ombudsmands årsberetning for 2023,</w:t>
      </w:r>
    </w:p>
    <w:p w:rsidR="0082358E" w:rsidRPr="009641A3" w:rsidRDefault="0082358E" w:rsidP="0082358E">
      <w:pPr>
        <w:pStyle w:val="NormalHanging12a"/>
      </w:pPr>
      <w:r w:rsidRPr="009641A3">
        <w:t>–</w:t>
      </w:r>
      <w:r w:rsidRPr="009641A3">
        <w:tab/>
        <w:t>der henviser til artikel 10, stk. 3, i traktaten om Den Europæiske Union,</w:t>
      </w:r>
    </w:p>
    <w:p w:rsidR="0082358E" w:rsidRPr="009641A3" w:rsidRDefault="0082358E" w:rsidP="0082358E">
      <w:pPr>
        <w:pStyle w:val="NormalHanging12a"/>
      </w:pPr>
      <w:r w:rsidRPr="009641A3">
        <w:t>–</w:t>
      </w:r>
      <w:r w:rsidRPr="009641A3">
        <w:tab/>
        <w:t xml:space="preserve">der henviser til artikel 15, artikel 24, stk. 3, artikel 228 og artikel 298, stk. 1, i traktaten om Den Europæiske Unions funktionsmåde (TEUF), </w:t>
      </w:r>
    </w:p>
    <w:p w:rsidR="0082358E" w:rsidRPr="009641A3" w:rsidRDefault="0082358E" w:rsidP="0082358E">
      <w:pPr>
        <w:pStyle w:val="NormalHanging12a"/>
      </w:pPr>
      <w:r w:rsidRPr="009641A3">
        <w:t>–</w:t>
      </w:r>
      <w:r w:rsidRPr="009641A3">
        <w:tab/>
        <w:t>der henviser til Europa-Parlamentets forordning (EU, Euratom) 2021/1163 af 24. juni 2021 om Ombudsmandens statut og de almindelige betingelser for udøvelsen af dennes hverv (Den Europæiske Ombudsmands statut) og om ophævelse af afgørelse 94/262/EKSF, EF, Euratom</w:t>
      </w:r>
      <w:r w:rsidRPr="009641A3">
        <w:rPr>
          <w:rStyle w:val="FootnoteReference"/>
          <w:color w:val="000000"/>
        </w:rPr>
        <w:footnoteReference w:id="1"/>
      </w:r>
      <w:r w:rsidRPr="009641A3">
        <w:t>,</w:t>
      </w:r>
    </w:p>
    <w:p w:rsidR="0082358E" w:rsidRPr="009641A3" w:rsidRDefault="0082358E" w:rsidP="0082358E">
      <w:pPr>
        <w:pStyle w:val="NormalHanging12a"/>
      </w:pPr>
      <w:r w:rsidRPr="009641A3">
        <w:t>–</w:t>
      </w:r>
      <w:r w:rsidRPr="009641A3">
        <w:tab/>
        <w:t>der henviser til artikel 11, 41, 42 og 43 i Den Europæiske Unions charter om grundlæggende rettigheder ("chartret"),</w:t>
      </w:r>
    </w:p>
    <w:p w:rsidR="0082358E" w:rsidRPr="009641A3" w:rsidRDefault="0082358E" w:rsidP="0082358E">
      <w:pPr>
        <w:pStyle w:val="NormalHanging12a"/>
      </w:pPr>
      <w:r w:rsidRPr="009641A3">
        <w:t>–</w:t>
      </w:r>
      <w:r w:rsidRPr="009641A3">
        <w:tab/>
        <w:t>der henviser til FN's konvention om rettigheder for personer med handicap (UNCRPD),</w:t>
      </w:r>
    </w:p>
    <w:p w:rsidR="0082358E" w:rsidRPr="009641A3" w:rsidRDefault="0082358E" w:rsidP="0082358E">
      <w:pPr>
        <w:pStyle w:val="NormalHanging12a"/>
      </w:pPr>
      <w:r w:rsidRPr="009641A3">
        <w:t>–</w:t>
      </w:r>
      <w:r w:rsidRPr="009641A3">
        <w:tab/>
        <w:t>der henviser til den europæiske kodeks for god forvaltningsskik som vedtaget af Europa-Parlamentet den 6. september 2001,</w:t>
      </w:r>
    </w:p>
    <w:p w:rsidR="0082358E" w:rsidRPr="009641A3" w:rsidRDefault="0082358E" w:rsidP="0082358E">
      <w:pPr>
        <w:pStyle w:val="NormalHanging12a"/>
      </w:pPr>
      <w:r w:rsidRPr="009641A3">
        <w:t>–</w:t>
      </w:r>
      <w:r w:rsidRPr="009641A3">
        <w:tab/>
        <w:t>der henviser til rammeaftalen om samarbejde, som blev indgået mellem Europa-Parlamentet og Den Europæiske Ombudsmand den 15. marts 2006 og trådte i kraft den 1. april 2006,</w:t>
      </w:r>
    </w:p>
    <w:p w:rsidR="0082358E" w:rsidRPr="009641A3" w:rsidRDefault="0082358E" w:rsidP="0082358E">
      <w:pPr>
        <w:pStyle w:val="NormalHanging12a"/>
      </w:pPr>
      <w:r w:rsidRPr="009641A3">
        <w:t>–</w:t>
      </w:r>
      <w:r w:rsidRPr="009641A3">
        <w:tab/>
        <w:t>der henviser til sine tidligere beslutninger om Den Europæiske Ombudsmands virksomhed,</w:t>
      </w:r>
    </w:p>
    <w:p w:rsidR="0082358E" w:rsidRPr="009641A3" w:rsidRDefault="0082358E" w:rsidP="0082358E">
      <w:pPr>
        <w:pStyle w:val="NormalHanging12a"/>
      </w:pPr>
      <w:r w:rsidRPr="009641A3">
        <w:t>–</w:t>
      </w:r>
      <w:r w:rsidRPr="009641A3">
        <w:tab/>
        <w:t>der henviser til forretningsordenens artikel 55 og artikel 148, stk. 2,</w:t>
      </w:r>
    </w:p>
    <w:p w:rsidR="0082358E" w:rsidRPr="009641A3" w:rsidRDefault="0082358E" w:rsidP="0082358E">
      <w:pPr>
        <w:pStyle w:val="NormalHanging12a"/>
      </w:pPr>
      <w:r w:rsidRPr="009641A3">
        <w:lastRenderedPageBreak/>
        <w:t>–</w:t>
      </w:r>
      <w:r w:rsidRPr="009641A3">
        <w:tab/>
        <w:t>der henviser til betænkning fra Udvalget for Andragender (A10-0016/2024),</w:t>
      </w:r>
    </w:p>
    <w:p w:rsidR="0082358E" w:rsidRPr="009641A3" w:rsidRDefault="0082358E" w:rsidP="0082358E">
      <w:pPr>
        <w:pStyle w:val="NormalHanging12a"/>
      </w:pPr>
      <w:r w:rsidRPr="009641A3">
        <w:t>A.</w:t>
      </w:r>
      <w:r w:rsidRPr="009641A3">
        <w:tab/>
        <w:t xml:space="preserve">der henviser til, at Den Europæiske Ombudsmands årsberetning for 2023 formelt blev indgivet til Europa-Parlamentets formand den 18. april 2024, og at Ombudsmanden, Emily </w:t>
      </w:r>
      <w:proofErr w:type="spellStart"/>
      <w:r w:rsidRPr="009641A3">
        <w:t>O'Reilly</w:t>
      </w:r>
      <w:proofErr w:type="spellEnd"/>
      <w:r w:rsidRPr="009641A3">
        <w:t>, forelagde den for Udvalget for Andragender den 4. september 2024 i Bruxelles;</w:t>
      </w:r>
    </w:p>
    <w:p w:rsidR="0082358E" w:rsidRPr="009641A3" w:rsidRDefault="0082358E" w:rsidP="0082358E">
      <w:pPr>
        <w:pStyle w:val="NormalHanging12a"/>
      </w:pPr>
      <w:r w:rsidRPr="009641A3">
        <w:t>B.</w:t>
      </w:r>
      <w:r w:rsidRPr="009641A3">
        <w:tab/>
        <w:t>der henviser til, at Den Europæiske Ombudsmand i henhold til artikel 20, 24 og 228 i TEUF er beføjet til at modtage klager over tilfælde af fejl eller forsømmelser i forbindelse med handlinger foretaget af Unionens institutioner, organer, kontorer eller agenturer, med undtagelse af Den Europæiske Unions Domstol (EU-Domstolen) under udøvelsen af dens domstolsfunktioner;</w:t>
      </w:r>
    </w:p>
    <w:p w:rsidR="0082358E" w:rsidRPr="009641A3" w:rsidRDefault="0082358E" w:rsidP="0082358E">
      <w:pPr>
        <w:pStyle w:val="NormalHanging12a"/>
      </w:pPr>
      <w:r w:rsidRPr="009641A3">
        <w:t>C.</w:t>
      </w:r>
      <w:r w:rsidRPr="009641A3">
        <w:tab/>
        <w:t>der henviser til, at det af artikel 15 i TEUF fremgår, at "for at fremme gode styreformer og sikre civilsamfundets deltagelse arbejder Unionens institutioner, organer, kontorer og agenturer så åbent som muligt", og at "alle unionsborgere og alle fysiske og juridiske personer, der har bopæl eller vedtægtsmæssigt hjemsted i en medlemsstat, har ret til aktindsigt i dokumenter fra Unionens institutioner, organer, kontorer og agenturer";</w:t>
      </w:r>
    </w:p>
    <w:p w:rsidR="0082358E" w:rsidRPr="009641A3" w:rsidRDefault="0082358E" w:rsidP="0082358E">
      <w:pPr>
        <w:pStyle w:val="NormalHanging12a"/>
      </w:pPr>
      <w:r w:rsidRPr="009641A3">
        <w:t>D.</w:t>
      </w:r>
      <w:r w:rsidRPr="009641A3">
        <w:tab/>
        <w:t>der henviser til, at det i artikel 41 i chartret om grundlæggende rettigheder fastslås, at "enhver har ret til at få sin sag behandlet uvildigt, retfærdigt og inden for en rimelig frist af Unionens institutioner, organer, kontorer og agenturer";</w:t>
      </w:r>
    </w:p>
    <w:p w:rsidR="0082358E" w:rsidRPr="009641A3" w:rsidRDefault="0082358E" w:rsidP="0082358E">
      <w:pPr>
        <w:pStyle w:val="NormalHanging12a"/>
      </w:pPr>
      <w:r w:rsidRPr="009641A3">
        <w:t>E.</w:t>
      </w:r>
      <w:r w:rsidRPr="009641A3">
        <w:tab/>
        <w:t>der henviser til, at det i chartrets artikel 43 hedder, at "enhver unionsborger samt enhver fysisk eller juridisk person med bopæl eller hjemsted i en medlemsstat har ret til at klage til Den Europæiske Unions Ombudsmand over tilfælde af fejl og forsømmelser i forbindelse med handlinger foretaget af Unionens institutioner, organer, kontorer og agenturer med undtagelse af Den Europæiske Unions Domstol under udøvelsen af dens domstolsfunktioner";</w:t>
      </w:r>
    </w:p>
    <w:p w:rsidR="0082358E" w:rsidRPr="009641A3" w:rsidRDefault="0082358E" w:rsidP="0082358E">
      <w:pPr>
        <w:pStyle w:val="NormalHanging12a"/>
        <w:rPr>
          <w:b/>
          <w:i/>
        </w:rPr>
      </w:pPr>
      <w:r w:rsidRPr="009641A3">
        <w:t>F.</w:t>
      </w:r>
      <w:r w:rsidRPr="009641A3">
        <w:rPr>
          <w:b/>
          <w:i/>
        </w:rPr>
        <w:tab/>
      </w:r>
      <w:r w:rsidRPr="009641A3">
        <w:t>der henviser til, at det af artikel 298, stk. 1, i TEUF fremgår, at Unionens institutioner, organer, kontorer og agenturer under udførelsen af deres opgaver støtter sig på en åben, effektiv og uafhængig europæisk forvaltning;</w:t>
      </w:r>
    </w:p>
    <w:p w:rsidR="0082358E" w:rsidRPr="009641A3" w:rsidRDefault="0082358E" w:rsidP="0082358E">
      <w:pPr>
        <w:pStyle w:val="NormalHanging12a"/>
      </w:pPr>
      <w:r w:rsidRPr="009641A3">
        <w:t>G.</w:t>
      </w:r>
      <w:r w:rsidRPr="009641A3">
        <w:tab/>
        <w:t>der henviser til, at Den Europæiske Ombudsmand kan fremsætte henstillinger og foreslå afhjælpende foranstaltninger og forbedringer, som tager sigte på at løse forskellige aspekter af fejl og forsømmelser;</w:t>
      </w:r>
    </w:p>
    <w:p w:rsidR="0082358E" w:rsidRPr="009641A3" w:rsidRDefault="0082358E" w:rsidP="0082358E">
      <w:pPr>
        <w:pStyle w:val="NormalHanging12a"/>
      </w:pPr>
      <w:r w:rsidRPr="009641A3">
        <w:t>H.</w:t>
      </w:r>
      <w:r w:rsidRPr="009641A3">
        <w:tab/>
        <w:t xml:space="preserve">der henviser til, at Ombudsmanden i 2023 indledte </w:t>
      </w:r>
      <w:r w:rsidRPr="004032F6">
        <w:rPr>
          <w:rStyle w:val="graphbold"/>
          <w:rFonts w:ascii="Times New Roman" w:hAnsi="Times New Roman" w:cs="Times New Roman"/>
          <w:b w:val="0"/>
          <w:color w:val="000000"/>
          <w:sz w:val="24"/>
          <w:szCs w:val="24"/>
        </w:rPr>
        <w:t>398</w:t>
      </w:r>
      <w:r w:rsidRPr="009641A3">
        <w:t xml:space="preserve"> undersøgelser, heraf 393 på grundlag af klager og fem på eget initiativ, og at 372 undersøgelser (369 på grundlag af klager og tre på eget initiativ) blev afsluttet;</w:t>
      </w:r>
    </w:p>
    <w:p w:rsidR="0082358E" w:rsidRPr="009641A3" w:rsidRDefault="0082358E" w:rsidP="0082358E">
      <w:pPr>
        <w:pStyle w:val="NormalHanging12a"/>
      </w:pPr>
      <w:r w:rsidRPr="009641A3">
        <w:t>I.</w:t>
      </w:r>
      <w:r w:rsidRPr="009641A3">
        <w:tab/>
        <w:t>der henviser til, at størstedelen af undersøgelserne i 2023 vedrørte Kommissionen (250 undersøgelser eller 62,81 %), efterfulgt af Det Europæiske Personaleudvælgelseskontor (EPSO) (47 undersøgelser eller 11,81 %), Europa-Parlamentet (16 undersøgelser eller 4,02 %) og Det Europæiske Agentur for Grænse- og Kystbevogtning (</w:t>
      </w:r>
      <w:proofErr w:type="spellStart"/>
      <w:r w:rsidRPr="009641A3">
        <w:t>Frontex</w:t>
      </w:r>
      <w:proofErr w:type="spellEnd"/>
      <w:r w:rsidRPr="009641A3">
        <w:t xml:space="preserve">) (11 undersøgelser eller 2,76 %); der henviser til, at de resterende undersøgelser var fordelt som følger: Rådet for Den Europæiske Union (syv undersøgelser eller 1,76 %), Det Europæiske Kontor for Bekæmpelse af Svig (syv undersøgelser eller 1,76 %), Tjenesten for EU's Optræden Udadtil (seks undersøgelser eller 1,51 %), Den Europæiske Tilsynsførende for Databeskyttelse (seks undersøgelser eller 1,51 %), Den Europæiske Unions Kontor for Intellektuel Ejendomsret (fem </w:t>
      </w:r>
      <w:r w:rsidRPr="009641A3">
        <w:lastRenderedPageBreak/>
        <w:t>undersøgelser eller 1,26 %), andre EU-agenturer (33 undersøgelser eller 8,27 %) og andre EU-institutioner eller ‑organer (12 undersøgelser eller 3,01 %);</w:t>
      </w:r>
    </w:p>
    <w:p w:rsidR="0082358E" w:rsidRPr="009641A3" w:rsidRDefault="0082358E" w:rsidP="0082358E">
      <w:pPr>
        <w:pStyle w:val="NormalHanging12a"/>
      </w:pPr>
      <w:r w:rsidRPr="009641A3">
        <w:t>J.</w:t>
      </w:r>
      <w:r w:rsidRPr="009641A3">
        <w:tab/>
        <w:t>der henviser til, at den største procentdel af Ombudsmandens undersøgelser i 2023 vedrørte Kommissionen, hvis forvaltningsmæssige aktiviteter får betydelig offentlig opmærksomhed, eftersom den er EU's udøvende myndighed;</w:t>
      </w:r>
    </w:p>
    <w:p w:rsidR="0082358E" w:rsidRPr="009641A3" w:rsidRDefault="0082358E" w:rsidP="0082358E">
      <w:pPr>
        <w:pStyle w:val="NormalHanging12a"/>
      </w:pPr>
      <w:r w:rsidRPr="009641A3">
        <w:t>K.</w:t>
      </w:r>
      <w:r w:rsidRPr="009641A3">
        <w:tab/>
        <w:t>der henviser til, at der i de undersøgelser, som Ombudsmanden afsluttede i 2023, ikke blev konstateret fejl eller forsømmelser i 99 sager (26,6 %), blev fundet en løsning eller en delvis løsning af institutionen i 206 sager (55,4 %), blev fastslået at ingen yderligere undersøgelser var berettigede i 46 sager (12,4 %) og blev konstateret fejl og forsømmelser i 27 sager (7,3 %);</w:t>
      </w:r>
    </w:p>
    <w:p w:rsidR="0082358E" w:rsidRPr="009641A3" w:rsidRDefault="0082358E" w:rsidP="0082358E">
      <w:pPr>
        <w:pStyle w:val="NormalHanging12a"/>
      </w:pPr>
      <w:r w:rsidRPr="009641A3">
        <w:t>L.</w:t>
      </w:r>
      <w:r w:rsidRPr="009641A3">
        <w:tab/>
        <w:t>der henviser til, at de tre vigtigste problemer i de undersøgelser, som Ombudsmanden afsluttede i 2023, drejede sig om gennemsigtighed og ansvarlighed (f.eks. adgang til oplysninger og dokumenter) (34,2 %), servicekultur (21,5 %) og ansættelse (15,3 %); der henviser til, at andre problemer omfatter god forvaltning af personalespørgsmål, korrekt brug af skønsbeføjelser (herunder i traktatbrudsprocedurer), korrekt forvaltning af traktatbrudsprocedurer, respekt for de grundlæggende rettigheder, respekt for de proceduremæssige rettigheder, tilskud, udbud, kontrakter, etik, offentlig deltagelse i EU's beslutningstagning og forsvarlig økonomisk forvaltning;</w:t>
      </w:r>
    </w:p>
    <w:p w:rsidR="0082358E" w:rsidRPr="009641A3" w:rsidRDefault="0082358E" w:rsidP="0082358E">
      <w:pPr>
        <w:pStyle w:val="NormalHanging12a"/>
      </w:pPr>
      <w:r w:rsidRPr="009641A3">
        <w:t>M.</w:t>
      </w:r>
      <w:r w:rsidRPr="009641A3">
        <w:tab/>
        <w:t>der henviser til, at Ombudsmanden i 2023 også gennemførte bredere strategiske undersøgelser og initiativer vedrørende systemiske spørgsmål i EU-institutionerne, der omfattede aktindsigt i dokumenter, grundlæggende rettigheder, etiske spørgsmål, ansvarlighed i beslutningstagningen og ansættelse af EU-tjenestemænd;</w:t>
      </w:r>
    </w:p>
    <w:p w:rsidR="0082358E" w:rsidRPr="009641A3" w:rsidRDefault="0082358E" w:rsidP="0082358E">
      <w:pPr>
        <w:pStyle w:val="NormalHanging12a"/>
        <w:rPr>
          <w:szCs w:val="24"/>
        </w:rPr>
      </w:pPr>
      <w:r w:rsidRPr="009641A3">
        <w:t>N.</w:t>
      </w:r>
      <w:r w:rsidRPr="009641A3">
        <w:tab/>
        <w:t>der henviser til, at EU-borgere har omfattende rettigheder til aktindsigt i dokumenter, som EU-forvaltningen er i besiddelse af; der henviser til, at Ombudsmanden indledte en undersøgelse på eget initiativ og anmodede Kommissionen om hurtigst muligt at gøre noget ved de systematiske forsinkelser i behandlingen af begæringer om aktindsigt for at sikre, at den overholder de frister, der er fastsat i EU's forordning om aktindsigt (forordning (EF) nr. 1049/2001</w:t>
      </w:r>
      <w:r w:rsidRPr="009641A3">
        <w:rPr>
          <w:rStyle w:val="FootnoteReference"/>
        </w:rPr>
        <w:footnoteReference w:id="2"/>
      </w:r>
      <w:r w:rsidRPr="009641A3">
        <w:t>); der henviser til, at denne undersøgelse viste, at Kommissionen, når enkeltpersoner anmoder om en prøvelse af en afgørelse om aktindsigt, kendt som en genfremsat begæring, overskrider de frister, der er fastsat i forordningen, i 85 % af sagerne, og at størstedelen af svarene kommer efter, at der er gået 60 dage; der henviser til, at disse forsinkelser ofte gjorde de indhentede oplysninger ubrugelige for de personer, der havde anmodet om dem, og forhindrede dem i at få indflydelse på relevante tidspunkter i beslutningsprocessen;</w:t>
      </w:r>
    </w:p>
    <w:p w:rsidR="0082358E" w:rsidRPr="009641A3" w:rsidRDefault="0082358E" w:rsidP="0082358E">
      <w:pPr>
        <w:pStyle w:val="NormalHanging12a"/>
      </w:pPr>
      <w:r w:rsidRPr="009641A3">
        <w:t>O.</w:t>
      </w:r>
      <w:r w:rsidRPr="009641A3">
        <w:tab/>
        <w:t>der henviser til, at Ombudsmanden i 2023 offentliggjorde en særberetning efter hendes strategiske undersøgelse af den tid, det tager Kommissionen at behandle begæringer om aktindsigt; der henviser til, at Ombudsmandens kontor har forelagt denne særberetning for Parlamentet for at få dets støtte til at overtale Kommissionen til at reagere på hendes henstillinger, idet Ombudsmanden er af den opfattelse, at borgerne har ret til at forvente bedre praksis fra en åben, moderne og serviceminded EU-forvaltning;</w:t>
      </w:r>
    </w:p>
    <w:p w:rsidR="0082358E" w:rsidRPr="009641A3" w:rsidRDefault="0082358E" w:rsidP="0082358E">
      <w:pPr>
        <w:pStyle w:val="NormalHanging12a"/>
        <w:rPr>
          <w:szCs w:val="24"/>
        </w:rPr>
      </w:pPr>
      <w:r w:rsidRPr="009641A3">
        <w:t>P.</w:t>
      </w:r>
      <w:r w:rsidRPr="009641A3">
        <w:tab/>
        <w:t xml:space="preserve">der henviser til, at særberetningen blev drøftet i Parlamentets Udvalg om Borgernes </w:t>
      </w:r>
      <w:r w:rsidRPr="009641A3">
        <w:lastRenderedPageBreak/>
        <w:t xml:space="preserve">Rettigheder og Retlige og Indre Anliggender og førte til en beslutning </w:t>
      </w:r>
      <w:r w:rsidR="00091B7F">
        <w:t>vedtaget i</w:t>
      </w:r>
      <w:r w:rsidR="00091B7F" w:rsidRPr="009641A3">
        <w:t xml:space="preserve"> </w:t>
      </w:r>
      <w:r w:rsidRPr="009641A3">
        <w:t xml:space="preserve">Europa-Parlamentet </w:t>
      </w:r>
      <w:r w:rsidR="00091B7F">
        <w:t xml:space="preserve">den 14. marts 2024 </w:t>
      </w:r>
      <w:r w:rsidRPr="009641A3">
        <w:t>med titlen "Europa-Kommissionens behandlingstid for så vidt angår anmodninger om aktindsigt"</w:t>
      </w:r>
      <w:r w:rsidRPr="009641A3">
        <w:rPr>
          <w:rStyle w:val="FootnoteReference"/>
        </w:rPr>
        <w:footnoteReference w:id="3"/>
      </w:r>
      <w:r w:rsidRPr="009641A3">
        <w:t>, hvori Parlamentet udtrykte stor bekymring over de ekstreme forsinkelser i Kommissionens proces med at give aktindsigt i de ønskede dokumenter og anmodede Kommissionen om at rette op på disse systematiske og betydelige forsinkelser; der henviser til, at Parlamentet gjorde udtrykkeligt opmærksom på, at det ville overveje at tage alle disponible parlamentariske instrumenter i brug for at gøre noget ved dette forhold; der henviser til, at der i beslutningen også blev henvist til forhandlingerne om indkøb af covid-19-vacciner og opfordret til passende offentliggørelse fra Kommissionens side, til mere proaktiv gennemsigtighed med flere dedikerede menneskelige ressourcer til behandling af genfremsatte begæringer og en mere åben og konstruktiv holdning til personer, der anmoder om aktindsigt;</w:t>
      </w:r>
      <w:r w:rsidRPr="009641A3">
        <w:rPr>
          <w:b/>
          <w:i/>
        </w:rPr>
        <w:t xml:space="preserve"> </w:t>
      </w:r>
    </w:p>
    <w:p w:rsidR="0082358E" w:rsidRPr="009641A3" w:rsidRDefault="0082358E" w:rsidP="0082358E">
      <w:pPr>
        <w:pStyle w:val="NormalHanging12a"/>
        <w:rPr>
          <w:szCs w:val="24"/>
        </w:rPr>
      </w:pPr>
      <w:r w:rsidRPr="009641A3">
        <w:t>Q.</w:t>
      </w:r>
      <w:r w:rsidRPr="009641A3">
        <w:tab/>
        <w:t>der henviser til, at Ombudsmanden understregede, at der var behov for korrekt overvågning og håndhævelse af gennemførelsen af Parlamentets nye etiske regler;</w:t>
      </w:r>
    </w:p>
    <w:p w:rsidR="0082358E" w:rsidRPr="009641A3" w:rsidRDefault="0082358E" w:rsidP="0082358E">
      <w:pPr>
        <w:pStyle w:val="NormalHanging12a"/>
        <w:rPr>
          <w:b/>
          <w:i/>
        </w:rPr>
      </w:pPr>
      <w:r w:rsidRPr="009641A3">
        <w:t>R.</w:t>
      </w:r>
      <w:r w:rsidRPr="009641A3">
        <w:rPr>
          <w:b/>
          <w:i/>
        </w:rPr>
        <w:tab/>
      </w:r>
      <w:r w:rsidRPr="009641A3">
        <w:t>der henviser til, at Ombudsmanden anerkendte betydelige fremskridt med hensyn til at styrke de etiske regler i Parlamentet efter Qatargate, men udtrykte bekymring over gennemførelsen og håndhævelsen af dem; der henviser til, at Ombudsmanden indledte en særskilt undersøgelse vedrørende rejseudgifter, som tredjeparter har betalt for Kommissionen siden 2021;</w:t>
      </w:r>
    </w:p>
    <w:p w:rsidR="0082358E" w:rsidRPr="009641A3" w:rsidRDefault="0082358E" w:rsidP="0082358E">
      <w:pPr>
        <w:pStyle w:val="NormalHanging12a"/>
      </w:pPr>
      <w:r w:rsidRPr="009641A3">
        <w:t>S.</w:t>
      </w:r>
      <w:r w:rsidRPr="009641A3">
        <w:tab/>
        <w:t>der henviser til, at gennemsigtighed er en afgørende del af et demokratisk samfund og et vigtigt redskab i bekæmpelsen af korruption; der henviser til, at EU-borgerne har ret til den højeste grad af gennemsigtighed, og at det højeste niveau af adgang til offentlige dokumenter er afgørende for at sikre ansvarlighed;</w:t>
      </w:r>
    </w:p>
    <w:p w:rsidR="0082358E" w:rsidRPr="009641A3" w:rsidRDefault="0082358E" w:rsidP="0082358E">
      <w:pPr>
        <w:pStyle w:val="NormalHanging12a"/>
        <w:rPr>
          <w:szCs w:val="24"/>
        </w:rPr>
      </w:pPr>
      <w:r w:rsidRPr="009641A3">
        <w:t>T.</w:t>
      </w:r>
      <w:r w:rsidRPr="009641A3">
        <w:tab/>
        <w:t xml:space="preserve">der henviser til, at Ombudsmandens kontor i </w:t>
      </w:r>
      <w:r w:rsidR="00091B7F">
        <w:t>2023</w:t>
      </w:r>
      <w:r w:rsidR="00091B7F" w:rsidRPr="009641A3">
        <w:t xml:space="preserve"> </w:t>
      </w:r>
      <w:r w:rsidRPr="009641A3">
        <w:t>yderligere øgede offentlighedens bevidsthed om Ombudsmandens rolle med hensyn til at opretholde høje standarder for EU-forvaltningen og beskyttelsen af borgernes rettigheder og grundlæggende frihedsrettigheder;</w:t>
      </w:r>
    </w:p>
    <w:p w:rsidR="0082358E" w:rsidRPr="009641A3" w:rsidRDefault="0082358E" w:rsidP="0082358E">
      <w:pPr>
        <w:pStyle w:val="NormalHanging12a"/>
        <w:rPr>
          <w:szCs w:val="24"/>
        </w:rPr>
      </w:pPr>
      <w:r w:rsidRPr="009641A3">
        <w:t>1.</w:t>
      </w:r>
      <w:r w:rsidRPr="009641A3">
        <w:tab/>
        <w:t>godkender Den Europæiske Ombudsmands årsberetning for 2023 og roser hendes fremragende redegørelse for de vigtigste fakta og tal vedrørende Ombudsmandens arbejde i 2023;</w:t>
      </w:r>
    </w:p>
    <w:p w:rsidR="0082358E" w:rsidRPr="009641A3" w:rsidRDefault="0082358E" w:rsidP="0082358E">
      <w:pPr>
        <w:pStyle w:val="NormalHanging12a"/>
        <w:rPr>
          <w:szCs w:val="24"/>
        </w:rPr>
      </w:pPr>
      <w:r w:rsidRPr="009641A3">
        <w:t>2.</w:t>
      </w:r>
      <w:r w:rsidRPr="009641A3">
        <w:tab/>
        <w:t xml:space="preserve">lykønsker Emily </w:t>
      </w:r>
      <w:proofErr w:type="spellStart"/>
      <w:r w:rsidRPr="009641A3">
        <w:t>O'Reilly</w:t>
      </w:r>
      <w:proofErr w:type="spellEnd"/>
      <w:r w:rsidRPr="009641A3">
        <w:t xml:space="preserve"> med hendes bemærkelsesværdige arbejde og hendes utrættelige indsats for at støtte demokratiet ved at styrke ansvarligheden og gennemsigtigheden i EU's institutioner, organer, kontorer og agenturer og sikre, at EU-forvaltningen reagerer på borgernes bekymringer;</w:t>
      </w:r>
    </w:p>
    <w:p w:rsidR="0082358E" w:rsidRPr="009641A3" w:rsidRDefault="0082358E" w:rsidP="0082358E">
      <w:pPr>
        <w:pStyle w:val="NormalHanging12a"/>
      </w:pPr>
      <w:r w:rsidRPr="009641A3">
        <w:t>3.</w:t>
      </w:r>
      <w:r w:rsidRPr="009641A3">
        <w:tab/>
        <w:t>udtrykker sin påskønnelse af Den Europæiske Ombudsmands konstruktive samarbejde med Europa-Parlamentet, især Udvalget for Andragender, og med de andre EU-institutioner;</w:t>
      </w:r>
    </w:p>
    <w:p w:rsidR="0082358E" w:rsidRPr="009641A3" w:rsidRDefault="0082358E" w:rsidP="0082358E">
      <w:pPr>
        <w:pStyle w:val="NormalHanging12a"/>
      </w:pPr>
      <w:r w:rsidRPr="009641A3">
        <w:t>4.</w:t>
      </w:r>
      <w:r w:rsidRPr="009641A3">
        <w:tab/>
        <w:t xml:space="preserve">glæder sig over Ombudsmandens offentliggørelse af en vejledning om aktindsigt i EU-dokumenter, som har til formål at øge borgernes bevidsthed om deres ret til aktindsigt og sætte dem i stand til at kontrollere EU's beslutningstagning; mener, at det er afgørende fortsat at give borgerne passende information om ombudsmandsinstitutionens </w:t>
      </w:r>
      <w:r w:rsidRPr="009641A3">
        <w:lastRenderedPageBreak/>
        <w:t>rolle og omfanget af dennes aktiviteter og indflydelse på EU-institutionernes udvikling;</w:t>
      </w:r>
    </w:p>
    <w:p w:rsidR="0082358E" w:rsidRPr="009641A3" w:rsidRDefault="0082358E" w:rsidP="0082358E">
      <w:pPr>
        <w:pStyle w:val="NormalHanging12a"/>
        <w:rPr>
          <w:szCs w:val="24"/>
        </w:rPr>
      </w:pPr>
      <w:r w:rsidRPr="009641A3">
        <w:t>5.</w:t>
      </w:r>
      <w:r w:rsidRPr="009641A3">
        <w:tab/>
        <w:t>bifalder henstillingerne efter Ombudsmandens undersøgelse på eget initiativ om den tid, det tager Kommissionen at behandle anmodninger om aktindsigt;</w:t>
      </w:r>
      <w:r w:rsidRPr="009641A3">
        <w:rPr>
          <w:b/>
          <w:i/>
          <w:shd w:val="clear" w:color="auto" w:fill="FFFFFF"/>
        </w:rPr>
        <w:t xml:space="preserve"> </w:t>
      </w:r>
      <w:r w:rsidRPr="009641A3">
        <w:t>opfordrer Kommissionen til at forbedre måden, den behandler sådanne anmodninger på, til hurtigst muligt at gøre noget ved sine systemiske forsinkelser og til at overholde de frister, der er fastsat i forordning (EF) nr. 1049/2001 om aktindsigt i Europa-Parlamentets, Rådets og Kommissionens dokumenter; deler Ombudsmandens synspunkt om, at de dokumenter og oplysninger, der anmodes om, ofte er tidsfølsomme og kan miste deres relevans for de personer, der anmoder om aktindsigt, hvis der opstår forsinkelser; mener, at Kommissionen proaktivt skal offentliggøre dokumenter og statistikker om, hvordan den behandler anmodninger om aktindsigt, da sådanne oplysninger er afgørende for at forbedre gennemsigtigheden på dette område og styrke Kommissionens ansvarlighed over for borgerne; understreger, at gennemsigtighed i beslutningsprocessen har været fokus for mange af Ombudsmandens undersøgelser, navnlig hvad angår lobbyvirksomhed;</w:t>
      </w:r>
    </w:p>
    <w:p w:rsidR="0082358E" w:rsidRPr="009641A3" w:rsidRDefault="0082358E" w:rsidP="0082358E">
      <w:pPr>
        <w:pStyle w:val="NormalHanging12a"/>
        <w:rPr>
          <w:szCs w:val="24"/>
        </w:rPr>
      </w:pPr>
      <w:r w:rsidRPr="009641A3">
        <w:t>6.</w:t>
      </w:r>
      <w:r w:rsidRPr="009641A3">
        <w:rPr>
          <w:b/>
          <w:i/>
        </w:rPr>
        <w:tab/>
      </w:r>
      <w:r w:rsidRPr="009641A3">
        <w:t xml:space="preserve">understreger, at aktindsigt er en grundlæggende rettighed for EU-borgerne og en hjørnesten i det europæiske demokrati; minder om, at den teknologiske og samfundsmæssige udvikling siden vedtagelsen af forordning (EF) nr. 1049/2001 kræver, at den tilpasses den nye digitale kontekst; erkender i den forbindelse, at der er behov for en revision af forordning (EF) nr. 1049/2001, og opfordrer indtrængende Rådet til at indlede konstruktive forhandlinger med Parlamentet og Kommissionen om revisionen heraf med henblik på at gøre disse tre centrale EU-institutioner til rollemodeller for gennemsigtighed og offentlig ansvarlighed i hele EU; er af den faste overbevisning, at alle forhandlinger om revisionen af forordning (EF) nr. 1049/2001 bør tage udgangspunkt i den holdning, som Parlamentet allerede har vedtaget, og at forordningens anvendelsesområde bør udvides til at omfatte alle EU's institutioner, organer og agenturer, således at ansvarligheden i beslutningsprocessen øges; minder i den sammenhæng om Parlamentets synspunkt om, at "dokument" bør betyde alt dataindhold uanset medium (skrevet på papir eller opbevaret elektronisk, lyd- eller billedoptagelser eller audiovisuelle optagelser), som vedrører spørgsmål, der henhører under en EU-institutions eller et EU-organs, </w:t>
      </w:r>
      <w:r w:rsidRPr="009641A3">
        <w:noBreakHyphen/>
        <w:t xml:space="preserve">kontors eller </w:t>
      </w:r>
      <w:r w:rsidRPr="009641A3">
        <w:noBreakHyphen/>
        <w:t>agenturs ansvarsområde</w:t>
      </w:r>
      <w:r w:rsidRPr="009641A3">
        <w:rPr>
          <w:szCs w:val="24"/>
          <w:vertAlign w:val="superscript"/>
        </w:rPr>
        <w:footnoteReference w:id="4"/>
      </w:r>
      <w:r w:rsidRPr="009641A3">
        <w:t>; understreger, at det er helt afgørende, at institutionerne er gennemsigtige i deres forbindelser med borgerne, hvilket Ombudsmanden også anerkendte i sin undersøgelse af gennemsigtigheden af triloger</w:t>
      </w:r>
      <w:r w:rsidRPr="009641A3">
        <w:rPr>
          <w:rStyle w:val="FootnoteReference"/>
          <w:iCs/>
        </w:rPr>
        <w:footnoteReference w:id="5"/>
      </w:r>
      <w:r w:rsidRPr="009641A3">
        <w:t xml:space="preserve">, hvori Ombudsmanden udtrykte forståelse for de særlige udfordringer og følsomheder inden for EU-systemet med </w:t>
      </w:r>
      <w:proofErr w:type="spellStart"/>
      <w:r w:rsidRPr="009641A3">
        <w:t>interinstitutionelle</w:t>
      </w:r>
      <w:proofErr w:type="spellEnd"/>
      <w:r w:rsidRPr="009641A3">
        <w:t xml:space="preserve"> forhandlinger, men opfordrede institutionerne til at gøre en indsats for at overvinde sådanne udfordringer for at give borgerne mulighed for reelt at udøve deres demokratiske rettigheder; </w:t>
      </w:r>
    </w:p>
    <w:p w:rsidR="0082358E" w:rsidRPr="009641A3" w:rsidRDefault="0082358E" w:rsidP="0082358E">
      <w:pPr>
        <w:pStyle w:val="NormalHanging12a"/>
        <w:rPr>
          <w:szCs w:val="24"/>
        </w:rPr>
      </w:pPr>
      <w:r w:rsidRPr="009641A3">
        <w:t>7.</w:t>
      </w:r>
      <w:r w:rsidRPr="009641A3">
        <w:tab/>
        <w:t>tilslutter sig konklusionerne i Ombudsmandens særberetning</w:t>
      </w:r>
      <w:r w:rsidRPr="009641A3">
        <w:rPr>
          <w:rStyle w:val="FootnoteReference"/>
        </w:rPr>
        <w:footnoteReference w:id="6"/>
      </w:r>
      <w:r w:rsidRPr="009641A3">
        <w:t xml:space="preserve"> til Europa-Parlamentet om den tid, det tager Kommissionen at behandle anmodninger om aktindsigt, og er </w:t>
      </w:r>
      <w:r w:rsidRPr="009641A3">
        <w:lastRenderedPageBreak/>
        <w:t xml:space="preserve">bekymret over Ombudsmandens vurdering af, at disse systemiske og betydelige forsinkelser i Kommissionens behandling af anmodninger om aktindsigt udgør fejl og forsømmelser; understreger, hvor vigtigt det er, at Kommissionen afsætter flere ressourcer til at behandle genfremsatte begæringer i henhold til forordning (EF) nr. 1049/2001, og at der er behov for mere proaktiv gennemsigtighed og en mere konstruktiv tilgang til de personer, der anmoder om aktindsigt; </w:t>
      </w:r>
      <w:r w:rsidRPr="009641A3">
        <w:rPr>
          <w:shd w:val="clear" w:color="auto" w:fill="FFFFFF"/>
        </w:rPr>
        <w:t>opfordrer Kommissionen til at rette op på denne situation snarest muligt ved at reformere sin håndtering af aktindsigt;</w:t>
      </w:r>
      <w:r w:rsidRPr="009641A3">
        <w:rPr>
          <w:b/>
          <w:i/>
          <w:color w:val="000000"/>
          <w:shd w:val="clear" w:color="auto" w:fill="FFFFFF"/>
        </w:rPr>
        <w:t xml:space="preserve"> </w:t>
      </w:r>
      <w:r w:rsidRPr="009641A3">
        <w:t xml:space="preserve">minder Kommissionen om Parlamentets ret til at anlægge sag mod den ved Den Europæiske Unions Domstol (EU-Domstolen) og forventer et klart og utvetydigt tilsagn fra det nye kommissærkollegium om at rette op på denne situation; </w:t>
      </w:r>
    </w:p>
    <w:p w:rsidR="0082358E" w:rsidRPr="009641A3" w:rsidRDefault="0082358E" w:rsidP="0082358E">
      <w:pPr>
        <w:pStyle w:val="NormalHanging12a"/>
        <w:rPr>
          <w:szCs w:val="24"/>
        </w:rPr>
      </w:pPr>
      <w:r w:rsidRPr="009641A3">
        <w:t>8.</w:t>
      </w:r>
      <w:r w:rsidRPr="009641A3">
        <w:tab/>
        <w:t>noterer sig Ombudsmandens undersøgelse af, i hvilket omfang Europa-Parlamentet, Rådet for Den Europæiske Union og Europa-Kommissionen anvender EU-retten og EU-Domstolens afgørelser i forbindelse med begæringer om aktindsigt i lovgivningsmæssige dokumenter, og hvori Ombudsmanden understregede, at det var nødvendigt at sikre rettidig aktindsigt i lovgivningsdokumenter og lette EU-borgernes deltagelse i EU's lovgivningsproces; anerkender betydningen af alle institutioners rettidige behandling af anmodninger om aktindsigt for at fremme en følelse af tillid til EU's lovgivningsproces, som er baseret på hovedprincipperne om gennemsigtighed og offentlig adgang til oplysninger, som bekræftet i EU-Domstolens retspraksis; minder om, at EU-institutionerne i henhold til EU-Domstolens retspraksis kun kan nægte at offentliggøre lovgivningsmæssige dokumenter under ekstraordinære omstændigheder, og at deres begrundelse herfor skal være baseret på specifikke og håndgribelige kendsgerninger;</w:t>
      </w:r>
    </w:p>
    <w:p w:rsidR="0082358E" w:rsidRPr="009641A3" w:rsidRDefault="0082358E" w:rsidP="0082358E">
      <w:pPr>
        <w:pStyle w:val="NormalHanging12a"/>
        <w:rPr>
          <w:szCs w:val="24"/>
        </w:rPr>
      </w:pPr>
      <w:r w:rsidRPr="009641A3">
        <w:rPr>
          <w:shd w:val="clear" w:color="auto" w:fill="FFFFFF"/>
        </w:rPr>
        <w:t>9.</w:t>
      </w:r>
      <w:r w:rsidRPr="009641A3">
        <w:rPr>
          <w:b/>
          <w:i/>
          <w:shd w:val="clear" w:color="auto" w:fill="FFFFFF"/>
        </w:rPr>
        <w:tab/>
      </w:r>
      <w:r w:rsidRPr="009641A3">
        <w:rPr>
          <w:shd w:val="clear" w:color="auto" w:fill="FFFFFF"/>
        </w:rPr>
        <w:t xml:space="preserve">bemærker Ombudsmandens hensigt om at foretage en bredere undersøgelse af, hvordan Kommissionen fortolker begrebet miljøoplysninger og oplysninger vedrørende emissioner til miljøet; </w:t>
      </w:r>
      <w:r w:rsidRPr="009641A3">
        <w:t>er især bekymret over, at Ombudsmanden konstaterede fejl og forsømmelser i Kommissionens afslag på at give aktindsigt i dokumenter vedrørende den keramiske industris drivhusgasemissioner, der er indberettet inden for rammerne af EU's emissionshandelssystem; beklager, at Kommissionen afviste den løsning, som Ombudsmanden foreslog, og ikke sikrede den efterspurgte gennemsigtighed eller den fulde virkning af Europa-Parlamentets og Rådets forordning (EF) nr. 1367/2006 af 6. september 2006 om anvendelse af Århuskonventionens bestemmelser om adgang til oplysninger, offentlig deltagelse i beslutningsprocesser samt adgang til klage og domstolsprøvelse på miljøområdet på Fællesskabets institutioner og organer</w:t>
      </w:r>
      <w:r w:rsidRPr="009641A3">
        <w:rPr>
          <w:rStyle w:val="FootnoteReference"/>
          <w:bCs/>
          <w:szCs w:val="24"/>
          <w:shd w:val="clear" w:color="auto" w:fill="FFFFFF"/>
        </w:rPr>
        <w:footnoteReference w:id="7"/>
      </w:r>
      <w:r w:rsidRPr="009641A3">
        <w:t xml:space="preserve"> og af Århuskonventionen; opfordrer Kommissionen til at sikre offentlig adgang til miljøoplysninger i overensstemmelse med EU-retten og EU-Domstolens relaterede retspraksis og til at fremme offentlighedens deltagelse i beslutningsprocesser på miljøområdet;</w:t>
      </w:r>
      <w:r w:rsidRPr="009641A3">
        <w:rPr>
          <w:shd w:val="clear" w:color="auto" w:fill="FFFFFF"/>
        </w:rPr>
        <w:t xml:space="preserve"> </w:t>
      </w:r>
      <w:r w:rsidRPr="009641A3">
        <w:t>er bekymret for, at Kommissionens afslag på at give aktindsigt i alle dokumenter, der er anmodet om, vedrørende de drivhusgasemissioner, der er rapporteret under EU's emissionshandelssystem, omfatter yderligere industrianlæg uden for den keramiske industri, og opfordrer Ombudsmanden til fortsat at skabe opmærksomhed om undersøgelsernes konklusioner med henblik på at øge gennemsigtigheden; minder om, at et betydeligt antal andragender til Europa-Parlamentet vedrører manglende eller begrænset adgang til miljøoplysninger;</w:t>
      </w:r>
    </w:p>
    <w:p w:rsidR="0082358E" w:rsidRPr="009641A3" w:rsidRDefault="0082358E" w:rsidP="0082358E">
      <w:pPr>
        <w:pStyle w:val="NormalHanging12a"/>
      </w:pPr>
      <w:r w:rsidRPr="009641A3">
        <w:t>10.</w:t>
      </w:r>
      <w:r w:rsidRPr="009641A3">
        <w:tab/>
        <w:t>opfordrer Rådet til at give fuld aktindsigt i den juridiske udtalelse om Europa-Parlamentets og Rådets direktiv (EU) 2022/2041 af 19. oktober 2022</w:t>
      </w:r>
      <w:r w:rsidRPr="009641A3">
        <w:rPr>
          <w:rStyle w:val="FootnoteReference"/>
          <w:bCs/>
          <w:szCs w:val="24"/>
          <w:shd w:val="clear" w:color="auto" w:fill="FFFFFF"/>
        </w:rPr>
        <w:footnoteReference w:id="8"/>
      </w:r>
      <w:r w:rsidRPr="009641A3">
        <w:t xml:space="preserve"> om passende </w:t>
      </w:r>
      <w:r w:rsidRPr="009641A3">
        <w:lastRenderedPageBreak/>
        <w:t>mindstelønninger i Den Europæiske Union som anbefalet af Ombudsmanden, der fandt bevis for fejl og forsømmelser i denne sag;</w:t>
      </w:r>
    </w:p>
    <w:p w:rsidR="0082358E" w:rsidRPr="009641A3" w:rsidRDefault="0082358E" w:rsidP="0082358E">
      <w:pPr>
        <w:pStyle w:val="NormalHanging12a"/>
        <w:rPr>
          <w:szCs w:val="24"/>
        </w:rPr>
      </w:pPr>
      <w:r w:rsidRPr="009641A3">
        <w:t>11.</w:t>
      </w:r>
      <w:r w:rsidRPr="009641A3">
        <w:rPr>
          <w:b/>
          <w:i/>
        </w:rPr>
        <w:tab/>
      </w:r>
      <w:r w:rsidRPr="009641A3">
        <w:t xml:space="preserve">støtter Ombudsmanden i hendes bestræbelser på at bidrage yderligere til klarlæggelsen af, hvad et EU-dokument er, og understreger, at EU-institutionerne bør følge Ombudsmandens henstillinger med henblik på at tilpasse deres forvaltningsmæssige praksis til udviklingen inden for kommunikationsmidler; understreger, at borgernes ret til aktindsigt i oplysninger gælder for skriftlige fysiske og elektroniske dokumenter samt for lydoptagelser og audiovisuelle optagelser, der vedrører EU-institutionernes politikker, aktiviteter og beslutninger, og minder om, at arbejdsrelaterede tekstbeskeder og </w:t>
      </w:r>
      <w:proofErr w:type="spellStart"/>
      <w:r w:rsidRPr="009641A3">
        <w:t>straksbeskeder</w:t>
      </w:r>
      <w:proofErr w:type="spellEnd"/>
      <w:r w:rsidRPr="009641A3">
        <w:t xml:space="preserve"> betragtes som "dokumenter" i henhold til forordning (EF) nr. 1049/2001; beklager de tilfælde, hvor Kommissionen undlod at give aktindsigt i dokumenter i form af e-mails eller tekstbeskeder, f.eks. dem, der vedrørte udkastene til EU's jordbundsstrategi, EU's skovstrategi og EU's klimatilpasningsstrategi, eller udvekslingerne mellem Kommissionens formand og den administrerende direktør for en medicinalvirksomhed i forbindelse med indkøb af covid-19-vacciner; </w:t>
      </w:r>
    </w:p>
    <w:p w:rsidR="0082358E" w:rsidRPr="009641A3" w:rsidRDefault="0082358E" w:rsidP="0082358E">
      <w:pPr>
        <w:pStyle w:val="NormalHanging12a"/>
      </w:pPr>
      <w:r w:rsidRPr="009641A3">
        <w:t>12.</w:t>
      </w:r>
      <w:r w:rsidRPr="009641A3">
        <w:tab/>
        <w:t>påskønner Ombudsmandens tilsagn om at værne om de grundlæggende rettigheder i forbindelse med migrationsrelaterede tiltag; bemærker, at Ombudsmanden anmodede Kommissionen om en yderligere præcisering af, hvordan den agter at sikre respekt for menneskerettighederne i forbindelse med aftalememorandummet mellem EU og Tunesien, i et forsøg på at sikre, at EU overholder sine forpligtelser på menneskerettighedsområdet; understreger, at alle EU's institutioner, organer og agenturer har en forpligtelse til at respektere menneskerettighederne og de grundlæggende frihedsrettigheder som fastsat i traktaterne og chartret;</w:t>
      </w:r>
    </w:p>
    <w:p w:rsidR="0082358E" w:rsidRPr="009641A3" w:rsidRDefault="0082358E" w:rsidP="0082358E">
      <w:pPr>
        <w:pStyle w:val="NormalHanging12a"/>
      </w:pPr>
      <w:r w:rsidRPr="009641A3">
        <w:t>13.</w:t>
      </w:r>
      <w:r w:rsidRPr="009641A3">
        <w:tab/>
        <w:t>noterer sig, at Kommissionen har besluttet at samarbejde med nationale og lokale myndigheder om at udarbejde en konsekvensanalyse vedrørende grundlæggende rettigheder af EU-finansierede migrationsstyringsfaciliteter som følge af en relevant undersøgelse på eget initiativ foretaget af Ombudsmanden;</w:t>
      </w:r>
    </w:p>
    <w:p w:rsidR="0082358E" w:rsidRPr="009641A3" w:rsidRDefault="0082358E" w:rsidP="0082358E">
      <w:pPr>
        <w:pStyle w:val="NormalHanging12a"/>
        <w:rPr>
          <w:szCs w:val="24"/>
        </w:rPr>
      </w:pPr>
      <w:r w:rsidRPr="009641A3">
        <w:t>14.</w:t>
      </w:r>
      <w:r w:rsidRPr="009641A3">
        <w:rPr>
          <w:b/>
          <w:i/>
        </w:rPr>
        <w:tab/>
      </w:r>
      <w:r w:rsidRPr="009641A3">
        <w:t>glæder sig over Ombudsmandens undersøgelser efter Qatargate-skandalen i Parlamentet; støtter kraftigt Ombudsmandens konklusioner om, at EU's etiske regler og regler om korruptionsbekæmpelse skal overholdes og styrkes af EU-institutionerne, og at Parlamentets gennemførelse af reformer på dette område skal overvåges og håndhæves korrekt på alle niveauer; fremhæver, at det er nødvendigt, at Parlamentet og Kommissionen altid er særdeles opmærksomme på direkte og indirekte lobbyvirksomhed for at kunne opdage huller og svagheder, som kan være til fare for gennemsigtigheden og ansvarligheden og øge risikoen for potentielle interessekonflikter; glæder sig over de betydelige fremskridt, der er gjort med den nuværende adfærdskodeks for medlemmer af Europa-Parlamentet for så vidt angår integritet og gennemsigtighed, og opfordrer Ombudsmanden til at fortsætte med at overvåge gennemførelsesprocessen for denne, hvor det er relevant; understreger, at de etiske regler skal følges nøje for at styrke borgernes tillid til EU-institutionerne;</w:t>
      </w:r>
    </w:p>
    <w:p w:rsidR="0082358E" w:rsidRPr="009641A3" w:rsidRDefault="0082358E" w:rsidP="0082358E">
      <w:pPr>
        <w:pStyle w:val="NormalHanging12a"/>
        <w:rPr>
          <w:szCs w:val="24"/>
        </w:rPr>
      </w:pPr>
      <w:r w:rsidRPr="009641A3">
        <w:t>15.</w:t>
      </w:r>
      <w:r w:rsidRPr="009641A3">
        <w:tab/>
        <w:t>fremhæver den afgørende rolle, som gennemsigtighed, god forvaltningsskik og institutionelle kontrolmekanismer spiller i det arbejde, der udføres af EU's institutioner;</w:t>
      </w:r>
    </w:p>
    <w:p w:rsidR="0082358E" w:rsidRPr="009641A3" w:rsidRDefault="0082358E" w:rsidP="0082358E">
      <w:pPr>
        <w:pStyle w:val="NormalHanging12a"/>
        <w:rPr>
          <w:szCs w:val="24"/>
        </w:rPr>
      </w:pPr>
      <w:r w:rsidRPr="009641A3">
        <w:t>16.</w:t>
      </w:r>
      <w:r w:rsidRPr="009641A3">
        <w:tab/>
        <w:t xml:space="preserve">noterer sig Ombudsmandens undersøgelser af risikoen for interessekonflikter i Kommissionen, navnlig med hensyn til Den Europæiske Forsvarsfond (EDF), herunder det forhold, at Kommissionen ikke er forpligtet til at offentliggøre navnene på de eksperter, den hører om EDF-relaterede projekter; henviser i den forbindelse til </w:t>
      </w:r>
      <w:r w:rsidRPr="009641A3">
        <w:lastRenderedPageBreak/>
        <w:t xml:space="preserve">Ombudsmandens forslag om, at Kommissionen proaktivt bør offentliggøre interesseerklæringerne fra medlemmerne af Udvalget for </w:t>
      </w:r>
      <w:proofErr w:type="spellStart"/>
      <w:r w:rsidRPr="009641A3">
        <w:t>Forskriftskontrol</w:t>
      </w:r>
      <w:proofErr w:type="spellEnd"/>
      <w:r w:rsidRPr="009641A3">
        <w:t xml:space="preserve"> og om nødvendigt ændre de relevante regler for udvalget; </w:t>
      </w:r>
    </w:p>
    <w:p w:rsidR="0082358E" w:rsidRPr="009641A3" w:rsidRDefault="0082358E" w:rsidP="0082358E">
      <w:pPr>
        <w:pStyle w:val="NormalHanging12a"/>
      </w:pPr>
      <w:r w:rsidRPr="009641A3">
        <w:t>17.</w:t>
      </w:r>
      <w:r w:rsidRPr="009641A3">
        <w:tab/>
        <w:t xml:space="preserve">noterer sig Ombudsmandens opfordring til Den Europæiske Investeringsbank (EIB) om at forbedre dens regler om interessekonflikter og styrke den tilsynsrolle, som dens udvalg vedrørende </w:t>
      </w:r>
      <w:proofErr w:type="spellStart"/>
      <w:r w:rsidRPr="009641A3">
        <w:t>deontologi</w:t>
      </w:r>
      <w:proofErr w:type="spellEnd"/>
      <w:r w:rsidRPr="009641A3">
        <w:t xml:space="preserve"> og </w:t>
      </w:r>
      <w:proofErr w:type="spellStart"/>
      <w:r w:rsidRPr="009641A3">
        <w:t>compliance</w:t>
      </w:r>
      <w:proofErr w:type="spellEnd"/>
      <w:r w:rsidRPr="009641A3">
        <w:t xml:space="preserve"> har, som følge af at dens næstformand er blevet administrerende direktør for en national erhvervsfremmende bank; opfordrer i den forbindelse Ombudsmanden til fortsat at have fokus på spørgsmålet om karensperioder og svingdørssituationer for ledende medarbejdere i alle EU's institutioner, agenturer og organer med henblik på at sikre de højeste etiske standarder for gennemsigtighed og offentlig ansvarlighed;</w:t>
      </w:r>
    </w:p>
    <w:p w:rsidR="0082358E" w:rsidRPr="009641A3" w:rsidRDefault="0082358E" w:rsidP="0082358E">
      <w:pPr>
        <w:pStyle w:val="NormalHanging12a"/>
        <w:rPr>
          <w:szCs w:val="24"/>
          <w:shd w:val="clear" w:color="auto" w:fill="FFFFFF"/>
        </w:rPr>
      </w:pPr>
      <w:r w:rsidRPr="009641A3">
        <w:rPr>
          <w:shd w:val="clear" w:color="auto" w:fill="FFFFFF"/>
        </w:rPr>
        <w:t>18.</w:t>
      </w:r>
      <w:r w:rsidRPr="009641A3">
        <w:rPr>
          <w:shd w:val="clear" w:color="auto" w:fill="FFFFFF"/>
        </w:rPr>
        <w:tab/>
        <w:t>glæder sig over Kommissionens ændringer af dens interne vejledning om offentlige udbud, som er blevet vurderet positivt i Ombudsmandens undersøgelse, og som styrker dens håndtering af potentielle erhvervsmæssige interessekonflikter i forbindelse med udbud;</w:t>
      </w:r>
    </w:p>
    <w:p w:rsidR="0082358E" w:rsidRPr="009641A3" w:rsidRDefault="0082358E" w:rsidP="0082358E">
      <w:pPr>
        <w:pStyle w:val="NormalHanging12a"/>
      </w:pPr>
      <w:r w:rsidRPr="009641A3">
        <w:t>19.</w:t>
      </w:r>
      <w:r w:rsidRPr="009641A3">
        <w:tab/>
        <w:t xml:space="preserve">opfordrer Kommissionen til at intensivere sine bestræbelser på at øge gennemsigtigheden med hensyn til genopretnings- og </w:t>
      </w:r>
      <w:proofErr w:type="spellStart"/>
      <w:r w:rsidRPr="009641A3">
        <w:t>resiliensfaciliteten</w:t>
      </w:r>
      <w:proofErr w:type="spellEnd"/>
      <w:r w:rsidRPr="009641A3">
        <w:t xml:space="preserve"> og opfordrer Kommissionen til at forbedre sin behandling af begæringer om aktindsigt i dokumenter vedrørende genopretnings- og </w:t>
      </w:r>
      <w:proofErr w:type="spellStart"/>
      <w:r w:rsidRPr="009641A3">
        <w:t>resiliensfaciliteten</w:t>
      </w:r>
      <w:proofErr w:type="spellEnd"/>
      <w:r w:rsidRPr="009641A3">
        <w:t xml:space="preserve"> og til fortsat at offentliggøre foreløbige vurderinger af medlemsstaternes betalingsanmodninger;</w:t>
      </w:r>
    </w:p>
    <w:p w:rsidR="0082358E" w:rsidRPr="009641A3" w:rsidRDefault="0082358E" w:rsidP="0082358E">
      <w:pPr>
        <w:pStyle w:val="NormalHanging12a"/>
        <w:rPr>
          <w:shd w:val="clear" w:color="auto" w:fill="FFFFFF"/>
        </w:rPr>
      </w:pPr>
      <w:r w:rsidRPr="009641A3">
        <w:t>20.</w:t>
      </w:r>
      <w:r w:rsidRPr="009641A3">
        <w:tab/>
        <w:t>glæder sig over Ombudsmandens beslutning om at indlede en undersøgelse på eget initiativ af Kommissionens forsinkelser i forbindelse med risikostyring af farlige kemikalier, hvis formål er at undersøge forsinkelser i indførelsen af restriktioner for at mindske risiciene ved specifikke kemikalier og i opførelsen af kemikalier på listen over stoffer, hvis anvendelse kræver forudgående godkendelse;</w:t>
      </w:r>
    </w:p>
    <w:p w:rsidR="0082358E" w:rsidRPr="009641A3" w:rsidRDefault="0082358E" w:rsidP="0082358E">
      <w:pPr>
        <w:pStyle w:val="NormalHanging12a"/>
        <w:rPr>
          <w:spacing w:val="2"/>
          <w:szCs w:val="24"/>
          <w:shd w:val="clear" w:color="auto" w:fill="FFFFFF"/>
        </w:rPr>
      </w:pPr>
      <w:r w:rsidRPr="009641A3">
        <w:rPr>
          <w:shd w:val="clear" w:color="auto" w:fill="FFFFFF"/>
        </w:rPr>
        <w:t>21.</w:t>
      </w:r>
      <w:r w:rsidRPr="009641A3">
        <w:rPr>
          <w:shd w:val="clear" w:color="auto" w:fill="FFFFFF"/>
        </w:rPr>
        <w:tab/>
        <w:t>er bekymret over, at Ombudsmanden har konstateret flere problemer med gennemsigtighed i Kommissionens interaktion med tobaksindustrien; bemærker imidlertid, at Kommissionen har forpligtet sig til yderligere at vurdere sine tjenestegrenes eksponering for tobaksindustriens lobbyvirksomhed;</w:t>
      </w:r>
      <w:r w:rsidRPr="009641A3">
        <w:rPr>
          <w:color w:val="000000"/>
          <w:shd w:val="clear" w:color="auto" w:fill="FFFFFF"/>
        </w:rPr>
        <w:t xml:space="preserve"> minder Kommissionen om, at EU og alle dets medlemsstater har undertegnet Verdenssundhedsorganisationens rammekonvention om bekæmpelse af tobaksrygning, og at de derfor ved fastlæggelsen og gennemførelsen af deres folkesundhedspolitikker med hensyn til tobakskontrol er forpligtet til at træffe foranstaltninger til at beskytte disse politikker mod tobaksindustriens kommercielle interesser og andre særinteresser;</w:t>
      </w:r>
    </w:p>
    <w:p w:rsidR="0082358E" w:rsidRPr="009641A3" w:rsidRDefault="0082358E" w:rsidP="0082358E">
      <w:pPr>
        <w:pStyle w:val="NormalHanging12a"/>
      </w:pPr>
      <w:r w:rsidRPr="009641A3">
        <w:t>22.</w:t>
      </w:r>
      <w:r w:rsidRPr="009641A3">
        <w:tab/>
        <w:t>minder om EU-institutionernes ufravigelige forpligtelse til at sikre uafhængige og velkvalificerede tjenestemænd, der rekrutteres på en åben måde og med en passende geografisk balance mellem nationaliteter og sprog; påpeger, at Ombudsmanden gennemførte en undersøgelse af, hvordan Det Europæiske Personaleudvælgelseskontor (EPSO) gennemførte "forhåndsudvælgelsesprøver" som led i en procedure for ansættelse af nyt personale i EU's offentlige tjeneste, og konstaterede problemer med tilrettelæggelsen af prøver, der udelukkende gennemføres på afstand; opfordrer EPSO til at forbedre sine ansættelsesprocedurer ved at sikre, at de tekniske krav ikke stiller visse ansøgere ringere, og til at give klare oplysninger til kandidaterne; er af den opfattelse, at kandidaterne, hvis de vælger det, bør have mulighed for at deltage i disse test ved at være fysisk til stede i et testcenter, hvilket også var almindelig praksis forud for covid-19-pandemien;</w:t>
      </w:r>
    </w:p>
    <w:p w:rsidR="0082358E" w:rsidRPr="009641A3" w:rsidRDefault="0082358E" w:rsidP="0082358E">
      <w:pPr>
        <w:pStyle w:val="NormalHanging12a"/>
      </w:pPr>
      <w:r w:rsidRPr="009641A3">
        <w:lastRenderedPageBreak/>
        <w:t>23.</w:t>
      </w:r>
      <w:r w:rsidRPr="009641A3">
        <w:tab/>
        <w:t>glæder sig over, at Den Europæiske Ombudsmands kontor i 2023 fortsatte med at reklamere for sin rolle og formidle sit arbejde til det bredest mulige publikum og deltog i Det Europæiske Ungdomsarrangement (EYE2023); understreger vigtigheden af den drøftelse, som Ombudsmanden organiserede med deltagelse af Kommissionen og Parlamentet, om EU-forvaltningens overholdelse af integritetsrammen;</w:t>
      </w:r>
    </w:p>
    <w:p w:rsidR="0082358E" w:rsidRPr="009641A3" w:rsidRDefault="0082358E" w:rsidP="0082358E">
      <w:pPr>
        <w:pStyle w:val="NormalHanging12a"/>
      </w:pPr>
      <w:r w:rsidRPr="009641A3">
        <w:t>24.</w:t>
      </w:r>
      <w:r w:rsidRPr="009641A3">
        <w:tab/>
        <w:t>glæder sig over Ombudsmandens undersøgelser efter klager fra personer med handicap og støtter Ombudsmandens arbejde som en aktiv deltager i EU-rammen for UNCRPD; fremhæver betydningen af Ombudsmandens tilsagn om at overvåge EU-forvaltningens gennemførelse af UNCRPD og opfordrer alle EU-institutionerne til at være yderst opmærksomme på Ombudsmandens henstillinger i forbindelse med undersøgelserne vedrørende rettigheder for personer med handicap; påskønner Ombudsmandens formandskab i 2023 for EU-rammen for UNCRPD og hendes fortsatte arbejde som medlem af denne ramme;</w:t>
      </w:r>
    </w:p>
    <w:p w:rsidR="0082358E" w:rsidRPr="009641A3" w:rsidRDefault="0082358E" w:rsidP="0082358E">
      <w:pPr>
        <w:pStyle w:val="NormalHanging12a"/>
      </w:pPr>
      <w:r w:rsidRPr="009641A3">
        <w:t>25.</w:t>
      </w:r>
      <w:r w:rsidRPr="009641A3">
        <w:tab/>
        <w:t>understreger, at "det europæiske tilgængelighedsdirektiv"</w:t>
      </w:r>
      <w:r w:rsidRPr="009641A3">
        <w:rPr>
          <w:vertAlign w:val="superscript"/>
        </w:rPr>
        <w:footnoteReference w:id="9"/>
      </w:r>
      <w:r w:rsidRPr="009641A3">
        <w:t xml:space="preserve"> blev vedtaget den 17. april 2019, og at den deri fastsatte frist for medlemsstaternes gennemførelse heraf var den 28. juni 2022; understreger, at hovedformålet med det europæiske tilgængelighedsdirektiv var at gøre livet lettere for mindst 87 millioner personer med handicap og lette deres adgang til bl.a. offentlig transport, banktjenester, computere, fjernsyn, e-bøger og onlinebutikker; beklager dybt, at ingen medlemsstat endnu har været i stand til at sikre en fuldstændig og konsekvent gennemførelse af direktivet i national ret og bliver ved med at akkumulere forsinkelser, hvilket bekræftes af de igangværende traktatbrudssager, som Kommissionen har indledt mod dem alle; opfordrer Ombudsmanden til at gøre opmærksom på denne meget alvorlige overtrædelse af EU-retten, som i alvorlig grad undergraver rettighederne for personer med handicap, som led i de overordnede aktiviteter, der gennemføres inden for EU-rammen for FN's konvention om rettigheder for personer med handicap, med henblik på at bidrage til at få løst problemet snarest muligt;</w:t>
      </w:r>
    </w:p>
    <w:p w:rsidR="0082358E" w:rsidRPr="009641A3" w:rsidRDefault="0082358E" w:rsidP="0082358E">
      <w:pPr>
        <w:pStyle w:val="NormalHanging12a"/>
      </w:pPr>
      <w:r w:rsidRPr="009641A3">
        <w:t>26.</w:t>
      </w:r>
      <w:r w:rsidRPr="009641A3">
        <w:tab/>
        <w:t>glæder sig over Ombudsmandens undersøgelse af, hvordan Kommissionen anvender reglen i EU's personalevedtægt om fordobling af børnetilskuddet for at hjælpe med pasning af børn med handicap; glæder sig i den forbindelse over Kommissionens initiativ til at revidere de gældende regler for hele EU-forvaltningen med henblik på at sikre en individuel materiel vurdering af alle ansøgninger om denne form for tilskud;</w:t>
      </w:r>
    </w:p>
    <w:p w:rsidR="0082358E" w:rsidRPr="009641A3" w:rsidRDefault="0082358E" w:rsidP="0082358E">
      <w:pPr>
        <w:pStyle w:val="NormalHanging12a"/>
      </w:pPr>
      <w:r w:rsidRPr="009641A3">
        <w:t>27.</w:t>
      </w:r>
      <w:r w:rsidRPr="009641A3">
        <w:tab/>
        <w:t>understreger, at det europæiske netværk af ombudsmænd og de årlige møder, som afholdes sammen med nationale og regionale ombudsmænd via det europæiske netværk af ombudsmænd, har stor betydning for at skabe opmærksomhed om, hvad Den Europæiske Ombudsmand kan gøre for de europæiske borgere; opfordrer Ombudsmanden til fortsat at deltage i udveksling af erfaringer og bedste praksis med nationale ombudsmænd gennem det europæiske netværk af ombudsmænd; noterer sig, at den årlige konference inden for rammerne af det europæiske netværk af ombudsmænd i 2023 fokuserede på beskyttelse af menneskerettighederne og på fordele og potentielle ulemper ved anvendelsen af AI i den offentlige forvaltning;</w:t>
      </w:r>
      <w:r w:rsidRPr="009641A3">
        <w:rPr>
          <w:b/>
          <w:i/>
        </w:rPr>
        <w:t> </w:t>
      </w:r>
      <w:r w:rsidRPr="009641A3">
        <w:t>tilskynder civilsamfundsorganisationer til at gøre bedre brug af Den Europæiske Ombudsmands tjenester til at foretage kontrol af EU-institutionerne, garantere gennemsigtighed og tackle sager om manglende overholdelse af EU-retten;</w:t>
      </w:r>
      <w:r w:rsidR="005968E9">
        <w:t xml:space="preserve"> </w:t>
      </w:r>
      <w:r w:rsidR="005968E9" w:rsidRPr="005968E9">
        <w:t xml:space="preserve">glæder sig over, at </w:t>
      </w:r>
      <w:r w:rsidR="005968E9" w:rsidRPr="005968E9">
        <w:lastRenderedPageBreak/>
        <w:t>ombudsmandsinstitutionen for menneskerettigheder i Bosnien-Hercegovina har tilsluttet sig det europæiske netværk af ombudsmænd; opfordrer Ombudsmanden til at styrke samarbejdet med de nationale ombudsmandskontorer i EU-kandidatlandene for at styrke disse landes offentlige myndigheders evne til at tilpasse sig EU</w:t>
      </w:r>
      <w:r w:rsidR="00804186">
        <w:t>-</w:t>
      </w:r>
      <w:r w:rsidR="005968E9" w:rsidRPr="005968E9">
        <w:t>standarder for god forvaltning, integritet og ansvarlighed;</w:t>
      </w:r>
    </w:p>
    <w:p w:rsidR="0082358E" w:rsidRPr="009641A3" w:rsidRDefault="0082358E" w:rsidP="0082358E">
      <w:pPr>
        <w:pStyle w:val="NormalHanging12a"/>
        <w:rPr>
          <w:szCs w:val="24"/>
        </w:rPr>
      </w:pPr>
      <w:r w:rsidRPr="009641A3">
        <w:t>28.</w:t>
      </w:r>
      <w:r w:rsidRPr="009641A3">
        <w:tab/>
        <w:t xml:space="preserve">opfordrer til en fortsættelse af det tætte samarbejde mellem Ombudsmanden og Europa-Parlamentets Udvalg for Andragender, som har den fælles opgave at bringe EU-institutionerne tættere på borgerne; udtrykker sin store påskønnelse af den opmærksomhed og opfølgning, som Ombudsmanden giver alle klager, herunder </w:t>
      </w:r>
      <w:proofErr w:type="spellStart"/>
      <w:r w:rsidRPr="009641A3">
        <w:t>videresendelse</w:t>
      </w:r>
      <w:proofErr w:type="spellEnd"/>
      <w:r w:rsidRPr="009641A3">
        <w:t xml:space="preserve"> af klager, der falder uden for hendes ansvarsområde, vedrørende gennemførelsen af EU-lovgivningen til Europa-Parlamentets Udvalg for Andragender; opfordrer Ombudsmandens kontor til at fortsætte sin indsats i dette øjemed, eftersom samarbejde med Udvalget for Andragender, rettidig information og aktindsigt på alle 24 officielle EU-sprog kan øge borgernes og civilsamfundets virkningsfulde deltagelse i beslutningsprocessen;</w:t>
      </w:r>
    </w:p>
    <w:p w:rsidR="0082358E" w:rsidRPr="009641A3" w:rsidRDefault="0082358E" w:rsidP="0082358E">
      <w:pPr>
        <w:pStyle w:val="NormalHanging12a"/>
      </w:pPr>
      <w:r w:rsidRPr="009641A3">
        <w:t>29.</w:t>
      </w:r>
      <w:r w:rsidRPr="009641A3">
        <w:tab/>
        <w:t>glæder sig over, at EU-institutionernes acceptprocent, dvs. procentdelen af positive svar på det samlede antal forslag fra Ombudsmanden om at korrigere eller forbedre deres forvaltningspraksis, var på 81 % i 2023, hvilket er en forbedring i forhold til det foregående år; er imidlertid af den faste overbevisning, at Unionens institutioner, agenturer, organer og kontorer skal følge alle Ombudsmandens løsninger, henstillinger og forslag fuldt ud og konsekvent;</w:t>
      </w:r>
    </w:p>
    <w:p w:rsidR="0082358E" w:rsidRPr="009641A3" w:rsidRDefault="0082358E" w:rsidP="0082358E">
      <w:pPr>
        <w:pStyle w:val="NormalHanging12a"/>
      </w:pPr>
      <w:r w:rsidRPr="009641A3">
        <w:rPr>
          <w:shd w:val="clear" w:color="auto" w:fill="FFFFFF"/>
        </w:rPr>
        <w:t>30.</w:t>
      </w:r>
      <w:r w:rsidRPr="009641A3">
        <w:rPr>
          <w:shd w:val="clear" w:color="auto" w:fill="FFFFFF"/>
        </w:rPr>
        <w:tab/>
      </w:r>
      <w:r w:rsidRPr="009641A3">
        <w:t>roser Ombudsmanden for hendes fortsatte konstruktive arbejdsforbindelser med Kommissionen, som er den EU-institution, der er berørt af størstedelen af Ombudsmandens undersøgelser; noterer sig, at dette forhold hjælper Kommissionen med at gøre dens administrative procedurer mere effektive og gennemsigtige;</w:t>
      </w:r>
    </w:p>
    <w:p w:rsidR="0082358E" w:rsidRPr="009641A3" w:rsidRDefault="0082358E" w:rsidP="0082358E">
      <w:pPr>
        <w:pStyle w:val="NormalHanging12a"/>
      </w:pPr>
      <w:r w:rsidRPr="009641A3">
        <w:t>31.</w:t>
      </w:r>
      <w:r w:rsidRPr="009641A3">
        <w:tab/>
        <w:t>påskønner og glæder sig over Ombudsmandens og hendes kontors bestræbelser på konstant at forbedre deres interne procedurer for at sikre, at klagerne har en optimal oplevelse, og at klager behandles så effektivt som muligt; støtter Ombudsmandens bestræbelser på yderligere at forbedre synligheden af sine aktiviteter og glæder sig over de forbedringer af Ombudsmandens onlineklagesystem, som har gjort det mere brugervenligt; glæder sig over Ombudsmandens flersprogede websted, som afspejler Ombudsmandens tilsagn om at tilbyde bistand på EU's 24 officielle sprog;</w:t>
      </w:r>
      <w:r w:rsidRPr="009641A3">
        <w:rPr>
          <w:b/>
          <w:i/>
        </w:rPr>
        <w:t> </w:t>
      </w:r>
      <w:r w:rsidRPr="009641A3">
        <w:t>understreger betydningen af at sikre personer med handicap fuld adgang til alle de ressourcer, som EU stiller til rådighed for borgerne, navnlig gennem systematisk oversættelse og tolkning på alle officielle sprog, herunder tegnsprog;</w:t>
      </w:r>
    </w:p>
    <w:p w:rsidR="00E365E1" w:rsidRPr="009641A3" w:rsidRDefault="0082358E" w:rsidP="00405355">
      <w:pPr>
        <w:pStyle w:val="NormalHanging12a"/>
      </w:pPr>
      <w:r w:rsidRPr="009641A3">
        <w:t>32.</w:t>
      </w:r>
      <w:r w:rsidRPr="009641A3">
        <w:tab/>
        <w:t>pålægger sin formand at sende denne beslutning og betænkningen fra Udvalget for Andragender til Rådet, Kommissionen, Den Europæiske Ombudsmand, medlemsstaternes regeringer og parlamenter samt deres ombudsmænd eller tilsvarende kompetente organer.</w:t>
      </w:r>
    </w:p>
    <w:sectPr w:rsidR="00E365E1" w:rsidRPr="009641A3" w:rsidSect="009641A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A6C" w:rsidRPr="009641A3" w:rsidRDefault="00944A6C">
      <w:r w:rsidRPr="009641A3">
        <w:separator/>
      </w:r>
    </w:p>
  </w:endnote>
  <w:endnote w:type="continuationSeparator" w:id="0">
    <w:p w:rsidR="00944A6C" w:rsidRPr="009641A3" w:rsidRDefault="00944A6C">
      <w:r w:rsidRPr="009641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A6C" w:rsidRPr="009641A3" w:rsidRDefault="00944A6C">
      <w:r w:rsidRPr="009641A3">
        <w:separator/>
      </w:r>
    </w:p>
  </w:footnote>
  <w:footnote w:type="continuationSeparator" w:id="0">
    <w:p w:rsidR="00944A6C" w:rsidRPr="009641A3" w:rsidRDefault="00944A6C">
      <w:r w:rsidRPr="009641A3">
        <w:continuationSeparator/>
      </w:r>
    </w:p>
  </w:footnote>
  <w:footnote w:id="1">
    <w:p w:rsidR="0082358E" w:rsidRPr="009641A3" w:rsidRDefault="0082358E" w:rsidP="009641A3">
      <w:pPr>
        <w:pStyle w:val="FootnoteText"/>
        <w:ind w:left="567" w:hanging="567"/>
        <w:rPr>
          <w:sz w:val="24"/>
          <w:lang w:val="da-DK"/>
        </w:rPr>
      </w:pPr>
      <w:r w:rsidRPr="009641A3">
        <w:rPr>
          <w:rStyle w:val="FootnoteReference"/>
          <w:sz w:val="24"/>
          <w:lang w:val="da-DK"/>
        </w:rPr>
        <w:footnoteRef/>
      </w:r>
      <w:r w:rsidR="009641A3" w:rsidRPr="009641A3">
        <w:rPr>
          <w:sz w:val="24"/>
          <w:lang w:val="da-DK"/>
        </w:rPr>
        <w:t xml:space="preserve"> </w:t>
      </w:r>
      <w:r w:rsidR="009641A3" w:rsidRPr="009641A3">
        <w:rPr>
          <w:sz w:val="24"/>
          <w:lang w:val="da-DK"/>
        </w:rPr>
        <w:tab/>
      </w:r>
      <w:r w:rsidRPr="009641A3">
        <w:rPr>
          <w:sz w:val="24"/>
          <w:lang w:val="da-DK"/>
        </w:rPr>
        <w:t xml:space="preserve">EUT L 253 af 16.7.2021, s. 1, </w:t>
      </w:r>
      <w:r w:rsidRPr="009641A3">
        <w:rPr>
          <w:sz w:val="24"/>
          <w:shd w:val="clear" w:color="auto" w:fill="FFFFFF"/>
          <w:lang w:val="da-DK"/>
        </w:rPr>
        <w:t>ELI: </w:t>
      </w:r>
      <w:hyperlink r:id="rId1" w:tooltip="Giver adgang til dokumentet via dets ELI URI." w:history="1">
        <w:r w:rsidRPr="009641A3">
          <w:rPr>
            <w:sz w:val="24"/>
            <w:shd w:val="clear" w:color="auto" w:fill="FFFFFF"/>
            <w:lang w:val="da-DK"/>
          </w:rPr>
          <w:t>http://data.europa.eu/eli/reg/2021/1163/oj</w:t>
        </w:r>
      </w:hyperlink>
      <w:r w:rsidRPr="009641A3">
        <w:rPr>
          <w:sz w:val="24"/>
          <w:lang w:val="da-DK"/>
        </w:rPr>
        <w:t>.</w:t>
      </w:r>
    </w:p>
  </w:footnote>
  <w:footnote w:id="2">
    <w:p w:rsidR="0082358E" w:rsidRPr="009641A3" w:rsidRDefault="0082358E" w:rsidP="009641A3">
      <w:pPr>
        <w:pStyle w:val="FootnoteText"/>
        <w:ind w:left="567" w:hanging="567"/>
        <w:rPr>
          <w:sz w:val="24"/>
          <w:lang w:val="da-DK"/>
        </w:rPr>
      </w:pPr>
      <w:r w:rsidRPr="009641A3">
        <w:rPr>
          <w:rStyle w:val="FootnoteReference"/>
          <w:sz w:val="24"/>
          <w:lang w:val="da-DK"/>
        </w:rPr>
        <w:footnoteRef/>
      </w:r>
      <w:r w:rsidR="009641A3" w:rsidRPr="009641A3">
        <w:rPr>
          <w:sz w:val="24"/>
          <w:lang w:val="da-DK"/>
        </w:rPr>
        <w:t xml:space="preserve"> </w:t>
      </w:r>
      <w:r w:rsidR="009641A3" w:rsidRPr="009641A3">
        <w:rPr>
          <w:sz w:val="24"/>
          <w:lang w:val="da-DK"/>
        </w:rPr>
        <w:tab/>
      </w:r>
      <w:r w:rsidRPr="009641A3">
        <w:rPr>
          <w:sz w:val="24"/>
          <w:lang w:val="da-DK"/>
        </w:rPr>
        <w:t xml:space="preserve">Europa-Parlamentets og Rådets forordning (EF) nr. 1049/2001 af 30. maj 2001 om aktindsigt i Europa-Parlamentets, Rådets og Kommissionens dokumenter, EFT L 145 af 31.5.2001, s. 43, </w:t>
      </w:r>
      <w:r w:rsidRPr="009641A3">
        <w:rPr>
          <w:sz w:val="24"/>
          <w:shd w:val="clear" w:color="auto" w:fill="FFFFFF"/>
          <w:lang w:val="da-DK"/>
        </w:rPr>
        <w:t>ELI: </w:t>
      </w:r>
      <w:r w:rsidR="006449AC">
        <w:fldChar w:fldCharType="begin"/>
      </w:r>
      <w:r w:rsidR="006449AC" w:rsidRPr="006449AC">
        <w:rPr>
          <w:lang w:val="da-DK"/>
        </w:rPr>
        <w:instrText xml:space="preserve"> HYPERLINK "http://dat</w:instrText>
      </w:r>
      <w:r w:rsidR="006449AC" w:rsidRPr="006449AC">
        <w:rPr>
          <w:lang w:val="da-DK"/>
        </w:rPr>
        <w:instrText xml:space="preserve">a.europa.eu/eli/reg/2001/1049/oj" \o "Giver adgang til dokumentet via dets ELI URI." </w:instrText>
      </w:r>
      <w:r w:rsidR="006449AC">
        <w:fldChar w:fldCharType="separate"/>
      </w:r>
      <w:r w:rsidRPr="009641A3">
        <w:rPr>
          <w:sz w:val="24"/>
          <w:shd w:val="clear" w:color="auto" w:fill="FFFFFF"/>
          <w:lang w:val="da-DK"/>
        </w:rPr>
        <w:t>http://data.europa.eu/eli/reg/2001/1049/oj</w:t>
      </w:r>
      <w:r w:rsidR="006449AC">
        <w:rPr>
          <w:sz w:val="24"/>
          <w:shd w:val="clear" w:color="auto" w:fill="FFFFFF"/>
          <w:lang w:val="da-DK"/>
        </w:rPr>
        <w:fldChar w:fldCharType="end"/>
      </w:r>
      <w:r w:rsidRPr="009641A3">
        <w:rPr>
          <w:sz w:val="24"/>
          <w:lang w:val="da-DK"/>
        </w:rPr>
        <w:t>.</w:t>
      </w:r>
    </w:p>
  </w:footnote>
  <w:footnote w:id="3">
    <w:p w:rsidR="0082358E" w:rsidRPr="00CA1641" w:rsidRDefault="0082358E" w:rsidP="009641A3">
      <w:pPr>
        <w:pStyle w:val="FootnoteText"/>
        <w:ind w:left="567" w:hanging="567"/>
        <w:rPr>
          <w:sz w:val="24"/>
          <w:lang w:val="da-DK"/>
        </w:rPr>
      </w:pPr>
      <w:r w:rsidRPr="009641A3">
        <w:rPr>
          <w:rStyle w:val="FootnoteReference"/>
          <w:sz w:val="24"/>
          <w:lang w:val="da-DK"/>
        </w:rPr>
        <w:footnoteRef/>
      </w:r>
      <w:r w:rsidR="009641A3" w:rsidRPr="00CA1641">
        <w:rPr>
          <w:sz w:val="24"/>
          <w:shd w:val="clear" w:color="auto" w:fill="FFFFFF"/>
          <w:lang w:val="da-DK"/>
        </w:rPr>
        <w:t xml:space="preserve"> </w:t>
      </w:r>
      <w:r w:rsidR="009641A3" w:rsidRPr="00CA1641">
        <w:rPr>
          <w:sz w:val="24"/>
          <w:shd w:val="clear" w:color="auto" w:fill="FFFFFF"/>
          <w:lang w:val="da-DK"/>
        </w:rPr>
        <w:tab/>
      </w:r>
      <w:r w:rsidRPr="00CA1641">
        <w:rPr>
          <w:sz w:val="24"/>
          <w:shd w:val="clear" w:color="auto" w:fill="FFFFFF"/>
          <w:lang w:val="da-DK"/>
        </w:rPr>
        <w:t>EUT C, C/2024/6560</w:t>
      </w:r>
      <w:r w:rsidR="00CA1641" w:rsidRPr="004032F6">
        <w:rPr>
          <w:sz w:val="24"/>
          <w:shd w:val="clear" w:color="auto" w:fill="FFFFFF"/>
          <w:lang w:val="da-DK"/>
        </w:rPr>
        <w:t xml:space="preserve"> af</w:t>
      </w:r>
      <w:r w:rsidRPr="00CA1641">
        <w:rPr>
          <w:sz w:val="24"/>
          <w:shd w:val="clear" w:color="auto" w:fill="FFFFFF"/>
          <w:lang w:val="da-DK"/>
        </w:rPr>
        <w:t xml:space="preserve"> 12.11.2024, ELI: </w:t>
      </w:r>
      <w:r w:rsidR="006449AC">
        <w:fldChar w:fldCharType="begin"/>
      </w:r>
      <w:r w:rsidR="006449AC" w:rsidRPr="006449AC">
        <w:rPr>
          <w:lang w:val="da-DK"/>
        </w:rPr>
        <w:instrText xml:space="preserve"> HYPERLINK "http://data.europa.eu/eli/C/2024/6560/oj" \t "_blank" \o "Giver adgang</w:instrText>
      </w:r>
      <w:r w:rsidR="006449AC" w:rsidRPr="006449AC">
        <w:rPr>
          <w:lang w:val="da-DK"/>
        </w:rPr>
        <w:instrText xml:space="preserve"> til dokumentet via dets ELI URI." </w:instrText>
      </w:r>
      <w:r w:rsidR="006449AC">
        <w:fldChar w:fldCharType="separate"/>
      </w:r>
      <w:r w:rsidRPr="00CA1641">
        <w:rPr>
          <w:sz w:val="24"/>
          <w:lang w:val="da-DK"/>
        </w:rPr>
        <w:t>http://data.europa.eu/eli/C/2024/6560/oj</w:t>
      </w:r>
      <w:r w:rsidR="006449AC">
        <w:rPr>
          <w:sz w:val="24"/>
          <w:lang w:val="da-DK"/>
        </w:rPr>
        <w:fldChar w:fldCharType="end"/>
      </w:r>
      <w:r w:rsidRPr="00CA1641">
        <w:rPr>
          <w:sz w:val="24"/>
          <w:lang w:val="da-DK"/>
        </w:rPr>
        <w:t>.</w:t>
      </w:r>
    </w:p>
  </w:footnote>
  <w:footnote w:id="4">
    <w:p w:rsidR="0082358E" w:rsidRPr="009641A3" w:rsidRDefault="0082358E" w:rsidP="009641A3">
      <w:pPr>
        <w:pStyle w:val="FootnoteText"/>
        <w:ind w:left="567" w:hanging="567"/>
        <w:rPr>
          <w:sz w:val="24"/>
          <w:lang w:val="da-DK"/>
        </w:rPr>
      </w:pPr>
      <w:r w:rsidRPr="009641A3">
        <w:rPr>
          <w:rStyle w:val="FootnoteReference"/>
          <w:sz w:val="24"/>
          <w:lang w:val="da-DK"/>
        </w:rPr>
        <w:footnoteRef/>
      </w:r>
      <w:r w:rsidR="009641A3" w:rsidRPr="009641A3">
        <w:rPr>
          <w:sz w:val="24"/>
          <w:lang w:val="da-DK"/>
        </w:rPr>
        <w:t xml:space="preserve"> </w:t>
      </w:r>
      <w:r w:rsidR="009641A3" w:rsidRPr="009641A3">
        <w:rPr>
          <w:sz w:val="24"/>
          <w:lang w:val="da-DK"/>
        </w:rPr>
        <w:tab/>
      </w:r>
      <w:r w:rsidRPr="009641A3">
        <w:rPr>
          <w:sz w:val="24"/>
          <w:lang w:val="da-DK"/>
        </w:rPr>
        <w:t xml:space="preserve">Europa-Parlamentets lovgivningsmæssige beslutning af 15. december 2011 om forslag til Europa-Parlamentets og Rådets forordning om aktindsigt i Europa-Parlamentets, Rådets og Kommissionens dokumenter (omarbejdning), Artikel 3: </w:t>
      </w:r>
      <w:r w:rsidR="006449AC">
        <w:fldChar w:fldCharType="begin"/>
      </w:r>
      <w:r w:rsidR="006449AC" w:rsidRPr="006449AC">
        <w:rPr>
          <w:lang w:val="da-DK"/>
        </w:rPr>
        <w:instrText xml:space="preserve"> HYPERLINK "https://www.europarl.europa.eu/doceo/document/TA-7-2011-0580_DA.pdf" </w:instrText>
      </w:r>
      <w:r w:rsidR="006449AC">
        <w:fldChar w:fldCharType="separate"/>
      </w:r>
      <w:r w:rsidRPr="009641A3">
        <w:rPr>
          <w:rStyle w:val="Hyperlink"/>
          <w:sz w:val="24"/>
          <w:lang w:val="da-DK"/>
        </w:rPr>
        <w:t>https://www.europarl.europa.eu/doceo/document/TA-7-2011-0580_DA.pdf</w:t>
      </w:r>
      <w:r w:rsidR="006449AC">
        <w:rPr>
          <w:rStyle w:val="Hyperlink"/>
          <w:sz w:val="24"/>
          <w:lang w:val="da-DK"/>
        </w:rPr>
        <w:fldChar w:fldCharType="end"/>
      </w:r>
      <w:r w:rsidRPr="009641A3">
        <w:rPr>
          <w:sz w:val="24"/>
          <w:lang w:val="da-DK"/>
        </w:rPr>
        <w:t>.</w:t>
      </w:r>
    </w:p>
  </w:footnote>
  <w:footnote w:id="5">
    <w:p w:rsidR="0082358E" w:rsidRPr="009641A3" w:rsidRDefault="0082358E" w:rsidP="009641A3">
      <w:pPr>
        <w:pStyle w:val="FootnoteText"/>
        <w:ind w:left="567" w:hanging="567"/>
        <w:rPr>
          <w:sz w:val="24"/>
          <w:lang w:val="da-DK"/>
        </w:rPr>
      </w:pPr>
      <w:r w:rsidRPr="009641A3">
        <w:rPr>
          <w:rStyle w:val="FootnoteReference"/>
          <w:sz w:val="24"/>
          <w:lang w:val="da-DK"/>
        </w:rPr>
        <w:footnoteRef/>
      </w:r>
      <w:r w:rsidR="009641A3" w:rsidRPr="009641A3">
        <w:rPr>
          <w:sz w:val="24"/>
          <w:lang w:val="da-DK"/>
        </w:rPr>
        <w:t xml:space="preserve"> </w:t>
      </w:r>
      <w:r w:rsidR="009641A3" w:rsidRPr="009641A3">
        <w:rPr>
          <w:sz w:val="24"/>
          <w:lang w:val="da-DK"/>
        </w:rPr>
        <w:tab/>
      </w:r>
      <w:r w:rsidR="006449AC">
        <w:fldChar w:fldCharType="begin"/>
      </w:r>
      <w:r w:rsidR="006449AC" w:rsidRPr="006449AC">
        <w:rPr>
          <w:lang w:val="da-DK"/>
        </w:rPr>
        <w:instrText xml:space="preserve"> HYPERLINK "https://www.ombudsman.europa.eu/da/decision/da/69206" </w:instrText>
      </w:r>
      <w:r w:rsidR="006449AC">
        <w:fldChar w:fldCharType="separate"/>
      </w:r>
      <w:r w:rsidRPr="009641A3">
        <w:rPr>
          <w:rStyle w:val="Hyperlink"/>
          <w:sz w:val="24"/>
          <w:lang w:val="da-DK"/>
        </w:rPr>
        <w:t>https://www.ombudsman.europa.eu/da/decision/da/69206</w:t>
      </w:r>
      <w:r w:rsidR="006449AC">
        <w:rPr>
          <w:rStyle w:val="Hyperlink"/>
          <w:sz w:val="24"/>
          <w:lang w:val="da-DK"/>
        </w:rPr>
        <w:fldChar w:fldCharType="end"/>
      </w:r>
      <w:r w:rsidRPr="009641A3">
        <w:rPr>
          <w:sz w:val="24"/>
          <w:lang w:val="da-DK"/>
        </w:rPr>
        <w:t>.</w:t>
      </w:r>
    </w:p>
  </w:footnote>
  <w:footnote w:id="6">
    <w:p w:rsidR="0082358E" w:rsidRPr="009641A3" w:rsidRDefault="0082358E" w:rsidP="009641A3">
      <w:pPr>
        <w:pStyle w:val="FootnoteText"/>
        <w:ind w:left="567" w:hanging="567"/>
        <w:rPr>
          <w:sz w:val="24"/>
          <w:lang w:val="da-DK"/>
        </w:rPr>
      </w:pPr>
      <w:r w:rsidRPr="009641A3">
        <w:rPr>
          <w:rStyle w:val="FootnoteReference"/>
          <w:sz w:val="24"/>
          <w:lang w:val="da-DK"/>
        </w:rPr>
        <w:footnoteRef/>
      </w:r>
      <w:r w:rsidR="009641A3" w:rsidRPr="009641A3">
        <w:rPr>
          <w:sz w:val="24"/>
          <w:lang w:val="da-DK"/>
        </w:rPr>
        <w:t xml:space="preserve"> </w:t>
      </w:r>
      <w:r w:rsidR="009641A3" w:rsidRPr="009641A3">
        <w:rPr>
          <w:sz w:val="24"/>
          <w:lang w:val="da-DK"/>
        </w:rPr>
        <w:tab/>
      </w:r>
      <w:r w:rsidRPr="009641A3">
        <w:rPr>
          <w:sz w:val="24"/>
          <w:lang w:val="da-DK"/>
        </w:rPr>
        <w:t>Særberetning fra Den Europæiske Ombudsmand i forbindelse med hendes strategiske undersøgelse af den tid, det tager Europa-Kommissionen at behandle begæringer om aktindsigt (OI/2/2022/OAM).</w:t>
      </w:r>
    </w:p>
  </w:footnote>
  <w:footnote w:id="7">
    <w:p w:rsidR="0082358E" w:rsidRPr="009641A3" w:rsidRDefault="0082358E" w:rsidP="009641A3">
      <w:pPr>
        <w:pStyle w:val="FootnoteText"/>
        <w:ind w:left="567" w:hanging="567"/>
        <w:rPr>
          <w:sz w:val="24"/>
          <w:lang w:val="da-DK"/>
        </w:rPr>
      </w:pPr>
      <w:r w:rsidRPr="009641A3">
        <w:rPr>
          <w:rStyle w:val="FootnoteReference"/>
          <w:sz w:val="24"/>
          <w:lang w:val="da-DK"/>
        </w:rPr>
        <w:footnoteRef/>
      </w:r>
      <w:r w:rsidR="009641A3" w:rsidRPr="009641A3">
        <w:rPr>
          <w:rStyle w:val="Emphasis"/>
          <w:sz w:val="24"/>
          <w:shd w:val="clear" w:color="auto" w:fill="FFFFFF"/>
          <w:lang w:val="da-DK"/>
        </w:rPr>
        <w:t xml:space="preserve"> </w:t>
      </w:r>
      <w:r w:rsidR="009641A3" w:rsidRPr="009641A3">
        <w:rPr>
          <w:rStyle w:val="Emphasis"/>
          <w:sz w:val="24"/>
          <w:shd w:val="clear" w:color="auto" w:fill="FFFFFF"/>
          <w:lang w:val="da-DK"/>
        </w:rPr>
        <w:tab/>
      </w:r>
      <w:r w:rsidRPr="004032F6">
        <w:rPr>
          <w:rStyle w:val="Emphasis"/>
          <w:i w:val="0"/>
          <w:sz w:val="24"/>
          <w:shd w:val="clear" w:color="auto" w:fill="FFFFFF"/>
          <w:lang w:val="da-DK"/>
        </w:rPr>
        <w:t>EUT L 264 af 25.9.2006, s. 13,</w:t>
      </w:r>
      <w:r w:rsidRPr="009641A3">
        <w:rPr>
          <w:rStyle w:val="Emphasis"/>
          <w:sz w:val="24"/>
          <w:shd w:val="clear" w:color="auto" w:fill="FFFFFF"/>
          <w:lang w:val="da-DK"/>
        </w:rPr>
        <w:t xml:space="preserve"> </w:t>
      </w:r>
      <w:r w:rsidRPr="009641A3">
        <w:rPr>
          <w:sz w:val="24"/>
          <w:shd w:val="clear" w:color="auto" w:fill="FFFFFF"/>
          <w:lang w:val="da-DK"/>
        </w:rPr>
        <w:t>ELI: </w:t>
      </w:r>
      <w:r w:rsidR="006449AC">
        <w:fldChar w:fldCharType="begin"/>
      </w:r>
      <w:r w:rsidR="006449AC" w:rsidRPr="006449AC">
        <w:rPr>
          <w:lang w:val="da-DK"/>
        </w:rPr>
        <w:instrText xml:space="preserve"> HYPERLINK "http://data.europa.eu/eli/reg/2006/1367/oj" \o "Giver adgang til dokumentet via dets ELI URI." </w:instrText>
      </w:r>
      <w:r w:rsidR="006449AC">
        <w:fldChar w:fldCharType="separate"/>
      </w:r>
      <w:r w:rsidRPr="009641A3">
        <w:rPr>
          <w:sz w:val="24"/>
          <w:shd w:val="clear" w:color="auto" w:fill="FFFFFF"/>
          <w:lang w:val="da-DK"/>
        </w:rPr>
        <w:t>http://data.europa.eu/eli/reg/2006/1367/oj</w:t>
      </w:r>
      <w:r w:rsidR="006449AC">
        <w:rPr>
          <w:sz w:val="24"/>
          <w:shd w:val="clear" w:color="auto" w:fill="FFFFFF"/>
          <w:lang w:val="da-DK"/>
        </w:rPr>
        <w:fldChar w:fldCharType="end"/>
      </w:r>
      <w:r w:rsidRPr="009641A3">
        <w:rPr>
          <w:sz w:val="24"/>
          <w:lang w:val="da-DK"/>
        </w:rPr>
        <w:t>.</w:t>
      </w:r>
    </w:p>
  </w:footnote>
  <w:footnote w:id="8">
    <w:p w:rsidR="0082358E" w:rsidRPr="009641A3" w:rsidRDefault="0082358E" w:rsidP="009641A3">
      <w:pPr>
        <w:pStyle w:val="FootnoteText"/>
        <w:ind w:left="567" w:hanging="567"/>
        <w:rPr>
          <w:sz w:val="24"/>
          <w:lang w:val="da-DK"/>
        </w:rPr>
      </w:pPr>
      <w:r w:rsidRPr="009641A3">
        <w:rPr>
          <w:rStyle w:val="FootnoteReference"/>
          <w:sz w:val="24"/>
          <w:lang w:val="da-DK"/>
        </w:rPr>
        <w:footnoteRef/>
      </w:r>
      <w:r w:rsidR="009641A3" w:rsidRPr="009641A3">
        <w:rPr>
          <w:rStyle w:val="Emphasis"/>
          <w:sz w:val="24"/>
          <w:shd w:val="clear" w:color="auto" w:fill="FFFFFF"/>
          <w:lang w:val="da-DK"/>
        </w:rPr>
        <w:t xml:space="preserve"> </w:t>
      </w:r>
      <w:r w:rsidR="009641A3" w:rsidRPr="009641A3">
        <w:rPr>
          <w:rStyle w:val="Emphasis"/>
          <w:sz w:val="24"/>
          <w:shd w:val="clear" w:color="auto" w:fill="FFFFFF"/>
          <w:lang w:val="da-DK"/>
        </w:rPr>
        <w:tab/>
      </w:r>
      <w:r w:rsidRPr="004032F6">
        <w:rPr>
          <w:rStyle w:val="Emphasis"/>
          <w:i w:val="0"/>
          <w:sz w:val="24"/>
          <w:shd w:val="clear" w:color="auto" w:fill="FFFFFF"/>
          <w:lang w:val="da-DK"/>
        </w:rPr>
        <w:t>EUT L 275 af 25.10.2022, s. 33,</w:t>
      </w:r>
      <w:r w:rsidRPr="009641A3">
        <w:rPr>
          <w:rStyle w:val="Emphasis"/>
          <w:sz w:val="24"/>
          <w:shd w:val="clear" w:color="auto" w:fill="FFFFFF"/>
          <w:lang w:val="da-DK"/>
        </w:rPr>
        <w:t xml:space="preserve"> </w:t>
      </w:r>
      <w:r w:rsidRPr="009641A3">
        <w:rPr>
          <w:sz w:val="24"/>
          <w:shd w:val="clear" w:color="auto" w:fill="FFFFFF"/>
          <w:lang w:val="da-DK"/>
        </w:rPr>
        <w:t>ELI: </w:t>
      </w:r>
      <w:r w:rsidR="006449AC">
        <w:fldChar w:fldCharType="begin"/>
      </w:r>
      <w:r w:rsidR="006449AC" w:rsidRPr="006449AC">
        <w:rPr>
          <w:lang w:val="da-DK"/>
        </w:rPr>
        <w:instrText xml:space="preserve"> HYPERLINK "http://data.europa.eu/eli/dir/2022/2041/oj" \o "Giver adgang til dokumentet via dets ELI URI." </w:instrText>
      </w:r>
      <w:r w:rsidR="006449AC">
        <w:fldChar w:fldCharType="separate"/>
      </w:r>
      <w:r w:rsidRPr="009641A3">
        <w:rPr>
          <w:sz w:val="24"/>
          <w:shd w:val="clear" w:color="auto" w:fill="FFFFFF"/>
          <w:lang w:val="da-DK"/>
        </w:rPr>
        <w:t>http://data.europa.eu/eli/dir/2022/2041/oj</w:t>
      </w:r>
      <w:r w:rsidR="006449AC">
        <w:rPr>
          <w:sz w:val="24"/>
          <w:shd w:val="clear" w:color="auto" w:fill="FFFFFF"/>
          <w:lang w:val="da-DK"/>
        </w:rPr>
        <w:fldChar w:fldCharType="end"/>
      </w:r>
      <w:r w:rsidRPr="009641A3">
        <w:rPr>
          <w:sz w:val="24"/>
          <w:lang w:val="da-DK"/>
        </w:rPr>
        <w:t>.</w:t>
      </w:r>
    </w:p>
  </w:footnote>
  <w:footnote w:id="9">
    <w:p w:rsidR="0082358E" w:rsidRPr="009641A3" w:rsidRDefault="0082358E" w:rsidP="009641A3">
      <w:pPr>
        <w:pStyle w:val="FootnoteText"/>
        <w:ind w:left="567" w:hanging="567"/>
        <w:rPr>
          <w:sz w:val="24"/>
          <w:lang w:val="da-DK"/>
        </w:rPr>
      </w:pPr>
      <w:r w:rsidRPr="009641A3">
        <w:rPr>
          <w:rStyle w:val="FootnoteReference"/>
          <w:sz w:val="24"/>
          <w:lang w:val="da-DK"/>
        </w:rPr>
        <w:footnoteRef/>
      </w:r>
      <w:r w:rsidR="009641A3" w:rsidRPr="009641A3">
        <w:rPr>
          <w:sz w:val="24"/>
          <w:lang w:val="da-DK"/>
        </w:rPr>
        <w:t xml:space="preserve"> </w:t>
      </w:r>
      <w:r w:rsidR="009641A3" w:rsidRPr="009641A3">
        <w:rPr>
          <w:sz w:val="24"/>
          <w:lang w:val="da-DK"/>
        </w:rPr>
        <w:tab/>
      </w:r>
      <w:r w:rsidRPr="009641A3">
        <w:rPr>
          <w:sz w:val="24"/>
          <w:lang w:val="da-DK"/>
        </w:rPr>
        <w:t xml:space="preserve">Europa-Parlamentets og Rådets direktiv (EU) 2019/882 af 17. april 2019 om tilgængelighedskrav for produkter og tjenester, </w:t>
      </w:r>
      <w:r w:rsidRPr="004032F6">
        <w:rPr>
          <w:rStyle w:val="Emphasis"/>
          <w:i w:val="0"/>
          <w:sz w:val="24"/>
          <w:shd w:val="clear" w:color="auto" w:fill="FFFFFF"/>
          <w:lang w:val="da-DK"/>
        </w:rPr>
        <w:t xml:space="preserve">EUT L 151 af 7.6.2019, s. 70, </w:t>
      </w:r>
      <w:r w:rsidRPr="009641A3">
        <w:rPr>
          <w:sz w:val="24"/>
          <w:shd w:val="clear" w:color="auto" w:fill="FFFFFF"/>
          <w:lang w:val="da-DK"/>
        </w:rPr>
        <w:t>ELI: </w:t>
      </w:r>
      <w:r w:rsidR="006449AC">
        <w:fldChar w:fldCharType="begin"/>
      </w:r>
      <w:r w:rsidR="006449AC" w:rsidRPr="006449AC">
        <w:rPr>
          <w:lang w:val="da-DK"/>
        </w:rPr>
        <w:instrText xml:space="preserve"> HYPERLINK "http://data.europa.eu/eli/dir/2019/882/oj" \o "Giver adgang til dokumentet via dets ELI URI." </w:instrText>
      </w:r>
      <w:r w:rsidR="006449AC">
        <w:fldChar w:fldCharType="separate"/>
      </w:r>
      <w:r w:rsidRPr="009641A3">
        <w:rPr>
          <w:sz w:val="24"/>
          <w:shd w:val="clear" w:color="auto" w:fill="FFFFFF"/>
          <w:lang w:val="da-DK"/>
        </w:rPr>
        <w:t>http://data.europa.eu/eli/dir/2019/882/oj</w:t>
      </w:r>
      <w:r w:rsidR="006449AC">
        <w:rPr>
          <w:sz w:val="24"/>
          <w:shd w:val="clear" w:color="auto" w:fill="FFFFFF"/>
          <w:lang w:val="da-DK"/>
        </w:rPr>
        <w:fldChar w:fldCharType="end"/>
      </w:r>
      <w:r w:rsidRPr="009641A3">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DA"/>
    <w:docVar w:name="dvnumam" w:val="0"/>
    <w:docVar w:name="dvpe" w:val="763.122"/>
    <w:docVar w:name="dvrapporteur" w:val="Ordfører: "/>
    <w:docVar w:name="dvtitre" w:val="Europa-Parlamentets beslutning af xx.xx 2024 om Den Europæiske Ombudsmands virksomhed – årsberetning 2023(2024/2056(INI))"/>
  </w:docVars>
  <w:rsids>
    <w:rsidRoot w:val="00944A6C"/>
    <w:rsid w:val="00002272"/>
    <w:rsid w:val="00064002"/>
    <w:rsid w:val="000677B9"/>
    <w:rsid w:val="000831BA"/>
    <w:rsid w:val="00091B7F"/>
    <w:rsid w:val="000A42CC"/>
    <w:rsid w:val="000E7DD9"/>
    <w:rsid w:val="0010095E"/>
    <w:rsid w:val="00125B37"/>
    <w:rsid w:val="00187494"/>
    <w:rsid w:val="001F32AE"/>
    <w:rsid w:val="00224515"/>
    <w:rsid w:val="002767FF"/>
    <w:rsid w:val="002B18FE"/>
    <w:rsid w:val="002B5493"/>
    <w:rsid w:val="00343214"/>
    <w:rsid w:val="00361C00"/>
    <w:rsid w:val="00395FA1"/>
    <w:rsid w:val="003E15D4"/>
    <w:rsid w:val="004032F6"/>
    <w:rsid w:val="00405355"/>
    <w:rsid w:val="00411CCE"/>
    <w:rsid w:val="0041666E"/>
    <w:rsid w:val="00421060"/>
    <w:rsid w:val="00471C19"/>
    <w:rsid w:val="004867E3"/>
    <w:rsid w:val="00494A28"/>
    <w:rsid w:val="004C0004"/>
    <w:rsid w:val="004C5D52"/>
    <w:rsid w:val="0050519A"/>
    <w:rsid w:val="005072A1"/>
    <w:rsid w:val="00514517"/>
    <w:rsid w:val="00545827"/>
    <w:rsid w:val="00560270"/>
    <w:rsid w:val="005968E9"/>
    <w:rsid w:val="005C2568"/>
    <w:rsid w:val="005F1B17"/>
    <w:rsid w:val="006037C0"/>
    <w:rsid w:val="006449AC"/>
    <w:rsid w:val="006631B6"/>
    <w:rsid w:val="00680577"/>
    <w:rsid w:val="006F74FA"/>
    <w:rsid w:val="00731ADD"/>
    <w:rsid w:val="00734777"/>
    <w:rsid w:val="00747932"/>
    <w:rsid w:val="00751A4A"/>
    <w:rsid w:val="00756632"/>
    <w:rsid w:val="00762C74"/>
    <w:rsid w:val="00786EC0"/>
    <w:rsid w:val="007D1690"/>
    <w:rsid w:val="007E1B5F"/>
    <w:rsid w:val="007E22AD"/>
    <w:rsid w:val="00804186"/>
    <w:rsid w:val="00817416"/>
    <w:rsid w:val="0082358E"/>
    <w:rsid w:val="00842779"/>
    <w:rsid w:val="00865F67"/>
    <w:rsid w:val="00881A7B"/>
    <w:rsid w:val="008840E5"/>
    <w:rsid w:val="00887B3E"/>
    <w:rsid w:val="008C2AC6"/>
    <w:rsid w:val="00930C23"/>
    <w:rsid w:val="0093193B"/>
    <w:rsid w:val="00944A6C"/>
    <w:rsid w:val="009509D8"/>
    <w:rsid w:val="00950B64"/>
    <w:rsid w:val="009641A3"/>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64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AF386F-7D27-440A-8B09-A30EF6ABE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2358E"/>
    <w:pPr>
      <w:spacing w:before="480" w:after="240"/>
    </w:pPr>
  </w:style>
  <w:style w:type="paragraph" w:customStyle="1" w:styleId="NormalHanging12a">
    <w:name w:val="NormalHanging12a"/>
    <w:basedOn w:val="Normal"/>
    <w:link w:val="NormalHanging12aChar"/>
    <w:rsid w:val="0082358E"/>
    <w:pPr>
      <w:spacing w:after="240"/>
      <w:ind w:left="567" w:hanging="567"/>
    </w:pPr>
  </w:style>
  <w:style w:type="character" w:styleId="Hyperlink">
    <w:name w:val="Hyperlink"/>
    <w:basedOn w:val="DefaultParagraphFont"/>
    <w:uiPriority w:val="99"/>
    <w:unhideWhenUsed/>
    <w:rsid w:val="0082358E"/>
    <w:rPr>
      <w:color w:val="0000FF"/>
      <w:u w:val="single"/>
    </w:rPr>
  </w:style>
  <w:style w:type="character" w:customStyle="1" w:styleId="NormalHanging12aChar">
    <w:name w:val="NormalHanging12a Char"/>
    <w:basedOn w:val="DefaultParagraphFont"/>
    <w:link w:val="NormalHanging12a"/>
    <w:locked/>
    <w:rsid w:val="0082358E"/>
    <w:rPr>
      <w:sz w:val="24"/>
      <w:lang w:val="da-DK"/>
    </w:rPr>
  </w:style>
  <w:style w:type="character" w:customStyle="1" w:styleId="graphbold">
    <w:name w:val="graph bold"/>
    <w:basedOn w:val="DefaultParagraphFont"/>
    <w:uiPriority w:val="1"/>
    <w:qFormat/>
    <w:rsid w:val="0082358E"/>
    <w:rPr>
      <w:rFonts w:ascii="Arial" w:hAnsi="Arial" w:cs="Arial" w:hint="default"/>
      <w:b/>
      <w:bCs w:val="0"/>
      <w:sz w:val="16"/>
    </w:rPr>
  </w:style>
  <w:style w:type="character" w:styleId="Emphasis">
    <w:name w:val="Emphasis"/>
    <w:basedOn w:val="DefaultParagraphFont"/>
    <w:uiPriority w:val="20"/>
    <w:qFormat/>
    <w:rsid w:val="0082358E"/>
    <w:rPr>
      <w:i/>
      <w:iCs/>
    </w:rPr>
  </w:style>
  <w:style w:type="paragraph" w:styleId="BalloonText">
    <w:name w:val="Balloon Text"/>
    <w:basedOn w:val="Normal"/>
    <w:link w:val="BalloonTextChar"/>
    <w:rsid w:val="007E1B5F"/>
    <w:rPr>
      <w:rFonts w:ascii="Segoe UI" w:hAnsi="Segoe UI" w:cs="Segoe UI"/>
      <w:sz w:val="18"/>
      <w:szCs w:val="18"/>
    </w:rPr>
  </w:style>
  <w:style w:type="character" w:customStyle="1" w:styleId="BalloonTextChar">
    <w:name w:val="Balloon Text Char"/>
    <w:basedOn w:val="DefaultParagraphFont"/>
    <w:link w:val="BalloonText"/>
    <w:rsid w:val="007E1B5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6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D4ED0-4B19-427A-9B66-B3D6D77B6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4300</Words>
  <Characters>27508</Characters>
  <Application>Microsoft Office Word</Application>
  <DocSecurity>0</DocSecurity>
  <Lines>229</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2024-12-17T12:50:00Z</dcterms:created>
  <dcterms:modified xsi:type="dcterms:W3CDTF">2024-12-17T12:50:00Z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P10_TA-PROV(2024)0063_A10-0016_2024_</vt:lpwstr>
  </property>
  <property fmtid="{D5CDD505-2E9C-101B-9397-08002B2CF9AE}" pid="4" name="&lt;Type&gt;">
    <vt:lpwstr>RR</vt:lpwstr>
  </property>
</Properties>
</file>