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47262" w:rsidTr="0010095E">
        <w:trPr>
          <w:trHeight w:hRule="exact" w:val="1418"/>
        </w:trPr>
        <w:tc>
          <w:tcPr>
            <w:tcW w:w="6804" w:type="dxa"/>
            <w:shd w:val="clear" w:color="auto" w:fill="auto"/>
            <w:vAlign w:val="center"/>
          </w:tcPr>
          <w:p w:rsidR="00751A4A" w:rsidRPr="00047262" w:rsidRDefault="00857318" w:rsidP="0010095E">
            <w:pPr>
              <w:pStyle w:val="EPName"/>
            </w:pPr>
            <w:bookmarkStart w:id="0" w:name="_GoBack"/>
            <w:bookmarkEnd w:id="0"/>
            <w:r w:rsidRPr="00047262">
              <w:t>Eiropas Parlaments</w:t>
            </w:r>
          </w:p>
          <w:p w:rsidR="00751A4A" w:rsidRPr="00047262" w:rsidRDefault="005F1B17" w:rsidP="005F1B17">
            <w:pPr>
              <w:pStyle w:val="EPTerm"/>
              <w:rPr>
                <w:rStyle w:val="HideTWBExt"/>
                <w:noProof w:val="0"/>
                <w:vanish w:val="0"/>
                <w:color w:val="auto"/>
              </w:rPr>
            </w:pPr>
            <w:r w:rsidRPr="00047262">
              <w:t>2024</w:t>
            </w:r>
            <w:r w:rsidR="00817416" w:rsidRPr="00047262">
              <w:t>-202</w:t>
            </w:r>
            <w:r w:rsidRPr="00047262">
              <w:t>9</w:t>
            </w:r>
          </w:p>
        </w:tc>
        <w:tc>
          <w:tcPr>
            <w:tcW w:w="2268" w:type="dxa"/>
            <w:shd w:val="clear" w:color="auto" w:fill="auto"/>
          </w:tcPr>
          <w:p w:rsidR="00751A4A" w:rsidRPr="00047262" w:rsidRDefault="00187494" w:rsidP="0010095E">
            <w:pPr>
              <w:pStyle w:val="EPLogo"/>
            </w:pPr>
            <w:r w:rsidRPr="0004726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47262" w:rsidRDefault="00D058B8" w:rsidP="004C5D52">
      <w:pPr>
        <w:pStyle w:val="LineTop"/>
      </w:pPr>
    </w:p>
    <w:p w:rsidR="00680577" w:rsidRPr="00047262" w:rsidRDefault="00857318" w:rsidP="00680577">
      <w:pPr>
        <w:pStyle w:val="EPBodyTA1"/>
      </w:pPr>
      <w:r w:rsidRPr="00047262">
        <w:t>PIEŅEMTIE TEKSTI</w:t>
      </w:r>
    </w:p>
    <w:p w:rsidR="00D058B8" w:rsidRPr="00047262" w:rsidRDefault="00D058B8" w:rsidP="00D058B8">
      <w:pPr>
        <w:pStyle w:val="LineBottom"/>
      </w:pPr>
    </w:p>
    <w:p w:rsidR="00857318" w:rsidRPr="00047262" w:rsidRDefault="00857318" w:rsidP="00857318">
      <w:pPr>
        <w:pStyle w:val="ATHeading1"/>
      </w:pPr>
      <w:bookmarkStart w:id="1" w:name="TANumber"/>
      <w:r w:rsidRPr="00047262">
        <w:t>P10_TA(2024)00</w:t>
      </w:r>
      <w:r w:rsidR="00047262" w:rsidRPr="00047262">
        <w:t>63</w:t>
      </w:r>
      <w:bookmarkEnd w:id="1"/>
    </w:p>
    <w:p w:rsidR="00857318" w:rsidRPr="00047262" w:rsidRDefault="00913E51" w:rsidP="00857318">
      <w:pPr>
        <w:pStyle w:val="ATHeading2"/>
      </w:pPr>
      <w:bookmarkStart w:id="2" w:name="title"/>
      <w:r w:rsidRPr="00047262">
        <w:t xml:space="preserve">2023. gada ziņojums par Eiropas </w:t>
      </w:r>
      <w:proofErr w:type="spellStart"/>
      <w:r w:rsidRPr="00047262">
        <w:t>Ombuda</w:t>
      </w:r>
      <w:proofErr w:type="spellEnd"/>
      <w:r w:rsidRPr="00047262">
        <w:t xml:space="preserve"> darbību</w:t>
      </w:r>
      <w:bookmarkEnd w:id="2"/>
    </w:p>
    <w:p w:rsidR="00857318" w:rsidRPr="00047262" w:rsidRDefault="00857318" w:rsidP="00857318">
      <w:pPr>
        <w:rPr>
          <w:i/>
          <w:vanish/>
        </w:rPr>
      </w:pPr>
      <w:r w:rsidRPr="00047262">
        <w:rPr>
          <w:i/>
        </w:rPr>
        <w:fldChar w:fldCharType="begin"/>
      </w:r>
      <w:r w:rsidRPr="00047262">
        <w:rPr>
          <w:i/>
        </w:rPr>
        <w:instrText xml:space="preserve"> TC"(</w:instrText>
      </w:r>
      <w:bookmarkStart w:id="3" w:name="DocNumber"/>
      <w:r w:rsidRPr="00047262">
        <w:rPr>
          <w:i/>
        </w:rPr>
        <w:instrText>A10-0016/2024</w:instrText>
      </w:r>
      <w:bookmarkEnd w:id="3"/>
      <w:r w:rsidRPr="00047262">
        <w:rPr>
          <w:i/>
        </w:rPr>
        <w:instrText xml:space="preserve"> - Referents: Alex Agius Saliba)"\l3 \n&gt; \* MERGEFORMAT </w:instrText>
      </w:r>
      <w:r w:rsidRPr="00047262">
        <w:rPr>
          <w:i/>
        </w:rPr>
        <w:fldChar w:fldCharType="end"/>
      </w:r>
    </w:p>
    <w:p w:rsidR="00857318" w:rsidRPr="00047262" w:rsidRDefault="00857318" w:rsidP="00857318">
      <w:pPr>
        <w:rPr>
          <w:vanish/>
        </w:rPr>
      </w:pPr>
      <w:bookmarkStart w:id="4" w:name="Commission"/>
      <w:r w:rsidRPr="00047262">
        <w:rPr>
          <w:vanish/>
        </w:rPr>
        <w:t>Lūgumrakstu komiteja</w:t>
      </w:r>
      <w:bookmarkEnd w:id="4"/>
    </w:p>
    <w:p w:rsidR="00857318" w:rsidRPr="00047262" w:rsidRDefault="00857318" w:rsidP="00857318">
      <w:pPr>
        <w:rPr>
          <w:vanish/>
        </w:rPr>
      </w:pPr>
      <w:bookmarkStart w:id="5" w:name="PE"/>
      <w:r w:rsidRPr="00047262">
        <w:rPr>
          <w:vanish/>
        </w:rPr>
        <w:t>PE763.122</w:t>
      </w:r>
      <w:bookmarkEnd w:id="5"/>
    </w:p>
    <w:p w:rsidR="00857318" w:rsidRPr="00047262" w:rsidRDefault="00857318" w:rsidP="00857318">
      <w:pPr>
        <w:pStyle w:val="ATHeading3"/>
      </w:pPr>
      <w:bookmarkStart w:id="6" w:name="Sujet"/>
      <w:r w:rsidRPr="00047262">
        <w:t xml:space="preserve">Eiropas Parlamenta 2024. gada </w:t>
      </w:r>
      <w:r w:rsidR="00B522C4" w:rsidRPr="00047262">
        <w:t>17</w:t>
      </w:r>
      <w:r w:rsidR="00913E51" w:rsidRPr="00047262">
        <w:t>. decembra</w:t>
      </w:r>
      <w:r w:rsidRPr="00047262">
        <w:t xml:space="preserve"> rezolūcija par 2023. gada ziņojumu par Eiropas </w:t>
      </w:r>
      <w:proofErr w:type="spellStart"/>
      <w:r w:rsidRPr="00047262">
        <w:t>Ombuda</w:t>
      </w:r>
      <w:proofErr w:type="spellEnd"/>
      <w:r w:rsidRPr="00047262">
        <w:t xml:space="preserve"> darbību</w:t>
      </w:r>
      <w:bookmarkEnd w:id="6"/>
      <w:r w:rsidRPr="00047262">
        <w:t xml:space="preserve"> </w:t>
      </w:r>
      <w:bookmarkStart w:id="7" w:name="References"/>
      <w:r w:rsidRPr="00047262">
        <w:t>(2024/2056(INI))</w:t>
      </w:r>
      <w:bookmarkEnd w:id="7"/>
    </w:p>
    <w:p w:rsidR="00531DE1" w:rsidRPr="00047262" w:rsidRDefault="00531DE1" w:rsidP="00531DE1">
      <w:pPr>
        <w:pStyle w:val="EPComma"/>
      </w:pPr>
      <w:r w:rsidRPr="00047262">
        <w:rPr>
          <w:i/>
        </w:rPr>
        <w:t>Eiropas Parlaments</w:t>
      </w:r>
      <w:r w:rsidRPr="00047262">
        <w:t>,</w:t>
      </w:r>
    </w:p>
    <w:p w:rsidR="00531DE1" w:rsidRPr="00047262" w:rsidRDefault="00531DE1" w:rsidP="00531DE1">
      <w:pPr>
        <w:pStyle w:val="NormalHanging12a"/>
      </w:pPr>
      <w:r w:rsidRPr="00047262">
        <w:t>–</w:t>
      </w:r>
      <w:r w:rsidRPr="00047262">
        <w:tab/>
        <w:t xml:space="preserve">ņemot vērā 2023. gada ziņojumu par Eiropas </w:t>
      </w:r>
      <w:proofErr w:type="spellStart"/>
      <w:r w:rsidRPr="00047262">
        <w:t>Ombuda</w:t>
      </w:r>
      <w:proofErr w:type="spellEnd"/>
      <w:r w:rsidRPr="00047262">
        <w:t xml:space="preserve"> darbību,</w:t>
      </w:r>
    </w:p>
    <w:p w:rsidR="00531DE1" w:rsidRPr="00047262" w:rsidRDefault="00531DE1" w:rsidP="00531DE1">
      <w:pPr>
        <w:pStyle w:val="NormalHanging12a"/>
      </w:pPr>
      <w:r w:rsidRPr="00047262">
        <w:t>–</w:t>
      </w:r>
      <w:r w:rsidRPr="00047262">
        <w:tab/>
        <w:t>ņemot vērā Līguma par Eiropas Savienību (LES) 10. panta 3. punktu,</w:t>
      </w:r>
    </w:p>
    <w:p w:rsidR="00531DE1" w:rsidRPr="00047262" w:rsidRDefault="00531DE1" w:rsidP="00531DE1">
      <w:pPr>
        <w:pStyle w:val="NormalHanging12a"/>
      </w:pPr>
      <w:r w:rsidRPr="00047262">
        <w:t>–</w:t>
      </w:r>
      <w:r w:rsidRPr="00047262">
        <w:tab/>
        <w:t xml:space="preserve">ņemot vērā Līguma par Eiropas Savienības darbību (LESD) 15. pantu, 24. panta trešo daļu, 228. pantu un 298. panta 1. punktu, </w:t>
      </w:r>
    </w:p>
    <w:p w:rsidR="00531DE1" w:rsidRPr="00047262" w:rsidRDefault="00531DE1" w:rsidP="00531DE1">
      <w:pPr>
        <w:pStyle w:val="NormalHanging12a"/>
      </w:pPr>
      <w:r w:rsidRPr="00047262">
        <w:t>–</w:t>
      </w:r>
      <w:r w:rsidRPr="00047262">
        <w:tab/>
        <w:t xml:space="preserve">ņemot vērā Eiropas Parlamenta 2021. gada 24. jūnija Regulu (ES, </w:t>
      </w:r>
      <w:r w:rsidRPr="00047262">
        <w:rPr>
          <w:i/>
        </w:rPr>
        <w:t>Euratom</w:t>
      </w:r>
      <w:r w:rsidRPr="00047262">
        <w:t xml:space="preserve">) 2021/1163, ar kuru nosaka noteikumus un vispārējos nosacījumus, kas reglamentē </w:t>
      </w:r>
      <w:proofErr w:type="spellStart"/>
      <w:r w:rsidRPr="00047262">
        <w:t>ombuda</w:t>
      </w:r>
      <w:proofErr w:type="spellEnd"/>
      <w:r w:rsidRPr="00047262">
        <w:t xml:space="preserve"> pienākumu izpildi (Eiropas </w:t>
      </w:r>
      <w:proofErr w:type="spellStart"/>
      <w:r w:rsidRPr="00047262">
        <w:t>Ombuda</w:t>
      </w:r>
      <w:proofErr w:type="spellEnd"/>
      <w:r w:rsidRPr="00047262">
        <w:t xml:space="preserve"> statūti), un atceļ Lēmumu 94/262/EOTK, EK, </w:t>
      </w:r>
      <w:r w:rsidRPr="00047262">
        <w:rPr>
          <w:i/>
        </w:rPr>
        <w:t>Euratom</w:t>
      </w:r>
      <w:r w:rsidRPr="00047262">
        <w:rPr>
          <w:rStyle w:val="FootnoteReference"/>
          <w:color w:val="000000"/>
        </w:rPr>
        <w:footnoteReference w:id="1"/>
      </w:r>
      <w:r w:rsidRPr="00047262">
        <w:t>,</w:t>
      </w:r>
    </w:p>
    <w:p w:rsidR="00531DE1" w:rsidRPr="00047262" w:rsidRDefault="00531DE1" w:rsidP="00531DE1">
      <w:pPr>
        <w:pStyle w:val="NormalHanging12a"/>
      </w:pPr>
      <w:r w:rsidRPr="00047262">
        <w:t>–</w:t>
      </w:r>
      <w:r w:rsidRPr="00047262">
        <w:tab/>
        <w:t xml:space="preserve">ņemot vērā Eiropas Savienības </w:t>
      </w:r>
      <w:proofErr w:type="spellStart"/>
      <w:r w:rsidRPr="00047262">
        <w:t>Pamattiesību</w:t>
      </w:r>
      <w:proofErr w:type="spellEnd"/>
      <w:r w:rsidRPr="00047262">
        <w:t xml:space="preserve"> hartas (Harta) 11., 41., 42. un 43. pantu,</w:t>
      </w:r>
    </w:p>
    <w:p w:rsidR="00531DE1" w:rsidRPr="00047262" w:rsidRDefault="00531DE1" w:rsidP="00531DE1">
      <w:pPr>
        <w:pStyle w:val="NormalHanging12a"/>
      </w:pPr>
      <w:r w:rsidRPr="00047262">
        <w:t>–</w:t>
      </w:r>
      <w:r w:rsidRPr="00047262">
        <w:tab/>
        <w:t>ņemot vērā ANO Konvenciju par personu ar invaliditāti tiesībām (</w:t>
      </w:r>
      <w:r w:rsidRPr="00047262">
        <w:rPr>
          <w:i/>
        </w:rPr>
        <w:t>UNCRPD</w:t>
      </w:r>
      <w:r w:rsidRPr="00047262">
        <w:t>),</w:t>
      </w:r>
    </w:p>
    <w:p w:rsidR="00531DE1" w:rsidRPr="00047262" w:rsidRDefault="00531DE1" w:rsidP="00531DE1">
      <w:pPr>
        <w:pStyle w:val="NormalHanging12a"/>
      </w:pPr>
      <w:r w:rsidRPr="00047262">
        <w:t>–</w:t>
      </w:r>
      <w:r w:rsidRPr="00047262">
        <w:tab/>
        <w:t>ņemot vērā Eiropas Parlamenta 2001. gada 6. septembrī pieņemto Eiropas labas administratīvās prakses kodeksu,</w:t>
      </w:r>
    </w:p>
    <w:p w:rsidR="00531DE1" w:rsidRPr="00047262" w:rsidRDefault="00531DE1" w:rsidP="00531DE1">
      <w:pPr>
        <w:pStyle w:val="NormalHanging12a"/>
      </w:pPr>
      <w:r w:rsidRPr="00047262">
        <w:t>–</w:t>
      </w:r>
      <w:r w:rsidRPr="00047262">
        <w:tab/>
        <w:t xml:space="preserve">ņemot vērā </w:t>
      </w:r>
      <w:proofErr w:type="spellStart"/>
      <w:r w:rsidRPr="00047262">
        <w:t>Pamatnolīgumu</w:t>
      </w:r>
      <w:proofErr w:type="spellEnd"/>
      <w:r w:rsidRPr="00047262">
        <w:t xml:space="preserve"> par sadarbību, kas tika noslēgts starp Eiropas Parlamentu un Eiropas </w:t>
      </w:r>
      <w:proofErr w:type="spellStart"/>
      <w:r w:rsidRPr="00047262">
        <w:t>Ombudu</w:t>
      </w:r>
      <w:proofErr w:type="spellEnd"/>
      <w:r w:rsidRPr="00047262">
        <w:t xml:space="preserve"> 2006. gada 15. martā un stājās spēkā 2006. gada 1. aprīlī,</w:t>
      </w:r>
    </w:p>
    <w:p w:rsidR="00531DE1" w:rsidRPr="00047262" w:rsidRDefault="00531DE1" w:rsidP="00531DE1">
      <w:pPr>
        <w:pStyle w:val="NormalHanging12a"/>
      </w:pPr>
      <w:r w:rsidRPr="00047262">
        <w:t>–</w:t>
      </w:r>
      <w:r w:rsidRPr="00047262">
        <w:tab/>
        <w:t xml:space="preserve">ņemot vērā iepriekšējās rezolūcijas par Eiropas </w:t>
      </w:r>
      <w:proofErr w:type="spellStart"/>
      <w:r w:rsidRPr="00047262">
        <w:t>Ombuda</w:t>
      </w:r>
      <w:proofErr w:type="spellEnd"/>
      <w:r w:rsidRPr="00047262">
        <w:t xml:space="preserve"> darbību,</w:t>
      </w:r>
    </w:p>
    <w:p w:rsidR="00531DE1" w:rsidRPr="00047262" w:rsidRDefault="00531DE1" w:rsidP="00531DE1">
      <w:pPr>
        <w:pStyle w:val="NormalHanging12a"/>
      </w:pPr>
      <w:r w:rsidRPr="00047262">
        <w:t>–</w:t>
      </w:r>
      <w:r w:rsidRPr="00047262">
        <w:tab/>
        <w:t>ņemot vērā Reglamenta 55. pantu un 148. panta 2. punktu,</w:t>
      </w:r>
    </w:p>
    <w:p w:rsidR="00531DE1" w:rsidRPr="00047262" w:rsidRDefault="00531DE1" w:rsidP="00531DE1">
      <w:pPr>
        <w:pStyle w:val="NormalHanging12a"/>
      </w:pPr>
      <w:r w:rsidRPr="00047262">
        <w:t>–</w:t>
      </w:r>
      <w:r w:rsidRPr="00047262">
        <w:tab/>
        <w:t>ņemot vērā Lūgumrakstu komitejas ziņojumu (A10-0016/2024),</w:t>
      </w:r>
    </w:p>
    <w:p w:rsidR="00531DE1" w:rsidRPr="00047262" w:rsidRDefault="00531DE1" w:rsidP="00531DE1">
      <w:pPr>
        <w:pStyle w:val="NormalHanging12a"/>
      </w:pPr>
      <w:r w:rsidRPr="00047262">
        <w:lastRenderedPageBreak/>
        <w:t>A.</w:t>
      </w:r>
      <w:r w:rsidRPr="00047262">
        <w:tab/>
        <w:t xml:space="preserve">tā kā 2024. gada 18. aprīlī Eiropas Parlamenta priekšsēdētājai oficiāli tika iesniegts gada ziņojums par Eiropas </w:t>
      </w:r>
      <w:proofErr w:type="spellStart"/>
      <w:r w:rsidRPr="00047262">
        <w:t>Ombuda</w:t>
      </w:r>
      <w:proofErr w:type="spellEnd"/>
      <w:r w:rsidRPr="00047262">
        <w:t xml:space="preserve"> darbību 2023. gadā un tā kā 2024. gada 4. septembrī </w:t>
      </w:r>
      <w:proofErr w:type="spellStart"/>
      <w:r w:rsidRPr="00047262">
        <w:t>ombude</w:t>
      </w:r>
      <w:proofErr w:type="spellEnd"/>
      <w:r w:rsidRPr="00047262">
        <w:t xml:space="preserve"> </w:t>
      </w:r>
      <w:proofErr w:type="spellStart"/>
      <w:r w:rsidRPr="00047262">
        <w:rPr>
          <w:i/>
        </w:rPr>
        <w:t>Emily</w:t>
      </w:r>
      <w:proofErr w:type="spellEnd"/>
      <w:r w:rsidRPr="00047262">
        <w:rPr>
          <w:i/>
        </w:rPr>
        <w:t xml:space="preserve"> </w:t>
      </w:r>
      <w:proofErr w:type="spellStart"/>
      <w:r w:rsidRPr="00047262">
        <w:rPr>
          <w:i/>
        </w:rPr>
        <w:t>O’Reilly</w:t>
      </w:r>
      <w:proofErr w:type="spellEnd"/>
      <w:r w:rsidRPr="00047262">
        <w:t xml:space="preserve"> Briselē iepazīstināja Lūgumrakstu komiteju ar šo ziņojumu;</w:t>
      </w:r>
    </w:p>
    <w:p w:rsidR="00531DE1" w:rsidRPr="00047262" w:rsidRDefault="00531DE1" w:rsidP="00531DE1">
      <w:pPr>
        <w:pStyle w:val="NormalHanging12a"/>
      </w:pPr>
      <w:r w:rsidRPr="00047262">
        <w:t>B.</w:t>
      </w:r>
      <w:r w:rsidRPr="00047262">
        <w:tab/>
        <w:t xml:space="preserve">tā kā saskaņā ar LESD 20, 24. un 228. pantu Eiropas </w:t>
      </w:r>
      <w:proofErr w:type="spellStart"/>
      <w:r w:rsidRPr="00047262">
        <w:t>Ombuds</w:t>
      </w:r>
      <w:proofErr w:type="spellEnd"/>
      <w:r w:rsidRPr="00047262">
        <w:t xml:space="preserve"> ir pilnvarots pieņemt sūdzības par Savienības iestāžu, struktūru, biroju vai aģentūru pieļautām administratīvām kļūmēm, izņemot kļūmes, ko, pildot tiesu iestādes pienākumus, pieļāvusi Eiropas Savienības Tiesa;</w:t>
      </w:r>
    </w:p>
    <w:p w:rsidR="00531DE1" w:rsidRPr="00047262" w:rsidRDefault="00531DE1" w:rsidP="00531DE1">
      <w:pPr>
        <w:pStyle w:val="NormalHanging12a"/>
      </w:pPr>
      <w:r w:rsidRPr="00047262">
        <w:t>C.</w:t>
      </w:r>
      <w:r w:rsidRPr="00047262">
        <w:tab/>
        <w:t>tā kā LESD 15. pantā ir paredzēts, ka ES iestādēm, struktūrām, birojiem un aģentūrām jādarbojas iespējami atklāti, lai veicinātu labu pārvaldību un nodrošinātu pilsoniskās sabiedrības līdzdalību, un ka jebkuram Savienības pilsonim, kā arī jebkurai fiziskai personai, kas dzīvo kādā dalībvalstī, vai juridiskai personai, kam ir juridiskā adrese kādā dalībvalstī, ir tiesības piekļūt Savienības iestāžu un struktūru dokumentiem;</w:t>
      </w:r>
    </w:p>
    <w:p w:rsidR="00531DE1" w:rsidRPr="00047262" w:rsidRDefault="00531DE1" w:rsidP="00531DE1">
      <w:pPr>
        <w:pStyle w:val="NormalHanging12a"/>
      </w:pPr>
      <w:r w:rsidRPr="00047262">
        <w:t>D.</w:t>
      </w:r>
      <w:r w:rsidRPr="00047262">
        <w:tab/>
        <w:t>tā kā Hartas 41. pants nosaka, ka “ikvienai personai ir tiesības uz objektīvu, godīgu un pieņemamā termiņā veiktu jautājumu izskatīšanu Savienības iestādēs un struktūrās”;</w:t>
      </w:r>
    </w:p>
    <w:p w:rsidR="00531DE1" w:rsidRPr="00047262" w:rsidRDefault="00531DE1" w:rsidP="00531DE1">
      <w:pPr>
        <w:pStyle w:val="NormalHanging12a"/>
      </w:pPr>
      <w:r w:rsidRPr="00047262">
        <w:t>E.</w:t>
      </w:r>
      <w:r w:rsidRPr="00047262">
        <w:tab/>
        <w:t xml:space="preserve">tā kā Hartas 43. pantā noteikts, ka “ikvienam Savienības pilsonim un jebkurai fiziskai personai, kas dzīvo kādā dalībvalstī, vai juridiskai personai, kuras juridiskā adrese ir kādā dalībvalstī, ir tiesības vērsties pie Eiropas </w:t>
      </w:r>
      <w:proofErr w:type="spellStart"/>
      <w:r w:rsidRPr="00047262">
        <w:t>Ombuda</w:t>
      </w:r>
      <w:proofErr w:type="spellEnd"/>
      <w:r w:rsidRPr="00047262">
        <w:t xml:space="preserve"> ar sūdzībām par Savienības iestāžu vai struktūru pieļautām administratīvām kļūmēm, izņemot kļūmes, ko, pildot tiesu iestādes pienākumus, pieļāvusi Eiropas Savienības Tiesa”;</w:t>
      </w:r>
    </w:p>
    <w:p w:rsidR="00531DE1" w:rsidRPr="00047262" w:rsidRDefault="00531DE1" w:rsidP="00531DE1">
      <w:pPr>
        <w:pStyle w:val="NormalHanging12a"/>
        <w:rPr>
          <w:b/>
          <w:i/>
        </w:rPr>
      </w:pPr>
      <w:r w:rsidRPr="00047262">
        <w:t>F.</w:t>
      </w:r>
      <w:r w:rsidRPr="00047262">
        <w:rPr>
          <w:b/>
          <w:i/>
        </w:rPr>
        <w:tab/>
      </w:r>
      <w:r w:rsidRPr="00047262">
        <w:t>tā kā LESD 298. panta 1. punktā teikts, ka, “veicot uzdevumus, Savienības iestādes un struktūras saņem atvērtas, efektīvas un neatkarīgas Eiropas administrācijas atbalstu”;</w:t>
      </w:r>
    </w:p>
    <w:p w:rsidR="00531DE1" w:rsidRPr="00047262" w:rsidRDefault="00531DE1" w:rsidP="00531DE1">
      <w:pPr>
        <w:pStyle w:val="NormalHanging12a"/>
      </w:pPr>
      <w:r w:rsidRPr="00047262">
        <w:t>G.</w:t>
      </w:r>
      <w:r w:rsidRPr="00047262">
        <w:tab/>
        <w:t xml:space="preserve">tā kā Eiropas </w:t>
      </w:r>
      <w:proofErr w:type="spellStart"/>
      <w:r w:rsidRPr="00047262">
        <w:t>Ombuds</w:t>
      </w:r>
      <w:proofErr w:type="spellEnd"/>
      <w:r w:rsidRPr="00047262">
        <w:t xml:space="preserve"> var sniegt ieteikumus un ierosināt tiesiskās aizsardzības līdzekļus un uzlabojumus, kuru mērķis ir novērst dažādus administratīvas kļūmes aspektus;</w:t>
      </w:r>
    </w:p>
    <w:p w:rsidR="00531DE1" w:rsidRPr="00047262" w:rsidRDefault="00531DE1" w:rsidP="00531DE1">
      <w:pPr>
        <w:pStyle w:val="NormalHanging12a"/>
      </w:pPr>
      <w:r w:rsidRPr="00047262">
        <w:t>H.</w:t>
      </w:r>
      <w:r w:rsidRPr="00047262">
        <w:tab/>
        <w:t xml:space="preserve">tā kā 2023. gadā </w:t>
      </w:r>
      <w:proofErr w:type="spellStart"/>
      <w:r w:rsidRPr="00047262">
        <w:t>Ombuds</w:t>
      </w:r>
      <w:proofErr w:type="spellEnd"/>
      <w:r w:rsidRPr="00047262">
        <w:t xml:space="preserve"> uzsāka 398 izmeklēšanas, no kurām </w:t>
      </w:r>
      <w:r w:rsidRPr="00047262">
        <w:rPr>
          <w:rStyle w:val="graphbold"/>
          <w:color w:val="000000"/>
        </w:rPr>
        <w:t>393 </w:t>
      </w:r>
      <w:r w:rsidRPr="00047262">
        <w:t>tika ierosinātas uz sūdzību pamata, bet 5 — pēc savas iniciatīvas, un vienlaikus tika pabeigtas 372 izmeklēšanas (369, kuru pamatā bija sūdzības, un 3 — pēc savas iniciatīvas);</w:t>
      </w:r>
    </w:p>
    <w:p w:rsidR="00531DE1" w:rsidRPr="00047262" w:rsidRDefault="00531DE1" w:rsidP="00531DE1">
      <w:pPr>
        <w:pStyle w:val="NormalHanging12a"/>
      </w:pPr>
      <w:r w:rsidRPr="00047262">
        <w:t>I.</w:t>
      </w:r>
      <w:r w:rsidRPr="00047262">
        <w:tab/>
        <w:t>tā kā 2023. gadā lielākā daļa izmeklēšanu attiecās uz Komisiju (250 izmeklēšanas jeb 62,81 %) un nākamie pēc izmeklēšanu skaita bija Eiropas Personāla atlases birojs (</w:t>
      </w:r>
      <w:r w:rsidRPr="00047262">
        <w:rPr>
          <w:i/>
          <w:iCs/>
        </w:rPr>
        <w:t>EPSO</w:t>
      </w:r>
      <w:r w:rsidRPr="00047262">
        <w:t>) (47 izmeklēšanas jeb 11,81 %), Eiropas Parlaments (16 izmeklēšanas jeb 4,02 %) un Eiropas Robežu un krasta apsardzes aģentūra (</w:t>
      </w:r>
      <w:proofErr w:type="spellStart"/>
      <w:r w:rsidRPr="00047262">
        <w:rPr>
          <w:i/>
          <w:iCs/>
        </w:rPr>
        <w:t>Frontex</w:t>
      </w:r>
      <w:proofErr w:type="spellEnd"/>
      <w:r w:rsidRPr="00047262">
        <w:t>) (11 izmeklēšanas jeb 2,76 %); tā kā pārējo izmeklēšanu sadalījums bija šāds: Eiropas Savienības Padome (7 izmeklēšanas jeb 1,76 %), Eiropas Birojs krāpšanas apkarošanai (7 izmeklēšanas jeb 1,76 %), Eiropas Ārējās darbības dienests (6 izmeklēšanas jeb 1,51 %), Eiropas Datu aizsardzības uzraudzītājs (6 izmeklēšanas jeb 1,51 %), Eiropas Savienības Intelektuālā īpašuma birojs (5 izmeklēšanas jeb 1,26 %), citas ES aģentūras (33 izmeklēšanas jeb 8,27 %) un citas ES iestādes vai struktūras (12 izmeklēšanas jeb 3,01 %);</w:t>
      </w:r>
    </w:p>
    <w:p w:rsidR="00531DE1" w:rsidRPr="00047262" w:rsidRDefault="00531DE1" w:rsidP="00531DE1">
      <w:pPr>
        <w:pStyle w:val="NormalHanging12a"/>
      </w:pPr>
      <w:r w:rsidRPr="00047262">
        <w:t>J.</w:t>
      </w:r>
      <w:r w:rsidRPr="00047262">
        <w:tab/>
        <w:t xml:space="preserve">tā kā 2023. gadā lielākā daļa </w:t>
      </w:r>
      <w:proofErr w:type="spellStart"/>
      <w:r w:rsidRPr="00047262">
        <w:t>Ombuda</w:t>
      </w:r>
      <w:proofErr w:type="spellEnd"/>
      <w:r w:rsidRPr="00047262">
        <w:t xml:space="preserve"> izmeklēšanu attiecās uz Komisiju, kuras administratīvajām darbībām tiek pievērsta ievērojama sabiedrības uzmanība, jo tā ir ES izpildvara;</w:t>
      </w:r>
    </w:p>
    <w:p w:rsidR="00531DE1" w:rsidRPr="00047262" w:rsidRDefault="00531DE1" w:rsidP="00531DE1">
      <w:pPr>
        <w:pStyle w:val="NormalHanging12a"/>
      </w:pPr>
      <w:r w:rsidRPr="00047262">
        <w:t>K.</w:t>
      </w:r>
      <w:r w:rsidRPr="00047262">
        <w:tab/>
        <w:t xml:space="preserve">tā kā </w:t>
      </w:r>
      <w:proofErr w:type="spellStart"/>
      <w:r w:rsidRPr="00047262">
        <w:t>Ombuda</w:t>
      </w:r>
      <w:proofErr w:type="spellEnd"/>
      <w:r w:rsidRPr="00047262">
        <w:t xml:space="preserve"> 2023. gadā pabeigtajās izmeklēšanās 99 (26,6 %) lietās netika konstatētas administratīvas kļūmes, iestāde 206 (55,4 %) lietās bija panākusi risinājumu vai daļēju risinājumu vai atrisinājusi situāciju, 46 (12,4 %) lietās turpmāka izmeklēšana nebija </w:t>
      </w:r>
      <w:r w:rsidRPr="00047262">
        <w:lastRenderedPageBreak/>
        <w:t>pamatota un 27 (7,3 %) lietās tika konstatētas administratīvas kļūmes;</w:t>
      </w:r>
    </w:p>
    <w:p w:rsidR="00531DE1" w:rsidRPr="00047262" w:rsidRDefault="00531DE1" w:rsidP="00531DE1">
      <w:pPr>
        <w:pStyle w:val="NormalHanging12a"/>
      </w:pPr>
      <w:r w:rsidRPr="00047262">
        <w:t>L.</w:t>
      </w:r>
      <w:r w:rsidRPr="00047262">
        <w:tab/>
        <w:t xml:space="preserve">tā kā trīs galvenie </w:t>
      </w:r>
      <w:proofErr w:type="spellStart"/>
      <w:r w:rsidRPr="00047262">
        <w:t>problēmjautājumi</w:t>
      </w:r>
      <w:proofErr w:type="spellEnd"/>
      <w:r w:rsidRPr="00047262">
        <w:t xml:space="preserve"> </w:t>
      </w:r>
      <w:proofErr w:type="spellStart"/>
      <w:r w:rsidRPr="00047262">
        <w:t>ombudes</w:t>
      </w:r>
      <w:proofErr w:type="spellEnd"/>
      <w:r w:rsidRPr="00047262">
        <w:t xml:space="preserve"> 2023. gadā pabeigtajās izmeklēšanās bija </w:t>
      </w:r>
      <w:proofErr w:type="spellStart"/>
      <w:r w:rsidRPr="00047262">
        <w:t>pārredzamība</w:t>
      </w:r>
      <w:proofErr w:type="spellEnd"/>
      <w:r w:rsidRPr="00047262">
        <w:t xml:space="preserve"> un </w:t>
      </w:r>
      <w:proofErr w:type="spellStart"/>
      <w:r w:rsidRPr="00047262">
        <w:t>pārskatatbildība</w:t>
      </w:r>
      <w:proofErr w:type="spellEnd"/>
      <w:r w:rsidRPr="00047262">
        <w:t xml:space="preserve"> (piemēram, piekļuve informācijai un dokumentiem) (34,2 %), pakalpojumu sniegšanas kultūra (21,5 %) un pieņemšana darbā (15,3 %); tā kā citas bažas ir saistītas ar personāla jautājumu labu pārvaldību, rīcības brīvības pienācīgu izmantošanu (tostarp pārkāpumu procedūrās), pārkāpumu procedūru pienācīgu pārvaldību, </w:t>
      </w:r>
      <w:proofErr w:type="spellStart"/>
      <w:r w:rsidRPr="00047262">
        <w:t>pamattiesību</w:t>
      </w:r>
      <w:proofErr w:type="spellEnd"/>
      <w:r w:rsidRPr="00047262">
        <w:t xml:space="preserve"> ievērošanu, procesuālo tiesību ievērošanu, dotācijām, iepirkumu, līgumiem, ētiku, sabiedrības līdzdalību ES lēmumu pieņemšanā un pareizu finanšu pārvaldību;</w:t>
      </w:r>
    </w:p>
    <w:p w:rsidR="00531DE1" w:rsidRPr="00047262" w:rsidRDefault="00531DE1" w:rsidP="00531DE1">
      <w:pPr>
        <w:pStyle w:val="NormalHanging12a"/>
      </w:pPr>
      <w:r w:rsidRPr="00047262">
        <w:t>M.</w:t>
      </w:r>
      <w:r w:rsidRPr="00047262">
        <w:tab/>
        <w:t xml:space="preserve">tā kā 2023. gadā </w:t>
      </w:r>
      <w:proofErr w:type="spellStart"/>
      <w:r w:rsidRPr="00047262">
        <w:t>ombude</w:t>
      </w:r>
      <w:proofErr w:type="spellEnd"/>
      <w:r w:rsidRPr="00047262">
        <w:t xml:space="preserve"> veica arī plašākas stratēģiskās izmeklēšanas un īstenoja iniciatīvas attiecībā uz sistēmiskiem jautājumiem ES iestādēs, aptverot piekļuvi dokumentiem, </w:t>
      </w:r>
      <w:proofErr w:type="spellStart"/>
      <w:r w:rsidRPr="00047262">
        <w:t>pamattiesības</w:t>
      </w:r>
      <w:proofErr w:type="spellEnd"/>
      <w:r w:rsidRPr="00047262">
        <w:t xml:space="preserve">, ētikas jautājumus, </w:t>
      </w:r>
      <w:proofErr w:type="spellStart"/>
      <w:r w:rsidRPr="00047262">
        <w:t>pārskatatbildību</w:t>
      </w:r>
      <w:proofErr w:type="spellEnd"/>
      <w:r w:rsidRPr="00047262">
        <w:t xml:space="preserve"> lēmumu pieņemšanā un ES ierēdņu pieņemšanu darbā;</w:t>
      </w:r>
    </w:p>
    <w:p w:rsidR="00531DE1" w:rsidRPr="00047262" w:rsidRDefault="00531DE1" w:rsidP="00531DE1">
      <w:pPr>
        <w:pStyle w:val="NormalHanging12a"/>
        <w:rPr>
          <w:szCs w:val="24"/>
        </w:rPr>
      </w:pPr>
      <w:r w:rsidRPr="00047262">
        <w:t>N.</w:t>
      </w:r>
      <w:r w:rsidRPr="00047262">
        <w:tab/>
        <w:t xml:space="preserve">tā kā ES pilsoņiem ir plašas tiesības piekļūt ES administrācijas rīcībā esošajiem dokumentiem; tā kā </w:t>
      </w:r>
      <w:proofErr w:type="spellStart"/>
      <w:r w:rsidRPr="00047262">
        <w:t>ombude</w:t>
      </w:r>
      <w:proofErr w:type="spellEnd"/>
      <w:r w:rsidRPr="00047262">
        <w:t xml:space="preserve"> uzsāka izmeklēšanu pēc savas iniciatīvas, lūdzot Komisiju steidzami novērst sistemātisku kavēšanos dokumentu piekļuves pieprasījumu izskatīšanā, lai nodrošinātu, ka tā ievēro termiņus, kas noteikti ES tiesību aktos par publisku piekļuvi (Regula (EK) Nr. 1049/2001</w:t>
      </w:r>
      <w:r w:rsidRPr="00047262">
        <w:rPr>
          <w:rStyle w:val="FootnoteReference"/>
        </w:rPr>
        <w:footnoteReference w:id="2"/>
      </w:r>
      <w:r w:rsidRPr="00047262">
        <w:t>); tā kā šajā izmeklēšanā atklājās, ka gadījumos, kad personas lūdz pārskatīt lēmumu par piekļuvi, kas pazīstams kā atkārtots pieprasījums, Komisija 85 % gadījumu neievēro tiesību aktos noteiktos termiņus, un lielākā daļa atbilžu tiek saņemtas pēc 60 dienu laikposma; tā kā šīs kavēšanās dēļ iegūtā informācija bieži vien vairs nebija noderīga pieprasītājiem, liedzot viņiem iespēju ietekmēt lēmumu pieņemšanas procesu attiecīgajos laikos;</w:t>
      </w:r>
    </w:p>
    <w:p w:rsidR="00531DE1" w:rsidRPr="00047262" w:rsidRDefault="00531DE1" w:rsidP="00531DE1">
      <w:pPr>
        <w:pStyle w:val="NormalHanging12a"/>
      </w:pPr>
      <w:r w:rsidRPr="00047262">
        <w:t>O.</w:t>
      </w:r>
      <w:r w:rsidRPr="00047262">
        <w:tab/>
        <w:t xml:space="preserve">tā kā </w:t>
      </w:r>
      <w:proofErr w:type="spellStart"/>
      <w:r w:rsidRPr="00047262">
        <w:t>ombude</w:t>
      </w:r>
      <w:proofErr w:type="spellEnd"/>
      <w:r w:rsidRPr="00047262">
        <w:t xml:space="preserve"> pēc stratēģiskās izmeklēšanas 2023. gadā publicēja īpašo ziņojumu par laiku, kas Eiropas Komisijai ir nepieciešams, lai izskatītu pieprasījumus saistībā ar publisku piekļuvi dokumentiem; tā kā </w:t>
      </w:r>
      <w:proofErr w:type="spellStart"/>
      <w:r w:rsidRPr="00047262">
        <w:t>Ombuda</w:t>
      </w:r>
      <w:proofErr w:type="spellEnd"/>
      <w:r w:rsidRPr="00047262">
        <w:t xml:space="preserve"> birojs iesniedza šo ziņojumu Eiropas Parlamentam ar mērķi lūgt tā atbalstu Komisijas ietekmēšanā, lai pārliecinātu to rīkoties saskaņā ar ieteikumiem, uzskatot, ka pilsoņiem ir tiesības sagaidīt labāku praksi no atvērtas, modernas un uz pakalpojumiem orientētas ES administrācijas;</w:t>
      </w:r>
    </w:p>
    <w:p w:rsidR="00531DE1" w:rsidRPr="00047262" w:rsidRDefault="00531DE1" w:rsidP="00531DE1">
      <w:pPr>
        <w:pStyle w:val="NormalHanging12a"/>
        <w:rPr>
          <w:szCs w:val="24"/>
        </w:rPr>
      </w:pPr>
      <w:r w:rsidRPr="00047262">
        <w:t>P.</w:t>
      </w:r>
      <w:r w:rsidRPr="00047262">
        <w:tab/>
        <w:t xml:space="preserve">tā kā īpašais ziņojums tika apspriests Parlamenta Pilsoņu brīvību, tieslietu un </w:t>
      </w:r>
      <w:proofErr w:type="spellStart"/>
      <w:r w:rsidRPr="00047262">
        <w:t>iekšlietu</w:t>
      </w:r>
      <w:proofErr w:type="spellEnd"/>
      <w:r w:rsidRPr="00047262">
        <w:t xml:space="preserve"> komitejā un tā rezultātā 2024. gada 14. martā tika </w:t>
      </w:r>
      <w:proofErr w:type="spellStart"/>
      <w:r w:rsidRPr="00047262">
        <w:t>tika</w:t>
      </w:r>
      <w:proofErr w:type="spellEnd"/>
      <w:r w:rsidRPr="00047262">
        <w:t xml:space="preserve"> pieņemta Eiropas Parlamenta rezolūcija par laiku, kas Eiropas Komisijai vajadzīgs, lai atbildētu uz pieprasījumiem par publisku piekļuvi dokumentiem</w:t>
      </w:r>
      <w:r w:rsidRPr="00047262">
        <w:rPr>
          <w:rStyle w:val="FootnoteReference"/>
        </w:rPr>
        <w:footnoteReference w:id="3"/>
      </w:r>
      <w:r w:rsidRPr="00047262">
        <w:t xml:space="preserve">, kurā Parlaments pauda nopietnas bažas par ārkārtīgu kavēšanos Komisijas procesā, piešķirot publisku piekļuvi pieprasītajiem dokumentiem, un aicināja Komisiju novērst šo sistemātisko un ievērojamo kavēšanos; tā kā Parlaments norādīja, ka apsvērs iespēju izmantot visus pieejamos Parlamenta instrumentus, lai risinātu šo jautājumu; tā kā rezolūcijā bija arī atsauce uz sarunām par Covid-19 vakcīnu iegādi un Komisija tika aicināta sniegt pienācīgu informāciju, nodrošināt </w:t>
      </w:r>
      <w:proofErr w:type="spellStart"/>
      <w:r w:rsidRPr="00047262">
        <w:t>proaktīvāku</w:t>
      </w:r>
      <w:proofErr w:type="spellEnd"/>
      <w:r w:rsidRPr="00047262">
        <w:t xml:space="preserve"> </w:t>
      </w:r>
      <w:proofErr w:type="spellStart"/>
      <w:r w:rsidRPr="00047262">
        <w:t>pārredzamību</w:t>
      </w:r>
      <w:proofErr w:type="spellEnd"/>
      <w:r w:rsidRPr="00047262">
        <w:t xml:space="preserve"> ar vairāk atvēlētiem cilvēkresursiem atkārtotu pieteikumu izskatīšanai un panākt atvērtāku un konstruktīvāku attieksmi pret </w:t>
      </w:r>
      <w:r w:rsidRPr="00047262">
        <w:lastRenderedPageBreak/>
        <w:t>pieprasītājiem;</w:t>
      </w:r>
      <w:r w:rsidRPr="00047262">
        <w:rPr>
          <w:b/>
          <w:i/>
        </w:rPr>
        <w:t xml:space="preserve"> </w:t>
      </w:r>
    </w:p>
    <w:p w:rsidR="00531DE1" w:rsidRPr="00047262" w:rsidRDefault="00531DE1" w:rsidP="00531DE1">
      <w:pPr>
        <w:pStyle w:val="NormalHanging12a"/>
        <w:rPr>
          <w:szCs w:val="24"/>
        </w:rPr>
      </w:pPr>
      <w:r w:rsidRPr="00047262">
        <w:t>Q.</w:t>
      </w:r>
      <w:r w:rsidRPr="00047262">
        <w:tab/>
        <w:t xml:space="preserve">tā kā </w:t>
      </w:r>
      <w:proofErr w:type="spellStart"/>
      <w:r w:rsidRPr="00047262">
        <w:t>ombude</w:t>
      </w:r>
      <w:proofErr w:type="spellEnd"/>
      <w:r w:rsidRPr="00047262">
        <w:t xml:space="preserve"> uzsvēra, ka Parlamenta jauno ētikas noteikumu īstenošana ir pienācīgi jāuzrauga un jānodrošina;</w:t>
      </w:r>
    </w:p>
    <w:p w:rsidR="00531DE1" w:rsidRPr="00047262" w:rsidRDefault="00531DE1" w:rsidP="00531DE1">
      <w:pPr>
        <w:pStyle w:val="NormalHanging12a"/>
        <w:rPr>
          <w:b/>
          <w:i/>
        </w:rPr>
      </w:pPr>
      <w:r w:rsidRPr="00047262">
        <w:t>R.</w:t>
      </w:r>
      <w:r w:rsidRPr="00047262">
        <w:rPr>
          <w:b/>
          <w:i/>
        </w:rPr>
        <w:tab/>
      </w:r>
      <w:r w:rsidRPr="00047262">
        <w:t xml:space="preserve">tā kā </w:t>
      </w:r>
      <w:proofErr w:type="spellStart"/>
      <w:r w:rsidRPr="00047262">
        <w:t>Ombuds</w:t>
      </w:r>
      <w:proofErr w:type="spellEnd"/>
      <w:r w:rsidRPr="00047262">
        <w:t xml:space="preserve"> atzina ievērojamu progresu ētikas noteikumu stiprināšanā Parlamentā pēc </w:t>
      </w:r>
      <w:proofErr w:type="spellStart"/>
      <w:r w:rsidRPr="00047262">
        <w:t>Katargeitas</w:t>
      </w:r>
      <w:proofErr w:type="spellEnd"/>
      <w:r w:rsidRPr="00047262">
        <w:t xml:space="preserve">, bet pauda bažas par to īstenošanu un izpildes panākšanu; tā kā </w:t>
      </w:r>
      <w:proofErr w:type="spellStart"/>
      <w:r w:rsidRPr="00047262">
        <w:t>Ombuds</w:t>
      </w:r>
      <w:proofErr w:type="spellEnd"/>
      <w:r w:rsidRPr="00047262">
        <w:t xml:space="preserve"> sāka atsevišķu izmeklēšanu par ceļa izdevumiem, ko Komisijai kopš 2021. gada ir maksājušas trešās personas;</w:t>
      </w:r>
    </w:p>
    <w:p w:rsidR="00531DE1" w:rsidRPr="00047262" w:rsidRDefault="00531DE1" w:rsidP="00531DE1">
      <w:pPr>
        <w:pStyle w:val="NormalHanging12a"/>
      </w:pPr>
      <w:r w:rsidRPr="00047262">
        <w:t>S.</w:t>
      </w:r>
      <w:r w:rsidRPr="00047262">
        <w:tab/>
        <w:t xml:space="preserve">tā kā </w:t>
      </w:r>
      <w:proofErr w:type="spellStart"/>
      <w:r w:rsidRPr="00047262">
        <w:t>pārredzamība</w:t>
      </w:r>
      <w:proofErr w:type="spellEnd"/>
      <w:r w:rsidRPr="00047262">
        <w:t xml:space="preserve"> ir būtiska demokrātiskas sabiedrības daļa un svarīgs instruments cīņā pret korupciju; tā kā ES pilsoņiem ir tiesības uz visaugstāko </w:t>
      </w:r>
      <w:proofErr w:type="spellStart"/>
      <w:r w:rsidRPr="00047262">
        <w:t>pārredzamības</w:t>
      </w:r>
      <w:proofErr w:type="spellEnd"/>
      <w:r w:rsidRPr="00047262">
        <w:t xml:space="preserve"> līmeni un tā kā visaugstākais publisko dokumentu pieejamības līmenis ir būtisks, lai nodrošinātu </w:t>
      </w:r>
      <w:proofErr w:type="spellStart"/>
      <w:r w:rsidRPr="00047262">
        <w:t>pārskatatbildību</w:t>
      </w:r>
      <w:proofErr w:type="spellEnd"/>
      <w:r w:rsidRPr="00047262">
        <w:t>;</w:t>
      </w:r>
    </w:p>
    <w:p w:rsidR="00531DE1" w:rsidRPr="00047262" w:rsidRDefault="00531DE1" w:rsidP="00531DE1">
      <w:pPr>
        <w:pStyle w:val="NormalHanging12a"/>
        <w:rPr>
          <w:szCs w:val="24"/>
        </w:rPr>
      </w:pPr>
      <w:r w:rsidRPr="00047262">
        <w:t>T.</w:t>
      </w:r>
      <w:r w:rsidRPr="00047262">
        <w:tab/>
        <w:t xml:space="preserve">tā kā 2023. gadā </w:t>
      </w:r>
      <w:proofErr w:type="spellStart"/>
      <w:r w:rsidRPr="00047262">
        <w:t>Ombuda</w:t>
      </w:r>
      <w:proofErr w:type="spellEnd"/>
      <w:r w:rsidRPr="00047262">
        <w:t xml:space="preserve"> birojs vēl vairāk palielināja sabiedrības informētību par </w:t>
      </w:r>
      <w:proofErr w:type="spellStart"/>
      <w:r w:rsidRPr="00047262">
        <w:t>Ombuda</w:t>
      </w:r>
      <w:proofErr w:type="spellEnd"/>
      <w:r w:rsidRPr="00047262">
        <w:t xml:space="preserve"> lomu augstu darba standartu uzturēšanā ES administrācijā un pilsoņu tiesību un pamatbrīvību aizsardzībā,</w:t>
      </w:r>
    </w:p>
    <w:p w:rsidR="00531DE1" w:rsidRPr="00047262" w:rsidRDefault="00531DE1" w:rsidP="00531DE1">
      <w:pPr>
        <w:pStyle w:val="NormalHanging12a"/>
        <w:rPr>
          <w:szCs w:val="24"/>
        </w:rPr>
      </w:pPr>
      <w:r w:rsidRPr="00047262">
        <w:t>1.</w:t>
      </w:r>
      <w:r w:rsidRPr="00047262">
        <w:tab/>
        <w:t xml:space="preserve">apstiprina 2023. gada ziņojumu, ko iesniedza Eiropas </w:t>
      </w:r>
      <w:proofErr w:type="spellStart"/>
      <w:r w:rsidRPr="00047262">
        <w:t>ombude</w:t>
      </w:r>
      <w:proofErr w:type="spellEnd"/>
      <w:r w:rsidRPr="00047262">
        <w:t xml:space="preserve">, un atzinīgi vērtē viņas teicamo izklāstījumu, kurā norādīti vissvarīgākie fakti un skaitļi attiecībā uz </w:t>
      </w:r>
      <w:proofErr w:type="spellStart"/>
      <w:r w:rsidRPr="00047262">
        <w:t>Ombuda</w:t>
      </w:r>
      <w:proofErr w:type="spellEnd"/>
      <w:r w:rsidRPr="00047262">
        <w:t xml:space="preserve"> darbu 2023. gadā;</w:t>
      </w:r>
    </w:p>
    <w:p w:rsidR="00531DE1" w:rsidRPr="00047262" w:rsidRDefault="00531DE1" w:rsidP="00531DE1">
      <w:pPr>
        <w:pStyle w:val="NormalHanging12a"/>
        <w:rPr>
          <w:szCs w:val="24"/>
        </w:rPr>
      </w:pPr>
      <w:r w:rsidRPr="00047262">
        <w:t>2.</w:t>
      </w:r>
      <w:r w:rsidRPr="00047262">
        <w:tab/>
        <w:t xml:space="preserve">apsveic </w:t>
      </w:r>
      <w:proofErr w:type="spellStart"/>
      <w:r w:rsidRPr="00047262">
        <w:rPr>
          <w:i/>
          <w:iCs/>
        </w:rPr>
        <w:t>Emily</w:t>
      </w:r>
      <w:proofErr w:type="spellEnd"/>
      <w:r w:rsidRPr="00047262">
        <w:rPr>
          <w:i/>
          <w:iCs/>
        </w:rPr>
        <w:t xml:space="preserve"> </w:t>
      </w:r>
      <w:proofErr w:type="spellStart"/>
      <w:r w:rsidRPr="00047262">
        <w:rPr>
          <w:i/>
          <w:iCs/>
        </w:rPr>
        <w:t>O’Reilly</w:t>
      </w:r>
      <w:proofErr w:type="spellEnd"/>
      <w:r w:rsidRPr="00047262">
        <w:t xml:space="preserve"> par viņas ievērojamo darbu un nenogurstošajiem centieniem atbalstīt demokrātiju, uzlabojot ES iestāžu, struktūru, biroju un aģentūru </w:t>
      </w:r>
      <w:proofErr w:type="spellStart"/>
      <w:r w:rsidRPr="00047262">
        <w:t>pārskatatbildību</w:t>
      </w:r>
      <w:proofErr w:type="spellEnd"/>
      <w:r w:rsidRPr="00047262">
        <w:t xml:space="preserve"> un </w:t>
      </w:r>
      <w:proofErr w:type="spellStart"/>
      <w:r w:rsidRPr="00047262">
        <w:t>pārredzamību</w:t>
      </w:r>
      <w:proofErr w:type="spellEnd"/>
      <w:r w:rsidRPr="00047262">
        <w:t>, un nodrošināt, ka ES administrācija reaģē uz pilsoņu bažām;</w:t>
      </w:r>
    </w:p>
    <w:p w:rsidR="00531DE1" w:rsidRPr="00047262" w:rsidRDefault="00531DE1" w:rsidP="00531DE1">
      <w:pPr>
        <w:pStyle w:val="NormalHanging12a"/>
      </w:pPr>
      <w:r w:rsidRPr="00047262">
        <w:t>3.</w:t>
      </w:r>
      <w:r w:rsidRPr="00047262">
        <w:tab/>
        <w:t xml:space="preserve">pauž atzinību par Eiropas </w:t>
      </w:r>
      <w:proofErr w:type="spellStart"/>
      <w:r w:rsidRPr="00047262">
        <w:t>Ombuda</w:t>
      </w:r>
      <w:proofErr w:type="spellEnd"/>
      <w:r w:rsidRPr="00047262">
        <w:t xml:space="preserve"> konstruktīvo sadarbību ar Eiropas Parlamentu, jo īpaši ar Lūgumrakstu komiteju, kā arī ar citām ES iestādēm;</w:t>
      </w:r>
    </w:p>
    <w:p w:rsidR="00531DE1" w:rsidRPr="00047262" w:rsidRDefault="00531DE1" w:rsidP="00531DE1">
      <w:pPr>
        <w:pStyle w:val="NormalHanging12a"/>
      </w:pPr>
      <w:r w:rsidRPr="00047262">
        <w:t>4.</w:t>
      </w:r>
      <w:r w:rsidRPr="00047262">
        <w:tab/>
        <w:t xml:space="preserve">atzinīgi vērtē to, ka </w:t>
      </w:r>
      <w:proofErr w:type="spellStart"/>
      <w:r w:rsidRPr="00047262">
        <w:t>Ombuds</w:t>
      </w:r>
      <w:proofErr w:type="spellEnd"/>
      <w:r w:rsidRPr="00047262">
        <w:t xml:space="preserve"> ir publicējis ES dokumentu piekļuves rokasgrāmatu, kuras mērķis ir palielināt pilsoņu informētību par viņu tiesībām piekļūt dokumentiem un dot viņiem iespēju rūpīgi pārbaudīt ES lēmumu pieņemšanu; uzskata, ka ir būtiski turpināt sniegt pilsoņiem atbilstošu informāciju par </w:t>
      </w:r>
      <w:proofErr w:type="spellStart"/>
      <w:r w:rsidRPr="00047262">
        <w:t>Ombuda</w:t>
      </w:r>
      <w:proofErr w:type="spellEnd"/>
      <w:r w:rsidRPr="00047262">
        <w:t xml:space="preserve"> lomu un darbības jomu un tā ietekmi uz ES iestāžu attīstību;</w:t>
      </w:r>
    </w:p>
    <w:p w:rsidR="00531DE1" w:rsidRPr="00047262" w:rsidRDefault="00531DE1" w:rsidP="00531DE1">
      <w:pPr>
        <w:pStyle w:val="NormalHanging12a"/>
        <w:rPr>
          <w:szCs w:val="24"/>
        </w:rPr>
      </w:pPr>
      <w:r w:rsidRPr="00047262">
        <w:t>5.</w:t>
      </w:r>
      <w:r w:rsidRPr="00047262">
        <w:tab/>
        <w:t xml:space="preserve">atzinīgi vērtē ieteikumus pēc </w:t>
      </w:r>
      <w:proofErr w:type="spellStart"/>
      <w:r w:rsidRPr="00047262">
        <w:rPr>
          <w:shd w:val="clear" w:color="auto" w:fill="FFFFFF"/>
        </w:rPr>
        <w:t>Ombuda</w:t>
      </w:r>
      <w:proofErr w:type="spellEnd"/>
      <w:r w:rsidRPr="00047262">
        <w:rPr>
          <w:shd w:val="clear" w:color="auto" w:fill="FFFFFF"/>
        </w:rPr>
        <w:t xml:space="preserve"> iniciatīvas veiktās izmeklēšanas par laiku, kas Komisijai vajadzīgs, lai izskatītu pieprasījumus par publisku piekļuvi dokumentiem;</w:t>
      </w:r>
      <w:r w:rsidRPr="00047262">
        <w:rPr>
          <w:b/>
          <w:i/>
          <w:shd w:val="clear" w:color="auto" w:fill="FFFFFF"/>
        </w:rPr>
        <w:t xml:space="preserve"> </w:t>
      </w:r>
      <w:r w:rsidRPr="00047262">
        <w:t xml:space="preserve">aicina Komisiju uzlabot veidu, kādā tā izskata šādus pieprasījumus, steidzami novērst sistēmisko kavēšanos un ievērot termiņus, kas noteikti Regulā (EK) Nr. 1049/2001 par publisku piekļuvi Eiropas Parlamenta, Padomes un Komisijas dokumentiem; piekrīt </w:t>
      </w:r>
      <w:proofErr w:type="spellStart"/>
      <w:r w:rsidRPr="00047262">
        <w:t>Ombuda</w:t>
      </w:r>
      <w:proofErr w:type="spellEnd"/>
      <w:r w:rsidRPr="00047262">
        <w:t xml:space="preserve"> viedoklim, ka pieprasītie dokumenti un informācija bieži vien ir laika ziņā </w:t>
      </w:r>
      <w:proofErr w:type="spellStart"/>
      <w:r w:rsidRPr="00047262">
        <w:t>sensitīvi</w:t>
      </w:r>
      <w:proofErr w:type="spellEnd"/>
      <w:r w:rsidRPr="00047262">
        <w:t xml:space="preserve"> un kavēšanās gadījumā var zaudēt nozīmi pieprasītājiem; uzskata, ka Komisijai ir </w:t>
      </w:r>
      <w:proofErr w:type="spellStart"/>
      <w:r w:rsidRPr="00047262">
        <w:t>proaktīvi</w:t>
      </w:r>
      <w:proofErr w:type="spellEnd"/>
      <w:r w:rsidRPr="00047262">
        <w:t xml:space="preserve"> jāpublicē dokumenti un statistika par to, kā tā izskata pieprasījumus par piekļuvi dokumentiem, jo šāda informācija ir būtiska, lai uzlabotu </w:t>
      </w:r>
      <w:proofErr w:type="spellStart"/>
      <w:r w:rsidRPr="00047262">
        <w:t>pārredzamību</w:t>
      </w:r>
      <w:proofErr w:type="spellEnd"/>
      <w:r w:rsidRPr="00047262">
        <w:t xml:space="preserve"> šajā jautājumā un stiprinātu Komisijas </w:t>
      </w:r>
      <w:proofErr w:type="spellStart"/>
      <w:r w:rsidRPr="00047262">
        <w:t>pārskatatbildību</w:t>
      </w:r>
      <w:proofErr w:type="spellEnd"/>
      <w:r w:rsidRPr="00047262">
        <w:t xml:space="preserve"> pilsoņu priekšā; uzsver, ka lēmumu pieņemšanas procesa </w:t>
      </w:r>
      <w:proofErr w:type="spellStart"/>
      <w:r w:rsidRPr="00047262">
        <w:t>pārredzamība</w:t>
      </w:r>
      <w:proofErr w:type="spellEnd"/>
      <w:r w:rsidRPr="00047262">
        <w:t xml:space="preserve"> ir bijusi daudzu </w:t>
      </w:r>
      <w:proofErr w:type="spellStart"/>
      <w:r w:rsidRPr="00047262">
        <w:t>Ombuda</w:t>
      </w:r>
      <w:proofErr w:type="spellEnd"/>
      <w:r w:rsidRPr="00047262">
        <w:t xml:space="preserve"> izmeklēšanu uzmanības centrā, jo īpaši attiecībā uz lobēšanu;</w:t>
      </w:r>
    </w:p>
    <w:p w:rsidR="00531DE1" w:rsidRPr="00047262" w:rsidRDefault="00531DE1" w:rsidP="00531DE1">
      <w:pPr>
        <w:pStyle w:val="NormalHanging12a"/>
        <w:rPr>
          <w:szCs w:val="24"/>
        </w:rPr>
      </w:pPr>
      <w:r w:rsidRPr="00047262">
        <w:t>6.</w:t>
      </w:r>
      <w:r w:rsidRPr="00047262">
        <w:rPr>
          <w:b/>
          <w:i/>
        </w:rPr>
        <w:tab/>
      </w:r>
      <w:r w:rsidRPr="00047262">
        <w:t xml:space="preserve">uzsver, ka publiska piekļuve dokumentiem ir ES pilsoņu </w:t>
      </w:r>
      <w:proofErr w:type="spellStart"/>
      <w:r w:rsidRPr="00047262">
        <w:t>pamattiesības</w:t>
      </w:r>
      <w:proofErr w:type="spellEnd"/>
      <w:r w:rsidRPr="00047262">
        <w:t xml:space="preserve"> un viens no Eiropas demokrātijas stūrakmeņiem; atgādina, ka tehnoloģiju un sabiedrības attīstība </w:t>
      </w:r>
      <w:r w:rsidRPr="00047262">
        <w:lastRenderedPageBreak/>
        <w:t xml:space="preserve">kopš Regulas (EK) Nr. 1049/2001 pieņemšanas rada nepieciešamību to pielāgot jaunajam digitālajam kontekstam; šajā sakarā atzīst, ka šī regula ir jāpārskata, un mudina Padomi iesaistīties konstruktīvās sarunās ar Parlamentu un Komisiju par tās pārskatīšanu, lai šīs trīs galvenās ES iestādes kļūtu par paraugu attiecībā uz </w:t>
      </w:r>
      <w:proofErr w:type="spellStart"/>
      <w:r w:rsidRPr="00047262">
        <w:t>pārredzamību</w:t>
      </w:r>
      <w:proofErr w:type="spellEnd"/>
      <w:r w:rsidRPr="00047262">
        <w:t xml:space="preserve"> un publisku </w:t>
      </w:r>
      <w:proofErr w:type="spellStart"/>
      <w:r w:rsidRPr="00047262">
        <w:t>pārskatatbildību</w:t>
      </w:r>
      <w:proofErr w:type="spellEnd"/>
      <w:r w:rsidRPr="00047262">
        <w:t xml:space="preserve"> visā ES; pauž stingru pārliecību, ka jebkuras sarunas par Regulas (EK) Nr. 1049/2001 pārskatīšanu būtu jābalsta uz Parlamenta jau pieņemto nostāju un ka tās darbības joma būtu jāpaplašina, attiecinot to uz visām ES iestādēm, struktūrām un aģentūrām, tādējādi palielinot lēmumu pieņemšanas procesa </w:t>
      </w:r>
      <w:proofErr w:type="spellStart"/>
      <w:r w:rsidRPr="00047262">
        <w:t>pārskatatbildību</w:t>
      </w:r>
      <w:proofErr w:type="spellEnd"/>
      <w:r w:rsidRPr="00047262">
        <w:t>; šajā kontekstā atgādina par Parlamenta nostāju, ka ar dokumentu būtu jāsaprot jebkurš tāds datu saturs neatkarīgi no informācijas nesēja (uz papīra vai elektroniskā formā vai skaņas, vizuālo vai audiovizuālo ierakstu veidā), kas attiecas uz jautājumu Savienības iestādes, struktūras, biroja vai aģentūras atbildības jomā</w:t>
      </w:r>
      <w:r w:rsidRPr="00047262">
        <w:rPr>
          <w:szCs w:val="24"/>
          <w:vertAlign w:val="superscript"/>
        </w:rPr>
        <w:footnoteReference w:id="4"/>
      </w:r>
      <w:r w:rsidRPr="00047262">
        <w:t xml:space="preserve">; uzsver, ka ir būtiski, lai iestādes attiecībās ar pilsoņiem būtu pārredzamas, kā tas atzīts arī </w:t>
      </w:r>
      <w:proofErr w:type="spellStart"/>
      <w:r w:rsidRPr="00047262">
        <w:t>ombudes</w:t>
      </w:r>
      <w:proofErr w:type="spellEnd"/>
      <w:r w:rsidRPr="00047262">
        <w:t xml:space="preserve"> izmeklēšanā par </w:t>
      </w:r>
      <w:proofErr w:type="spellStart"/>
      <w:r w:rsidRPr="00047262">
        <w:t>trialogu</w:t>
      </w:r>
      <w:proofErr w:type="spellEnd"/>
      <w:r w:rsidRPr="00047262">
        <w:t xml:space="preserve"> </w:t>
      </w:r>
      <w:proofErr w:type="spellStart"/>
      <w:r w:rsidRPr="00047262">
        <w:t>pārredzamību</w:t>
      </w:r>
      <w:proofErr w:type="spellEnd"/>
      <w:r w:rsidRPr="00047262">
        <w:rPr>
          <w:rStyle w:val="FootnoteReference"/>
        </w:rPr>
        <w:footnoteReference w:id="5"/>
      </w:r>
      <w:r w:rsidRPr="00047262">
        <w:t xml:space="preserve">, kurā </w:t>
      </w:r>
      <w:proofErr w:type="spellStart"/>
      <w:r w:rsidRPr="00047262">
        <w:t>ombude</w:t>
      </w:r>
      <w:proofErr w:type="spellEnd"/>
      <w:r w:rsidRPr="00047262">
        <w:t xml:space="preserve"> pauda izpratni par īpašajām problēmām un </w:t>
      </w:r>
      <w:proofErr w:type="spellStart"/>
      <w:r w:rsidRPr="00047262">
        <w:t>sensitīvajiem</w:t>
      </w:r>
      <w:proofErr w:type="spellEnd"/>
      <w:r w:rsidRPr="00047262">
        <w:t xml:space="preserve"> aspektiem ES iestāžu sarunu sistēmā, tomēr aicināja iestādes censties pārvarēt šādas problēmas, lai pilsoņi varētu efektīvi īstenot savas demokrātiskās tiesības; </w:t>
      </w:r>
    </w:p>
    <w:p w:rsidR="00531DE1" w:rsidRPr="00047262" w:rsidRDefault="00531DE1" w:rsidP="00531DE1">
      <w:pPr>
        <w:pStyle w:val="NormalHanging12a"/>
        <w:rPr>
          <w:szCs w:val="24"/>
        </w:rPr>
      </w:pPr>
      <w:r w:rsidRPr="00047262">
        <w:t>7.</w:t>
      </w:r>
      <w:r w:rsidRPr="00047262">
        <w:tab/>
        <w:t xml:space="preserve">atbalsta </w:t>
      </w:r>
      <w:proofErr w:type="spellStart"/>
      <w:r w:rsidRPr="00047262">
        <w:t>ombudes</w:t>
      </w:r>
      <w:proofErr w:type="spellEnd"/>
      <w:r w:rsidRPr="00047262">
        <w:t xml:space="preserve"> īpašā ziņojuma</w:t>
      </w:r>
      <w:r w:rsidRPr="00047262">
        <w:rPr>
          <w:rStyle w:val="FootnoteReference"/>
        </w:rPr>
        <w:footnoteReference w:id="6"/>
      </w:r>
      <w:r w:rsidRPr="00047262">
        <w:t xml:space="preserve"> Eiropas Parlamentam secinājumus par laiku, kas Eiropas Komisijai vajadzīgs, lai izskatītu pieprasījumus par publisku piekļuvi dokumentiem, un pauž bažas par </w:t>
      </w:r>
      <w:proofErr w:type="spellStart"/>
      <w:r w:rsidRPr="00047262">
        <w:t>ombudes</w:t>
      </w:r>
      <w:proofErr w:type="spellEnd"/>
      <w:r w:rsidRPr="00047262">
        <w:t xml:space="preserve"> novērtējumu, ka šī sistēmiskā un būtiskā kavēšanās, Komisijai izskatot pieprasījumus par publisku piekļuvi dokumentiem, ir uzskatāma par administratīvu kļūmi; uzsver, ka ir svarīgi, lai Komisija </w:t>
      </w:r>
      <w:r w:rsidRPr="00047262">
        <w:rPr>
          <w:shd w:val="clear" w:color="auto" w:fill="FFFFFF"/>
        </w:rPr>
        <w:t xml:space="preserve">vairāk resursu veltītu atkārtotu pieprasījumu izskatīšanai saskaņā ar Regulu (EK) Nr. 1049/2001, kā arī </w:t>
      </w:r>
      <w:r w:rsidRPr="00047262">
        <w:t xml:space="preserve">tam, ka ir vajadzīga </w:t>
      </w:r>
      <w:proofErr w:type="spellStart"/>
      <w:r w:rsidRPr="00047262">
        <w:t>proaktīvāka</w:t>
      </w:r>
      <w:proofErr w:type="spellEnd"/>
      <w:r w:rsidRPr="00047262">
        <w:t xml:space="preserve"> </w:t>
      </w:r>
      <w:proofErr w:type="spellStart"/>
      <w:r w:rsidRPr="00047262">
        <w:t>pārredzamība</w:t>
      </w:r>
      <w:proofErr w:type="spellEnd"/>
      <w:r w:rsidRPr="00047262">
        <w:t xml:space="preserve"> un konstruktīvāka pieeja attiecībā uz pieprasījumu iesniedzējiem; </w:t>
      </w:r>
      <w:r w:rsidRPr="00047262">
        <w:rPr>
          <w:shd w:val="clear" w:color="auto" w:fill="FFFFFF"/>
        </w:rPr>
        <w:t>aicina Komisiju prioritārā kārtā labot šo situāciju, reformējot sabiedrības piekļuves dokumentiem pārvaldību savā iestādē;</w:t>
      </w:r>
      <w:r w:rsidRPr="00047262">
        <w:rPr>
          <w:b/>
          <w:i/>
          <w:color w:val="000000"/>
          <w:shd w:val="clear" w:color="auto" w:fill="FFFFFF"/>
        </w:rPr>
        <w:t xml:space="preserve"> </w:t>
      </w:r>
      <w:r w:rsidRPr="00047262">
        <w:t xml:space="preserve">atgādina Komisijai par Parlamenta tiesībām vērsties pret to Eiropas Savienības Tiesā (EST) un sagaida, ka jaunā komisāru kolēģija skaidri un nepārprotami apņemsies labot šo situāciju; </w:t>
      </w:r>
    </w:p>
    <w:p w:rsidR="00531DE1" w:rsidRPr="00047262" w:rsidRDefault="00531DE1" w:rsidP="00531DE1">
      <w:pPr>
        <w:pStyle w:val="NormalHanging12a"/>
        <w:rPr>
          <w:szCs w:val="24"/>
        </w:rPr>
      </w:pPr>
      <w:r w:rsidRPr="00047262">
        <w:t>8.</w:t>
      </w:r>
      <w:r w:rsidRPr="00047262">
        <w:tab/>
        <w:t xml:space="preserve">pieņem zināšanai </w:t>
      </w:r>
      <w:proofErr w:type="spellStart"/>
      <w:r w:rsidRPr="00047262">
        <w:t>ombudes</w:t>
      </w:r>
      <w:proofErr w:type="spellEnd"/>
      <w:r w:rsidRPr="00047262">
        <w:t xml:space="preserve"> izmeklēšanu par to, cik lielā mērā Eiropas Parlaments, Eiropas Savienības Padome un Eiropas Komisija piemēro ES tiesību aktus un EST lēmumus attiecībā uz pieprasījumiem par publisku piekļuvi leģislatīviem dokumentiem, kurā </w:t>
      </w:r>
      <w:proofErr w:type="spellStart"/>
      <w:r w:rsidRPr="00047262">
        <w:t>ombude</w:t>
      </w:r>
      <w:proofErr w:type="spellEnd"/>
      <w:r w:rsidRPr="00047262">
        <w:t xml:space="preserve"> uzsvēra nepieciešamību nodrošināt savlaicīgu publisku piekļuvi leģislatīviem dokumentiem, kā arī veicināt ES pilsoņu līdzdalību ES likumdošanas procesā; atzīst, ka ir svarīgi laikus izskatīt visu iestāžu pieprasījumus par piekļuvi dokumentiem, lai veicinātu uzticēšanos ES likumdošanas procesam, kura pamatā ir galvenie </w:t>
      </w:r>
      <w:proofErr w:type="spellStart"/>
      <w:r w:rsidRPr="00047262">
        <w:t>pārredzamības</w:t>
      </w:r>
      <w:proofErr w:type="spellEnd"/>
      <w:r w:rsidRPr="00047262">
        <w:t xml:space="preserve"> un publiskas piekļuves informācijai principi, kā apstiprināts EST judikatūrā; atgādina, ka saskaņā ar EST judikatūru ES iestādes var atteikties publiskot leģislatīvos dokumentus tikai ārkārtas apstākļos un šādas rīcības </w:t>
      </w:r>
      <w:r w:rsidRPr="00047262">
        <w:lastRenderedPageBreak/>
        <w:t>pamatojumam ir jābalstās uz konkrētiem un taustāmiem faktiem;</w:t>
      </w:r>
    </w:p>
    <w:p w:rsidR="00531DE1" w:rsidRPr="00047262" w:rsidRDefault="00531DE1" w:rsidP="00531DE1">
      <w:pPr>
        <w:pStyle w:val="NormalHanging12a"/>
        <w:rPr>
          <w:szCs w:val="24"/>
        </w:rPr>
      </w:pPr>
      <w:r w:rsidRPr="00047262">
        <w:rPr>
          <w:shd w:val="clear" w:color="auto" w:fill="FFFFFF"/>
        </w:rPr>
        <w:t>9.</w:t>
      </w:r>
      <w:r w:rsidRPr="00047262">
        <w:rPr>
          <w:b/>
          <w:i/>
          <w:shd w:val="clear" w:color="auto" w:fill="FFFFFF"/>
        </w:rPr>
        <w:tab/>
      </w:r>
      <w:r w:rsidRPr="00047262">
        <w:rPr>
          <w:shd w:val="clear" w:color="auto" w:fill="FFFFFF"/>
        </w:rPr>
        <w:t xml:space="preserve">norāda uz </w:t>
      </w:r>
      <w:proofErr w:type="spellStart"/>
      <w:r w:rsidRPr="00047262">
        <w:rPr>
          <w:shd w:val="clear" w:color="auto" w:fill="FFFFFF"/>
        </w:rPr>
        <w:t>ombudes</w:t>
      </w:r>
      <w:proofErr w:type="spellEnd"/>
      <w:r w:rsidRPr="00047262">
        <w:rPr>
          <w:shd w:val="clear" w:color="auto" w:fill="FFFFFF"/>
        </w:rPr>
        <w:t xml:space="preserve"> nodomu veikt plašāku izmeklēšanu par to, kā Komisija interpretē vides informācijas un ar emisijām vidē saistītās informācijas tvērumu; pauž īpašas bažas par to, ka </w:t>
      </w:r>
      <w:proofErr w:type="spellStart"/>
      <w:r w:rsidRPr="00047262">
        <w:rPr>
          <w:shd w:val="clear" w:color="auto" w:fill="FFFFFF"/>
        </w:rPr>
        <w:t>ombude</w:t>
      </w:r>
      <w:proofErr w:type="spellEnd"/>
      <w:r w:rsidRPr="00047262">
        <w:rPr>
          <w:shd w:val="clear" w:color="auto" w:fill="FFFFFF"/>
        </w:rPr>
        <w:t xml:space="preserve"> konstatēja administratīvas kļūmes Komisijas atteikumā nodrošināt piekļuvi dokumentiem par keramikas nozares siltumnīcefekta gāzu emisijām, par kurām ziņots saskaņā ar ES emisijas kvotu tirdzniecības sistēmu;</w:t>
      </w:r>
      <w:r w:rsidRPr="00047262">
        <w:t xml:space="preserve"> pauž nožēlu par to, ka Komisija noraidīja </w:t>
      </w:r>
      <w:proofErr w:type="spellStart"/>
      <w:r w:rsidRPr="00047262">
        <w:t>ombudes</w:t>
      </w:r>
      <w:proofErr w:type="spellEnd"/>
      <w:r w:rsidRPr="00047262">
        <w:t xml:space="preserve"> ierosināto risinājumu un nespēja nodrošināt vajadzīgo </w:t>
      </w:r>
      <w:proofErr w:type="spellStart"/>
      <w:r w:rsidRPr="00047262">
        <w:t>pārredzamību</w:t>
      </w:r>
      <w:proofErr w:type="spellEnd"/>
      <w:r w:rsidRPr="00047262">
        <w:t>, kā arī pilnībā īstenot Eiropas Parlamenta un Padomes 2006. gada 6. septembra Regulu (EK) Nr. 1367/2006 par to, kā Kopienas iestādēm un struktūrām piemērot Orhūsas Konvenciju par pieeju informācijai, sabiedrības dalību lēmumu pieņemšanā un iespēju griezties tiesu iestādēs saistībā ar vides jautājumiem</w:t>
      </w:r>
      <w:r w:rsidRPr="00047262">
        <w:rPr>
          <w:rStyle w:val="FootnoteReference"/>
          <w:bCs/>
          <w:szCs w:val="24"/>
          <w:shd w:val="clear" w:color="auto" w:fill="FFFFFF"/>
        </w:rPr>
        <w:footnoteReference w:id="7"/>
      </w:r>
      <w:r w:rsidRPr="00047262">
        <w:t xml:space="preserve">, kā arī Orhūsas konvenciju; aicina Komisiju garantēt publisku piekļuvi vides informācijai saskaņā ar ES tiesību aktiem un saistīto EST judikatūru un veicināt sabiedrības līdzdalību ar vidi saistītu lēmumu </w:t>
      </w:r>
      <w:r w:rsidRPr="00047262">
        <w:rPr>
          <w:shd w:val="clear" w:color="auto" w:fill="FFFFFF"/>
        </w:rPr>
        <w:t xml:space="preserve">pieņemšanā; </w:t>
      </w:r>
      <w:r w:rsidRPr="00047262">
        <w:t xml:space="preserve">pauž bažas par to, ka Komisijas atteikums nodrošināt piekļuvi visiem pieprasītajiem dokumentiem par siltumnīcefekta gāzu emisijām, par kurām ziņots saskaņā ar ES emisijas kvotu tirdzniecības sistēmu, attiecas arī uz citiem rūpnieciskiem objektiem ārpus keramikas nozares, un aicina </w:t>
      </w:r>
      <w:proofErr w:type="spellStart"/>
      <w:r w:rsidRPr="00047262">
        <w:t>Ombudu</w:t>
      </w:r>
      <w:proofErr w:type="spellEnd"/>
      <w:r w:rsidRPr="00047262">
        <w:t xml:space="preserve"> turpināt palielināt informētību par izmeklēšanas konstatējumiem, lai palielinātu </w:t>
      </w:r>
      <w:proofErr w:type="spellStart"/>
      <w:r w:rsidRPr="00047262">
        <w:t>pārredzamību</w:t>
      </w:r>
      <w:proofErr w:type="spellEnd"/>
      <w:r w:rsidRPr="00047262">
        <w:t>; atgādina, ka ievērojams skaits Eiropas Parlamentam iesniegto lūgumrakstu attiecas uz vides informācijas trūkumu vai ierobežotu piekļuvi tai;</w:t>
      </w:r>
    </w:p>
    <w:p w:rsidR="00531DE1" w:rsidRPr="00047262" w:rsidRDefault="00531DE1" w:rsidP="00531DE1">
      <w:pPr>
        <w:pStyle w:val="NormalHanging12a"/>
      </w:pPr>
      <w:r w:rsidRPr="00047262">
        <w:t>10.</w:t>
      </w:r>
      <w:r w:rsidRPr="00047262">
        <w:tab/>
        <w:t>aicina Padomi nodrošināt pilnīgu publisku piekļuvi juridiskajam atzinumam par Eiropas Parlamenta un Padomes 2022. gada 19. oktobra Direktīvu (ES) 2022/2041 par adekvātām minimālajām algām Eiropas Savienībā</w:t>
      </w:r>
      <w:r w:rsidRPr="00047262">
        <w:rPr>
          <w:rStyle w:val="FootnoteReference"/>
          <w:bCs/>
          <w:szCs w:val="24"/>
          <w:shd w:val="clear" w:color="auto" w:fill="FFFFFF"/>
        </w:rPr>
        <w:footnoteReference w:id="8"/>
      </w:r>
      <w:r w:rsidRPr="00047262">
        <w:t xml:space="preserve">, kā to ieteica </w:t>
      </w:r>
      <w:proofErr w:type="spellStart"/>
      <w:r w:rsidRPr="00047262">
        <w:t>ombude</w:t>
      </w:r>
      <w:proofErr w:type="spellEnd"/>
      <w:r w:rsidRPr="00047262">
        <w:t>, kas šajā jautājumā atrada pierādījumus par administratīvu kļūmi;</w:t>
      </w:r>
    </w:p>
    <w:p w:rsidR="00531DE1" w:rsidRPr="00047262" w:rsidRDefault="00531DE1" w:rsidP="00531DE1">
      <w:pPr>
        <w:pStyle w:val="NormalHanging12a"/>
        <w:rPr>
          <w:szCs w:val="24"/>
        </w:rPr>
      </w:pPr>
      <w:r w:rsidRPr="00047262">
        <w:t>11.</w:t>
      </w:r>
      <w:r w:rsidRPr="00047262">
        <w:rPr>
          <w:b/>
          <w:i/>
        </w:rPr>
        <w:tab/>
      </w:r>
      <w:r w:rsidRPr="00047262">
        <w:t xml:space="preserve">atbalsta </w:t>
      </w:r>
      <w:proofErr w:type="spellStart"/>
      <w:r w:rsidRPr="00047262">
        <w:t>ombudes</w:t>
      </w:r>
      <w:proofErr w:type="spellEnd"/>
      <w:r w:rsidRPr="00047262">
        <w:t xml:space="preserve"> centienus palīdzēt sīkāk precizēt, kas ir uzskatāms par ES dokumentu, un uzsver, ka ES iestādēm būtu jāievēro </w:t>
      </w:r>
      <w:proofErr w:type="spellStart"/>
      <w:r w:rsidRPr="00047262">
        <w:t>ombudes</w:t>
      </w:r>
      <w:proofErr w:type="spellEnd"/>
      <w:r w:rsidRPr="00047262">
        <w:t xml:space="preserve"> ieteikumi, lai pielāgotu savu administratīvo praksi nolūkā ņemt vērā saziņas līdzekļu attīstību; uzsver, ka pilsoņu tiesības uz publisku piekļuvi informācijai attiecas uz rakstiskiem fiziskiem un elektroniskiem dokumentiem, kā arī audio un audiovizuāliem ierakstiem, kas saistīti ar ES iestāžu politiku, darbībām un lēmumiem, un atgādina, ka ar darbu saistītas īsziņas un tūlītējās </w:t>
      </w:r>
      <w:proofErr w:type="spellStart"/>
      <w:r w:rsidRPr="00047262">
        <w:t>ziņapmaiņas</w:t>
      </w:r>
      <w:proofErr w:type="spellEnd"/>
      <w:r w:rsidRPr="00047262">
        <w:t xml:space="preserve"> ziņas saskaņā ar Regulu </w:t>
      </w:r>
      <w:r w:rsidR="00B522C4" w:rsidRPr="00047262">
        <w:t xml:space="preserve">(EK) Nr. </w:t>
      </w:r>
      <w:r w:rsidRPr="00047262">
        <w:t xml:space="preserve">1049/2001 tiek uzskatītas par dokumentiem; pauž nožēlu par gadījumiem, kad Komisija nav piešķīrusi publisku piekļuvi dokumentiem e-pastu vai īsziņu veidā, piemēram, attiecībā uz ES augsnes, meža un klimata pielāgošanās stratēģiju projektiem vai informācijas apmaiņu starp Komisijas priekšsēdētāju un kāda farmācijas uzņēmuma izpilddirektoru saistībā ar Covid-19 vakcīnu iegādi; </w:t>
      </w:r>
    </w:p>
    <w:p w:rsidR="00531DE1" w:rsidRPr="00047262" w:rsidRDefault="00531DE1" w:rsidP="00531DE1">
      <w:pPr>
        <w:pStyle w:val="NormalHanging12a"/>
      </w:pPr>
      <w:r w:rsidRPr="00047262">
        <w:t>12.</w:t>
      </w:r>
      <w:r w:rsidRPr="00047262">
        <w:tab/>
        <w:t xml:space="preserve">atzinīgi vērtē </w:t>
      </w:r>
      <w:proofErr w:type="spellStart"/>
      <w:r w:rsidRPr="00047262">
        <w:t>ombudes</w:t>
      </w:r>
      <w:proofErr w:type="spellEnd"/>
      <w:r w:rsidRPr="00047262">
        <w:t xml:space="preserve"> apņemšanos ievērot </w:t>
      </w:r>
      <w:proofErr w:type="spellStart"/>
      <w:r w:rsidRPr="00047262">
        <w:t>pamattiesības</w:t>
      </w:r>
      <w:proofErr w:type="spellEnd"/>
      <w:r w:rsidRPr="00047262">
        <w:t xml:space="preserve"> ar migrāciju saistītās darbībās; norāda, ka </w:t>
      </w:r>
      <w:proofErr w:type="spellStart"/>
      <w:r w:rsidRPr="00047262">
        <w:t>ombude</w:t>
      </w:r>
      <w:proofErr w:type="spellEnd"/>
      <w:r w:rsidRPr="00047262">
        <w:t xml:space="preserve"> lūdza Komisijai sniegt papildu skaidrojumu par to, kā tā plāno garantēt cilvēktiesību ievērošanu ES un Tunisijas saprašanās memoranda kontekstā, lai nodrošinātu, ka ES pilda savas saistības cilvēktiesību jomā; uzsver, ka visām ES iestādēm, struktūrām un aģentūrām ir pienākums ievērot cilvēktiesības un pamatbrīvības, kā noteikts Līgumos un Hartā;</w:t>
      </w:r>
    </w:p>
    <w:p w:rsidR="00531DE1" w:rsidRPr="00047262" w:rsidRDefault="00531DE1" w:rsidP="00531DE1">
      <w:pPr>
        <w:pStyle w:val="NormalHanging12a"/>
      </w:pPr>
      <w:r w:rsidRPr="00047262">
        <w:t>13.</w:t>
      </w:r>
      <w:r w:rsidRPr="00047262">
        <w:tab/>
        <w:t xml:space="preserve">pieņem zināšanai Komisijas lēmumu sadarboties ar valstu un vietējām iestādēm, lai </w:t>
      </w:r>
      <w:r w:rsidRPr="00047262">
        <w:lastRenderedPageBreak/>
        <w:t xml:space="preserve">izstrādātu ES finansēto migrācijas pārvaldības mehānismu ietekmes uz </w:t>
      </w:r>
      <w:proofErr w:type="spellStart"/>
      <w:r w:rsidRPr="00047262">
        <w:t>pamattiesībām</w:t>
      </w:r>
      <w:proofErr w:type="spellEnd"/>
      <w:r w:rsidRPr="00047262">
        <w:t xml:space="preserve"> novērtējumu pēc </w:t>
      </w:r>
      <w:proofErr w:type="spellStart"/>
      <w:r w:rsidRPr="00047262">
        <w:t>Ombuda</w:t>
      </w:r>
      <w:proofErr w:type="spellEnd"/>
      <w:r w:rsidRPr="00047262">
        <w:t xml:space="preserve"> ierosinātās izmeklēšanas pēc savas iniciatīvas; </w:t>
      </w:r>
    </w:p>
    <w:p w:rsidR="00531DE1" w:rsidRPr="00047262" w:rsidRDefault="00531DE1" w:rsidP="00531DE1">
      <w:pPr>
        <w:pStyle w:val="NormalHanging12a"/>
        <w:rPr>
          <w:szCs w:val="24"/>
        </w:rPr>
      </w:pPr>
      <w:r w:rsidRPr="00047262">
        <w:t>14.</w:t>
      </w:r>
      <w:r w:rsidRPr="00047262">
        <w:rPr>
          <w:b/>
          <w:i/>
        </w:rPr>
        <w:tab/>
      </w:r>
      <w:r w:rsidRPr="00047262">
        <w:t xml:space="preserve">atzinīgi vērtē </w:t>
      </w:r>
      <w:proofErr w:type="spellStart"/>
      <w:r w:rsidRPr="00047262">
        <w:t>Ombuda</w:t>
      </w:r>
      <w:proofErr w:type="spellEnd"/>
      <w:r w:rsidRPr="00047262">
        <w:t xml:space="preserve"> izmeklēšanas pēc </w:t>
      </w:r>
      <w:proofErr w:type="spellStart"/>
      <w:r w:rsidRPr="00047262">
        <w:t>Katargeitas</w:t>
      </w:r>
      <w:proofErr w:type="spellEnd"/>
      <w:r w:rsidRPr="00047262">
        <w:t xml:space="preserve"> skandāla Parlamentā; stingri atbalsta </w:t>
      </w:r>
      <w:proofErr w:type="spellStart"/>
      <w:r w:rsidRPr="00047262">
        <w:t>Ombuda</w:t>
      </w:r>
      <w:proofErr w:type="spellEnd"/>
      <w:r w:rsidRPr="00047262">
        <w:t xml:space="preserve"> secinājumus, ka ES iestādēm ir jāievēro un jāstiprina ES ētikas un pretkorupcijas noteikumi un ka Parlamenta īstenotās reformas šajā jomā ir pienācīgi jāuzrauga un jāīsteno visos līmeņos; uzsver, ka Parlamentam un Komisijai vienmēr ir jāpievērš īpaša uzmanība tiešām un netiešām lobēšanas darbībām, lai apzinātu nepilnības un trūkumus, kas var apdraudēt </w:t>
      </w:r>
      <w:proofErr w:type="spellStart"/>
      <w:r w:rsidRPr="00047262">
        <w:t>pārredzamību</w:t>
      </w:r>
      <w:proofErr w:type="spellEnd"/>
      <w:r w:rsidRPr="00047262">
        <w:t xml:space="preserve"> un </w:t>
      </w:r>
      <w:proofErr w:type="spellStart"/>
      <w:r w:rsidRPr="00047262">
        <w:t>pārskatatbildību</w:t>
      </w:r>
      <w:proofErr w:type="spellEnd"/>
      <w:r w:rsidRPr="00047262">
        <w:t xml:space="preserve"> un palielināt potenciālo interešu konfliktu risku; atzinīgi vērtē ievērojamo progresu, kas panākts saistībā ar pašreizējo Eiropas Parlamenta deputātu rīcības kodeksu attiecībā uz integritāti un </w:t>
      </w:r>
      <w:proofErr w:type="spellStart"/>
      <w:r w:rsidRPr="00047262">
        <w:t>pārredzamību</w:t>
      </w:r>
      <w:proofErr w:type="spellEnd"/>
      <w:r w:rsidRPr="00047262">
        <w:t xml:space="preserve">, un mudina </w:t>
      </w:r>
      <w:proofErr w:type="spellStart"/>
      <w:r w:rsidRPr="00047262">
        <w:t>ombudi</w:t>
      </w:r>
      <w:proofErr w:type="spellEnd"/>
      <w:r w:rsidRPr="00047262">
        <w:t xml:space="preserve"> attiecīgā gadījumā turpināt uzraudzīt tā īstenošanas procesu; uzsver, ka ētikas noteikumi ir stingri jāievēro, lai stiprinātu pilsoņu uzticēšanos Eiropas iestādēm;</w:t>
      </w:r>
    </w:p>
    <w:p w:rsidR="00531DE1" w:rsidRPr="00047262" w:rsidRDefault="00531DE1" w:rsidP="00531DE1">
      <w:pPr>
        <w:pStyle w:val="NormalHanging12a"/>
        <w:rPr>
          <w:szCs w:val="24"/>
        </w:rPr>
      </w:pPr>
      <w:r w:rsidRPr="00047262">
        <w:t>15.</w:t>
      </w:r>
      <w:r w:rsidRPr="00047262">
        <w:tab/>
        <w:t xml:space="preserve">uzsver </w:t>
      </w:r>
      <w:proofErr w:type="spellStart"/>
      <w:r w:rsidRPr="00047262">
        <w:t>pārredzamības</w:t>
      </w:r>
      <w:proofErr w:type="spellEnd"/>
      <w:r w:rsidRPr="00047262">
        <w:t>, labas pārvaldības un iestāžu līdzsvara un atsvara būtisko nozīmi ES iestāžu darbā;</w:t>
      </w:r>
    </w:p>
    <w:p w:rsidR="00531DE1" w:rsidRPr="00047262" w:rsidRDefault="00531DE1" w:rsidP="00531DE1">
      <w:pPr>
        <w:pStyle w:val="NormalHanging12a"/>
        <w:rPr>
          <w:szCs w:val="24"/>
        </w:rPr>
      </w:pPr>
      <w:r w:rsidRPr="00047262">
        <w:t>16.</w:t>
      </w:r>
      <w:r w:rsidRPr="00047262">
        <w:tab/>
        <w:t xml:space="preserve">pieņem zināšanai </w:t>
      </w:r>
      <w:proofErr w:type="spellStart"/>
      <w:r w:rsidRPr="00047262">
        <w:t>ombudes</w:t>
      </w:r>
      <w:proofErr w:type="spellEnd"/>
      <w:r w:rsidRPr="00047262">
        <w:t xml:space="preserve"> veiktās izmeklēšanas par interešu konflikta risku Komisijā, jo īpaši Eiropas Aizsardzības fonda (EAF) jomā, tostarp to, ka Komisijai nav pienākuma publiskot to ekspertu vārdus, ar kuriem tā apspriežas par projektiem, kas saistīti ar EAF; šajā kontekstā norāda uz </w:t>
      </w:r>
      <w:proofErr w:type="spellStart"/>
      <w:r w:rsidRPr="00047262">
        <w:t>ombudes</w:t>
      </w:r>
      <w:proofErr w:type="spellEnd"/>
      <w:r w:rsidRPr="00047262">
        <w:t xml:space="preserve"> ierosinājumu, ka Komisijai būtu </w:t>
      </w:r>
      <w:proofErr w:type="spellStart"/>
      <w:r w:rsidRPr="00047262">
        <w:t>proaktīvi</w:t>
      </w:r>
      <w:proofErr w:type="spellEnd"/>
      <w:r w:rsidRPr="00047262">
        <w:t xml:space="preserve"> jāpublicē Regulējuma kontroles padomes locekļu interešu deklarācijas un vajadzības gadījumā jāgroza attiecīgie noteikumi, kas reglamentē padomi; </w:t>
      </w:r>
    </w:p>
    <w:p w:rsidR="00531DE1" w:rsidRPr="00047262" w:rsidRDefault="00531DE1" w:rsidP="00531DE1">
      <w:pPr>
        <w:pStyle w:val="NormalHanging12a"/>
      </w:pPr>
      <w:r w:rsidRPr="00047262">
        <w:t>17.</w:t>
      </w:r>
      <w:r w:rsidRPr="00047262">
        <w:tab/>
        <w:t xml:space="preserve">pieņem zināšanai </w:t>
      </w:r>
      <w:proofErr w:type="spellStart"/>
      <w:r w:rsidRPr="00047262">
        <w:t>ombudes</w:t>
      </w:r>
      <w:proofErr w:type="spellEnd"/>
      <w:r w:rsidRPr="00047262">
        <w:t xml:space="preserve"> aicinājumu Eiropas Investīciju bankai (EIB) uzlabot noteikumus par interešu konfliktiem un stiprināt tās Ētikas un atbilstības komitejas pārraudzības lomu pēc tam, kad tās priekšsēdētāja vietnieks kļuva par valsts attīstību veicinošas bankas izpilddirektoru; šajā sakarā mudina </w:t>
      </w:r>
      <w:proofErr w:type="spellStart"/>
      <w:r w:rsidRPr="00047262">
        <w:t>ombudi</w:t>
      </w:r>
      <w:proofErr w:type="spellEnd"/>
      <w:r w:rsidRPr="00047262">
        <w:t xml:space="preserve"> arī turpmāk pievērsties jautājumam par nogaidīšanas periodiem un virpuļdurvju efektu attiecībā uz visu ES iestāžu, aģentūru un struktūru augstākā līmeņa darbiniekiem, lai nodrošinātu visaugstākos ētikas standartus </w:t>
      </w:r>
      <w:proofErr w:type="spellStart"/>
      <w:r w:rsidRPr="00047262">
        <w:t>pārredzamībai</w:t>
      </w:r>
      <w:proofErr w:type="spellEnd"/>
      <w:r w:rsidRPr="00047262">
        <w:t xml:space="preserve"> un publiskai </w:t>
      </w:r>
      <w:proofErr w:type="spellStart"/>
      <w:r w:rsidRPr="00047262">
        <w:t>pārskatatbildībai</w:t>
      </w:r>
      <w:proofErr w:type="spellEnd"/>
      <w:r w:rsidRPr="00047262">
        <w:t>;</w:t>
      </w:r>
    </w:p>
    <w:p w:rsidR="00531DE1" w:rsidRPr="00047262" w:rsidRDefault="00531DE1" w:rsidP="00531DE1">
      <w:pPr>
        <w:pStyle w:val="NormalHanging12a"/>
        <w:rPr>
          <w:szCs w:val="24"/>
          <w:shd w:val="clear" w:color="auto" w:fill="FFFFFF"/>
        </w:rPr>
      </w:pPr>
      <w:r w:rsidRPr="00047262">
        <w:rPr>
          <w:shd w:val="clear" w:color="auto" w:fill="FFFFFF"/>
        </w:rPr>
        <w:t>18.</w:t>
      </w:r>
      <w:r w:rsidRPr="00047262">
        <w:rPr>
          <w:shd w:val="clear" w:color="auto" w:fill="FFFFFF"/>
        </w:rPr>
        <w:tab/>
        <w:t xml:space="preserve">atzinīgi vērtē Komisijas iekšējo norādījumu par publisko iepirkumu izmaiņas, kas pozitīvi novērtētas </w:t>
      </w:r>
      <w:proofErr w:type="spellStart"/>
      <w:r w:rsidRPr="00047262">
        <w:rPr>
          <w:shd w:val="clear" w:color="auto" w:fill="FFFFFF"/>
        </w:rPr>
        <w:t>ombudes</w:t>
      </w:r>
      <w:proofErr w:type="spellEnd"/>
      <w:r w:rsidRPr="00047262">
        <w:rPr>
          <w:shd w:val="clear" w:color="auto" w:fill="FFFFFF"/>
        </w:rPr>
        <w:t xml:space="preserve"> izmeklēšanā un kas stiprina iespējamo profesionālo interešu konfliktu risināšanu uzaicinājumos iesniegt piedāvājumus;</w:t>
      </w:r>
    </w:p>
    <w:p w:rsidR="00531DE1" w:rsidRPr="00047262" w:rsidRDefault="00531DE1" w:rsidP="00531DE1">
      <w:pPr>
        <w:pStyle w:val="NormalHanging12a"/>
      </w:pPr>
      <w:r w:rsidRPr="00047262">
        <w:t>19.</w:t>
      </w:r>
      <w:r w:rsidRPr="00047262">
        <w:tab/>
        <w:t xml:space="preserve">mudina Komisiju pastiprināt centienus palielināt </w:t>
      </w:r>
      <w:proofErr w:type="spellStart"/>
      <w:r w:rsidRPr="00047262">
        <w:t>pārredzamību</w:t>
      </w:r>
      <w:proofErr w:type="spellEnd"/>
      <w:r w:rsidRPr="00047262">
        <w:t xml:space="preserve"> attiecībā uz Atveseļošanas un noturības mehānismu (ANM) un aicina Komisiju uzlabot pieprasījumu par publisku piekļuvi ar ANM saistītiem dokumentiem izskatīšanu un turpināt publicēt dalībvalstu maksājumu pieprasījumu provizoriskos novērtējumus;</w:t>
      </w:r>
    </w:p>
    <w:p w:rsidR="00531DE1" w:rsidRPr="00047262" w:rsidRDefault="00531DE1" w:rsidP="00531DE1">
      <w:pPr>
        <w:pStyle w:val="NormalHanging12a"/>
        <w:rPr>
          <w:shd w:val="clear" w:color="auto" w:fill="FFFFFF"/>
        </w:rPr>
      </w:pPr>
      <w:r w:rsidRPr="00047262">
        <w:t>20.</w:t>
      </w:r>
      <w:r w:rsidRPr="00047262">
        <w:tab/>
        <w:t xml:space="preserve">atzinīgi vērtē </w:t>
      </w:r>
      <w:proofErr w:type="spellStart"/>
      <w:r w:rsidRPr="00047262">
        <w:t>ombudes</w:t>
      </w:r>
      <w:proofErr w:type="spellEnd"/>
      <w:r w:rsidRPr="00047262">
        <w:t xml:space="preserve"> lēmumu pēc savas iniciatīvas sākt izmeklēšanu par Komisijas kavēšanos saistībā ar bīstamu ķimikāliju riska pārvaldību ar mērķi izskatīt kavēšanos saistībā ar ierobežojumu ieviešanu konkrētu ķimikāliju radīto risku mazināšanai un ķimikāliju iekļaušanu to vielu sarakstā, kuru izmantošanai ir vajadzīga iepriekšēja atļauja;</w:t>
      </w:r>
    </w:p>
    <w:p w:rsidR="00531DE1" w:rsidRPr="00047262" w:rsidRDefault="00531DE1" w:rsidP="00531DE1">
      <w:pPr>
        <w:pStyle w:val="NormalHanging12a"/>
        <w:rPr>
          <w:spacing w:val="2"/>
          <w:szCs w:val="24"/>
          <w:shd w:val="clear" w:color="auto" w:fill="FFFFFF"/>
        </w:rPr>
      </w:pPr>
      <w:r w:rsidRPr="00047262">
        <w:rPr>
          <w:shd w:val="clear" w:color="auto" w:fill="FFFFFF"/>
        </w:rPr>
        <w:t>21.</w:t>
      </w:r>
      <w:r w:rsidRPr="00047262">
        <w:rPr>
          <w:shd w:val="clear" w:color="auto" w:fill="FFFFFF"/>
        </w:rPr>
        <w:tab/>
        <w:t xml:space="preserve">pauž bažas par to, ka </w:t>
      </w:r>
      <w:proofErr w:type="spellStart"/>
      <w:r w:rsidRPr="00047262">
        <w:rPr>
          <w:shd w:val="clear" w:color="auto" w:fill="FFFFFF"/>
        </w:rPr>
        <w:t>ombude</w:t>
      </w:r>
      <w:proofErr w:type="spellEnd"/>
      <w:r w:rsidRPr="00047262">
        <w:rPr>
          <w:shd w:val="clear" w:color="auto" w:fill="FFFFFF"/>
        </w:rPr>
        <w:t xml:space="preserve"> konstatēja vairākas </w:t>
      </w:r>
      <w:proofErr w:type="spellStart"/>
      <w:r w:rsidRPr="00047262">
        <w:rPr>
          <w:shd w:val="clear" w:color="auto" w:fill="FFFFFF"/>
        </w:rPr>
        <w:t>pārredzamības</w:t>
      </w:r>
      <w:proofErr w:type="spellEnd"/>
      <w:r w:rsidRPr="00047262">
        <w:rPr>
          <w:shd w:val="clear" w:color="auto" w:fill="FFFFFF"/>
        </w:rPr>
        <w:t xml:space="preserve"> problēmas Komisijas sadarbībā ar tabakas nozari; tomēr norāda, ka Komisija ir apņēmusies sīkāk izvērtēt tās departamentu pakļautību tabakas nozares īstenotai lobēšanai;</w:t>
      </w:r>
      <w:r w:rsidRPr="00047262">
        <w:rPr>
          <w:color w:val="000000"/>
          <w:shd w:val="clear" w:color="auto" w:fill="FFFFFF"/>
        </w:rPr>
        <w:t xml:space="preserve"> atgādina Komisijai, ka ES </w:t>
      </w:r>
      <w:r w:rsidRPr="00047262">
        <w:rPr>
          <w:color w:val="000000"/>
          <w:shd w:val="clear" w:color="auto" w:fill="FFFFFF"/>
        </w:rPr>
        <w:lastRenderedPageBreak/>
        <w:t>un visas tās dalībvalstis ir parakstījušas Pasaules Veselības organizācijas Pamatkonvenciju par tabakas kontroli un ka tādēļ tām, nosakot un īstenojot savu sabiedrības veselības politiku attiecībā uz tabakas kontroli, ir jārīkojas, lai aizsargātu šo politiku no tabakas nozares komerciālām un citām savtīgām interesēm;</w:t>
      </w:r>
    </w:p>
    <w:p w:rsidR="00531DE1" w:rsidRPr="00047262" w:rsidRDefault="00531DE1" w:rsidP="00531DE1">
      <w:pPr>
        <w:pStyle w:val="NormalHanging12a"/>
      </w:pPr>
      <w:r w:rsidRPr="00047262">
        <w:t>22.</w:t>
      </w:r>
      <w:r w:rsidRPr="00047262">
        <w:tab/>
        <w:t xml:space="preserve">atgādina par ES iestāžu obligāto pienākumu nodrošināt pakalpojumus, izmantojot neatkarīgus un augsti kvalificētus ierēdņus, kas pieņemti darbā atklātā veidā un ar pienācīgu ģeogrāfisko līdzsvaru starp valstspiederību un valodām; norāda, ka </w:t>
      </w:r>
      <w:proofErr w:type="spellStart"/>
      <w:r w:rsidRPr="00047262">
        <w:t>ombude</w:t>
      </w:r>
      <w:proofErr w:type="spellEnd"/>
      <w:r w:rsidRPr="00047262">
        <w:t xml:space="preserve"> veica izmeklēšanu par to, kā Eiropas Personāla atlases birojs (</w:t>
      </w:r>
      <w:r w:rsidRPr="00047262">
        <w:rPr>
          <w:i/>
          <w:iCs/>
        </w:rPr>
        <w:t>EPSO)</w:t>
      </w:r>
      <w:r w:rsidRPr="00047262">
        <w:t xml:space="preserve"> veica </w:t>
      </w:r>
      <w:proofErr w:type="spellStart"/>
      <w:r w:rsidRPr="00047262">
        <w:t>priekšatlases</w:t>
      </w:r>
      <w:proofErr w:type="spellEnd"/>
      <w:r w:rsidRPr="00047262">
        <w:t xml:space="preserve"> testus saistībā ar procedūru jaunu darbinieku pieņemšanai darbā ES civildienestā, un konstatēja problēmas saistībā ar tādu testu organizēšanu, kurus veic tikai attālināti; aicina </w:t>
      </w:r>
      <w:r w:rsidRPr="00047262">
        <w:rPr>
          <w:i/>
          <w:iCs/>
        </w:rPr>
        <w:t>EPSO</w:t>
      </w:r>
      <w:r w:rsidRPr="00047262">
        <w:t xml:space="preserve"> uzlabot darbā pieņemšanas procedūras, nodrošinot, ka tehniskās prasības nerada nelabvēlīgus apstākļus konkrētiem kandidātiem, un sniegt kandidātiem skaidru informāciju; uzskata, ka kandidātiem, ja viņi to vēlas, būtu jādod iespēja piedalīties šajos testos, fiziski ierodoties testēšanas centrā, kas bija ierasta prakse pirms Covid-19 pandēmijas;</w:t>
      </w:r>
    </w:p>
    <w:p w:rsidR="00531DE1" w:rsidRPr="00047262" w:rsidRDefault="00531DE1" w:rsidP="00531DE1">
      <w:pPr>
        <w:pStyle w:val="NormalHanging12a"/>
      </w:pPr>
      <w:r w:rsidRPr="00047262">
        <w:t>23.</w:t>
      </w:r>
      <w:r w:rsidRPr="00047262">
        <w:tab/>
        <w:t xml:space="preserve">atzinīgi vērtē to, ka 2023. gadā Eiropas </w:t>
      </w:r>
      <w:proofErr w:type="spellStart"/>
      <w:r w:rsidRPr="00047262">
        <w:t>ombuda</w:t>
      </w:r>
      <w:proofErr w:type="spellEnd"/>
      <w:r w:rsidRPr="00047262">
        <w:t xml:space="preserve"> birojs turpināja publiskot savu lomu un popularizēt savu darbu pēc iespējas plašākai auditorijai un piedalījās Eiropas Jaunatnes dienās (</w:t>
      </w:r>
      <w:r w:rsidRPr="00047262">
        <w:rPr>
          <w:i/>
        </w:rPr>
        <w:t>EYE2023</w:t>
      </w:r>
      <w:r w:rsidRPr="00047262">
        <w:t xml:space="preserve">); uzsver, cik svarīga ir </w:t>
      </w:r>
      <w:proofErr w:type="spellStart"/>
      <w:r w:rsidRPr="00047262">
        <w:t>ombudes</w:t>
      </w:r>
      <w:proofErr w:type="spellEnd"/>
      <w:r w:rsidRPr="00047262">
        <w:t xml:space="preserve"> rīkotā diskusija ar Komisijas un Parlamenta līdzdalību par atbilstību ES administrācijas integritātes regulējumam;</w:t>
      </w:r>
    </w:p>
    <w:p w:rsidR="00531DE1" w:rsidRPr="00047262" w:rsidRDefault="00531DE1" w:rsidP="00531DE1">
      <w:pPr>
        <w:pStyle w:val="NormalHanging12a"/>
      </w:pPr>
      <w:r w:rsidRPr="00047262">
        <w:t>24.</w:t>
      </w:r>
      <w:r w:rsidRPr="00047262">
        <w:tab/>
        <w:t xml:space="preserve">atzinīgi vērtē </w:t>
      </w:r>
      <w:proofErr w:type="spellStart"/>
      <w:r w:rsidRPr="00047262">
        <w:t>ombudes</w:t>
      </w:r>
      <w:proofErr w:type="spellEnd"/>
      <w:r w:rsidRPr="00047262">
        <w:t xml:space="preserve"> sāktās izmeklēšanas procedūras pēc sūdzībām, kuras iesniegušas personas ar invaliditāti, un mudina viņu aktīvi līdzdarboties ES pamatsistēmā </w:t>
      </w:r>
      <w:r w:rsidRPr="00047262">
        <w:rPr>
          <w:i/>
        </w:rPr>
        <w:t>UNCRPD</w:t>
      </w:r>
      <w:r w:rsidRPr="00047262">
        <w:t xml:space="preserve"> īstenošanai; uzsver, cik svarīga ir </w:t>
      </w:r>
      <w:proofErr w:type="spellStart"/>
      <w:r w:rsidRPr="00047262">
        <w:t>ombudes</w:t>
      </w:r>
      <w:proofErr w:type="spellEnd"/>
      <w:r w:rsidRPr="00047262">
        <w:t xml:space="preserve"> apņemšanās uzraudzīt, kā ES administrācija īsteno </w:t>
      </w:r>
      <w:r w:rsidRPr="00047262">
        <w:rPr>
          <w:i/>
        </w:rPr>
        <w:t>UNCRPD</w:t>
      </w:r>
      <w:r w:rsidRPr="00047262">
        <w:t xml:space="preserve">, un aicina visas ES iestādes pievērst vislielāko uzmanību </w:t>
      </w:r>
      <w:proofErr w:type="spellStart"/>
      <w:r w:rsidRPr="00047262">
        <w:t>ombudes</w:t>
      </w:r>
      <w:proofErr w:type="spellEnd"/>
      <w:r w:rsidRPr="00047262">
        <w:t xml:space="preserve"> ieteikumiem pēc izmeklēšanām, kas saistītas ar personu ar invaliditāti tiesībām; atzinīgi vērtē to, kā </w:t>
      </w:r>
      <w:proofErr w:type="spellStart"/>
      <w:r w:rsidRPr="00047262">
        <w:t>ombude</w:t>
      </w:r>
      <w:proofErr w:type="spellEnd"/>
      <w:r w:rsidRPr="00047262">
        <w:t xml:space="preserve"> 2023. gadā vadīja ES satvaru attiecībā uz </w:t>
      </w:r>
      <w:r w:rsidRPr="00047262">
        <w:rPr>
          <w:i/>
        </w:rPr>
        <w:t>UNCRPD</w:t>
      </w:r>
      <w:r w:rsidRPr="00047262">
        <w:t xml:space="preserve"> un kā viņa turpināja darbu kā šī satvara dalībniece;</w:t>
      </w:r>
    </w:p>
    <w:p w:rsidR="00531DE1" w:rsidRPr="00047262" w:rsidRDefault="00531DE1" w:rsidP="00531DE1">
      <w:pPr>
        <w:pStyle w:val="NormalHanging12a"/>
      </w:pPr>
      <w:r w:rsidRPr="00047262">
        <w:t>25.</w:t>
      </w:r>
      <w:r w:rsidRPr="00047262">
        <w:tab/>
        <w:t xml:space="preserve">uzsver, ka “Eiropas </w:t>
      </w:r>
      <w:proofErr w:type="spellStart"/>
      <w:r w:rsidRPr="00047262">
        <w:t>Piekļūstamības</w:t>
      </w:r>
      <w:proofErr w:type="spellEnd"/>
      <w:r w:rsidRPr="00047262">
        <w:t xml:space="preserve"> akts”</w:t>
      </w:r>
      <w:r w:rsidRPr="00047262">
        <w:rPr>
          <w:vertAlign w:val="superscript"/>
        </w:rPr>
        <w:footnoteReference w:id="9"/>
      </w:r>
      <w:r w:rsidRPr="00047262">
        <w:t xml:space="preserve"> tika pieņemts 2019. gada 17. aprīlī un ka tajā noteiktais termiņš tā transponēšanai dalībvalstīs bija 2022. gada 28. jūnijs; uzsver, ka Eiropas </w:t>
      </w:r>
      <w:proofErr w:type="spellStart"/>
      <w:r w:rsidRPr="00047262">
        <w:t>Piekļūstamības</w:t>
      </w:r>
      <w:proofErr w:type="spellEnd"/>
      <w:r w:rsidRPr="00047262">
        <w:t xml:space="preserve"> akta galvenais mērķis bija atvieglot dzīvi vismaz 87 miljoniem personu ar invaliditāti, cita starpā atvieglojot tiem piekļuvi sabiedriskajam transportam, banku pakalpojumiem, datoriem, televizoriem, e-grāmatām un tiešsaistes veikaliem; pauž dziļu nožēlu par to, ka visas dalībvalstis joprojām nenodrošina tā pilnīgu un konsekventu transponēšanu un turpina uzkrāt kavējumus, kā to apstiprina Komisijas sāktās pārkāpuma procedūras pret tām; aicina </w:t>
      </w:r>
      <w:proofErr w:type="spellStart"/>
      <w:r w:rsidRPr="00047262">
        <w:t>ombudi</w:t>
      </w:r>
      <w:proofErr w:type="spellEnd"/>
      <w:r w:rsidRPr="00047262">
        <w:t xml:space="preserve"> pievērst uzmanību šim ļoti nopietnajam ES tiesību aktu pārkāpumam, kas nopietni apdraud personu ar invaliditāti tiesības, kā daļu no vispārējām darbībām, ko veic ES satvarā saistībā ar </w:t>
      </w:r>
      <w:r w:rsidRPr="00047262">
        <w:rPr>
          <w:i/>
          <w:iCs/>
        </w:rPr>
        <w:t>UNCRPD</w:t>
      </w:r>
      <w:r w:rsidRPr="00047262">
        <w:t>, lai palīdzētu to prioritārā kārtā novērst;</w:t>
      </w:r>
    </w:p>
    <w:p w:rsidR="00531DE1" w:rsidRPr="00047262" w:rsidRDefault="00531DE1" w:rsidP="00531DE1">
      <w:pPr>
        <w:pStyle w:val="NormalHanging12a"/>
      </w:pPr>
      <w:r w:rsidRPr="00047262">
        <w:t>26.</w:t>
      </w:r>
      <w:r w:rsidRPr="00047262">
        <w:tab/>
        <w:t xml:space="preserve">atzinīgi vērtē </w:t>
      </w:r>
      <w:proofErr w:type="spellStart"/>
      <w:r w:rsidRPr="00047262">
        <w:t>ombudes</w:t>
      </w:r>
      <w:proofErr w:type="spellEnd"/>
      <w:r w:rsidRPr="00047262">
        <w:t xml:space="preserve"> izmeklēšanu par to, kā Komisija piemēro ES Civildienesta noteikumos paredzēto noteikumu par bērna pabalsta divkāršošanu, lai palīdzētu aprūpēt bērnus ar invaliditāti; šajā sakarā atzinīgi vērtē Komisijas iniciatīvu turpināt visas ES pārvaldes centienus pārskatīt piemērojamos noteikumus, lai nodrošinātu, ka visi šāda </w:t>
      </w:r>
      <w:r w:rsidRPr="00047262">
        <w:lastRenderedPageBreak/>
        <w:t>veida pabalsta pieteikumi tiek izvērtēti individuāli un pēc būtības;</w:t>
      </w:r>
    </w:p>
    <w:p w:rsidR="00531DE1" w:rsidRPr="00047262" w:rsidRDefault="00531DE1" w:rsidP="00531DE1">
      <w:pPr>
        <w:pStyle w:val="NormalHanging12a"/>
      </w:pPr>
      <w:r w:rsidRPr="00047262">
        <w:t>27.</w:t>
      </w:r>
      <w:r w:rsidRPr="00047262">
        <w:tab/>
        <w:t xml:space="preserve">uzsver to, cik nozīmīgs ir Eiropas </w:t>
      </w:r>
      <w:proofErr w:type="spellStart"/>
      <w:r w:rsidRPr="00047262">
        <w:t>Ombudu</w:t>
      </w:r>
      <w:proofErr w:type="spellEnd"/>
      <w:r w:rsidRPr="00047262">
        <w:t xml:space="preserve"> tīkls (EOT) un ikgadējās sanāksmes, ko EOT rīko ar valstu un reģionu </w:t>
      </w:r>
      <w:proofErr w:type="spellStart"/>
      <w:r w:rsidRPr="00047262">
        <w:t>ombudiem</w:t>
      </w:r>
      <w:proofErr w:type="spellEnd"/>
      <w:r w:rsidRPr="00047262">
        <w:t xml:space="preserve">, lai vēl vairāk palielinātu informētību par to, ko Eiropas </w:t>
      </w:r>
      <w:proofErr w:type="spellStart"/>
      <w:r w:rsidRPr="00047262">
        <w:t>ombuds</w:t>
      </w:r>
      <w:proofErr w:type="spellEnd"/>
      <w:r w:rsidRPr="00047262">
        <w:t xml:space="preserve"> var darīt Eiropas pilsoņu labā; mudina </w:t>
      </w:r>
      <w:proofErr w:type="spellStart"/>
      <w:r w:rsidRPr="00047262">
        <w:t>ombudu</w:t>
      </w:r>
      <w:proofErr w:type="spellEnd"/>
      <w:r w:rsidRPr="00047262">
        <w:t xml:space="preserve"> turpināt piedalīties pieredzes un </w:t>
      </w:r>
      <w:proofErr w:type="spellStart"/>
      <w:r w:rsidRPr="00047262">
        <w:t>paraugprakses</w:t>
      </w:r>
      <w:proofErr w:type="spellEnd"/>
      <w:r w:rsidRPr="00047262">
        <w:t xml:space="preserve"> apmaiņā ar valstu </w:t>
      </w:r>
      <w:proofErr w:type="spellStart"/>
      <w:r w:rsidRPr="00047262">
        <w:t>ombudiem</w:t>
      </w:r>
      <w:proofErr w:type="spellEnd"/>
      <w:r w:rsidRPr="00047262">
        <w:t>, izmantojot EOT; pieņem zināšanai to, ka 2023. gada EOT ikgadējā konferencē galvenā uzmanība tika pievērsta cilvēktiesību aizsardzībai un MI izmantošanas publiskajā pārvaldē ieguvumu un potenciālo trūkumu risināšanai;</w:t>
      </w:r>
      <w:r w:rsidRPr="00047262">
        <w:rPr>
          <w:b/>
          <w:i/>
        </w:rPr>
        <w:t> </w:t>
      </w:r>
      <w:r w:rsidRPr="00047262">
        <w:t xml:space="preserve">mudina pilsoniskās sabiedrības organizācijas labāk izmantot Eiropas </w:t>
      </w:r>
      <w:proofErr w:type="spellStart"/>
      <w:r w:rsidRPr="00047262">
        <w:t>Ombuda</w:t>
      </w:r>
      <w:proofErr w:type="spellEnd"/>
      <w:r w:rsidRPr="00047262">
        <w:t xml:space="preserve"> pakalpojumus, lai veiktu ES iestāžu kontroli, garantētu </w:t>
      </w:r>
      <w:proofErr w:type="spellStart"/>
      <w:r w:rsidRPr="00047262">
        <w:t>pārredzamību</w:t>
      </w:r>
      <w:proofErr w:type="spellEnd"/>
      <w:r w:rsidRPr="00047262">
        <w:t xml:space="preserve"> un izskatītu Savienības tiesību aktu neievērošanas gadījumus;</w:t>
      </w:r>
      <w:r w:rsidR="00047262" w:rsidRPr="00047262">
        <w:t xml:space="preserve"> atzinīgi vērtē Bosnijas un Hercegovinas Cilvēktiesību </w:t>
      </w:r>
      <w:proofErr w:type="spellStart"/>
      <w:r w:rsidR="00047262" w:rsidRPr="00047262">
        <w:t>ombuda</w:t>
      </w:r>
      <w:proofErr w:type="spellEnd"/>
      <w:r w:rsidR="00047262" w:rsidRPr="00047262">
        <w:t xml:space="preserve"> iestādes pievienošanos EOT; aicina </w:t>
      </w:r>
      <w:proofErr w:type="spellStart"/>
      <w:r w:rsidR="00047262" w:rsidRPr="00047262">
        <w:t>Ombudu</w:t>
      </w:r>
      <w:proofErr w:type="spellEnd"/>
      <w:r w:rsidR="00047262" w:rsidRPr="00047262">
        <w:t xml:space="preserve"> stiprināt sadarbību ar ES kandidātvalstu </w:t>
      </w:r>
      <w:proofErr w:type="spellStart"/>
      <w:r w:rsidR="00047262" w:rsidRPr="00047262">
        <w:t>ombudu</w:t>
      </w:r>
      <w:proofErr w:type="spellEnd"/>
      <w:r w:rsidR="00047262" w:rsidRPr="00047262">
        <w:t xml:space="preserve"> birojiem, lai uzlabotu šo valstu publisko iestāžu spēju pielāgoties ES standartiem attiecībā uz labu pārvaldību, integritāti un </w:t>
      </w:r>
      <w:proofErr w:type="spellStart"/>
      <w:r w:rsidR="00047262" w:rsidRPr="00047262">
        <w:t>pārskatatbildību</w:t>
      </w:r>
      <w:proofErr w:type="spellEnd"/>
      <w:r w:rsidR="00047262" w:rsidRPr="00047262">
        <w:t>;</w:t>
      </w:r>
    </w:p>
    <w:p w:rsidR="00531DE1" w:rsidRPr="00047262" w:rsidRDefault="00531DE1" w:rsidP="00531DE1">
      <w:pPr>
        <w:pStyle w:val="NormalHanging12a"/>
        <w:rPr>
          <w:szCs w:val="24"/>
        </w:rPr>
      </w:pPr>
      <w:r w:rsidRPr="00047262">
        <w:t>28.</w:t>
      </w:r>
      <w:r w:rsidRPr="00047262">
        <w:tab/>
        <w:t xml:space="preserve">prasa turpināt ciešo sadarbību starp </w:t>
      </w:r>
      <w:proofErr w:type="spellStart"/>
      <w:r w:rsidRPr="00047262">
        <w:t>ombudi</w:t>
      </w:r>
      <w:proofErr w:type="spellEnd"/>
      <w:r w:rsidRPr="00047262">
        <w:t xml:space="preserve"> un Eiropas Parlamenta Lūgumrakstu komiteju, kuru kopīgais uzdevums ir tuvināt ES iestādes pilsoņiem; pauž lielu atzinību par </w:t>
      </w:r>
      <w:proofErr w:type="spellStart"/>
      <w:r w:rsidRPr="00047262">
        <w:t>ombudes</w:t>
      </w:r>
      <w:proofErr w:type="spellEnd"/>
      <w:r w:rsidRPr="00047262">
        <w:t xml:space="preserve"> pievērsto uzmanību un turpmākajiem pasākumiem attiecībā uz visām sūdzībām, tostarp sūdzību, kas neietilpst viņas kompetencē un attiecas uz ES tiesību aktu īstenošanu, nodošanu citai attiecīgajai iestādei vai Parlamenta Lūgumrakstu komitejai; mudina </w:t>
      </w:r>
      <w:proofErr w:type="spellStart"/>
      <w:r w:rsidRPr="00047262">
        <w:t>Ombuda</w:t>
      </w:r>
      <w:proofErr w:type="spellEnd"/>
      <w:r w:rsidRPr="00047262">
        <w:t xml:space="preserve"> biroju turpināt centienus šajā ziņā, ņemot vērā to, ka sadarbība ar Lūgumrakstu komiteju, savlaicīga informācija un piekļuve dokumentiem visās 24 oficiālajās ES valodās var palielināt pilsoņu un pilsoniskās sabiedrības efektīvu līdzdalību lēmumu pieņemšanas procesā;</w:t>
      </w:r>
    </w:p>
    <w:p w:rsidR="00531DE1" w:rsidRPr="00047262" w:rsidRDefault="00531DE1" w:rsidP="00531DE1">
      <w:pPr>
        <w:pStyle w:val="NormalHanging12a"/>
      </w:pPr>
      <w:r w:rsidRPr="00047262">
        <w:t>29.</w:t>
      </w:r>
      <w:r w:rsidRPr="00047262">
        <w:tab/>
        <w:t xml:space="preserve">atzinīgi vērtē to, ka ES iestāžu apstiprinājumu īpatsvars 2023. gadā, proti, pozitīvo atbilžu procentuālā daļa no </w:t>
      </w:r>
      <w:proofErr w:type="spellStart"/>
      <w:r w:rsidRPr="00047262">
        <w:t>Ombuda</w:t>
      </w:r>
      <w:proofErr w:type="spellEnd"/>
      <w:r w:rsidRPr="00047262">
        <w:t xml:space="preserve"> iesniegto priekšlikumu kopskaita par to, lai labotu vai uzlabotu administratīvo praksi, bija 81 %, kas ir uzlabojums salīdzinājumā ar iepriekšējo gadu; tomēr pauž stingru pārliecību, ka Savienības iestādēm, aģentūrām, struktūrām un birojiem ir pilnībā un konsekventi jāievēro visi </w:t>
      </w:r>
      <w:proofErr w:type="spellStart"/>
      <w:r w:rsidRPr="00047262">
        <w:t>Ombuda</w:t>
      </w:r>
      <w:proofErr w:type="spellEnd"/>
      <w:r w:rsidRPr="00047262">
        <w:t xml:space="preserve"> ieteiktie risinājumi, ieteikumi un ierosinājumi;</w:t>
      </w:r>
    </w:p>
    <w:p w:rsidR="00531DE1" w:rsidRPr="00047262" w:rsidRDefault="00531DE1" w:rsidP="00531DE1">
      <w:pPr>
        <w:pStyle w:val="NormalHanging12a"/>
      </w:pPr>
      <w:r w:rsidRPr="00047262">
        <w:rPr>
          <w:shd w:val="clear" w:color="auto" w:fill="FFFFFF"/>
        </w:rPr>
        <w:t>30.</w:t>
      </w:r>
      <w:r w:rsidRPr="00047262">
        <w:rPr>
          <w:shd w:val="clear" w:color="auto" w:fill="FFFFFF"/>
        </w:rPr>
        <w:tab/>
      </w:r>
      <w:r w:rsidRPr="00047262">
        <w:t xml:space="preserve">atzinīgi vērtē </w:t>
      </w:r>
      <w:proofErr w:type="spellStart"/>
      <w:r w:rsidRPr="00047262">
        <w:t>ombudes</w:t>
      </w:r>
      <w:proofErr w:type="spellEnd"/>
      <w:r w:rsidRPr="00047262">
        <w:t xml:space="preserve"> pastāvīgās konstruktīvās darba attiecības ar Komisiju, kas ir ES iestāde, kuru skar lielākā daļa </w:t>
      </w:r>
      <w:proofErr w:type="spellStart"/>
      <w:r w:rsidRPr="00047262">
        <w:t>ombuda</w:t>
      </w:r>
      <w:proofErr w:type="spellEnd"/>
      <w:r w:rsidRPr="00047262">
        <w:t xml:space="preserve"> izmeklēšanu; norāda, ka šīs attiecības palīdz Komisijai padarīt administratīvās procedūras efektīvākas un pārredzamākas;</w:t>
      </w:r>
    </w:p>
    <w:p w:rsidR="00531DE1" w:rsidRPr="00047262" w:rsidRDefault="00531DE1" w:rsidP="00531DE1">
      <w:pPr>
        <w:pStyle w:val="NormalHanging12a"/>
      </w:pPr>
      <w:r w:rsidRPr="00047262">
        <w:t>31.</w:t>
      </w:r>
      <w:r w:rsidRPr="00047262">
        <w:tab/>
        <w:t xml:space="preserve">pauž atzinību un atzinīgi vērtē </w:t>
      </w:r>
      <w:proofErr w:type="spellStart"/>
      <w:r w:rsidRPr="00047262">
        <w:t>ombudes</w:t>
      </w:r>
      <w:proofErr w:type="spellEnd"/>
      <w:r w:rsidRPr="00047262">
        <w:t xml:space="preserve"> un viņas biroja centienus pastāvīgi uzlabot savas iekšējās procedūras, lai nodrošinātu, ka sūdzību iesniedzēju gūtā pieredze ir optimāla un ka sūdzības tiek izskatītas pēc iespējas efektīvāk; mudina </w:t>
      </w:r>
      <w:proofErr w:type="spellStart"/>
      <w:r w:rsidRPr="00047262">
        <w:t>ombudes</w:t>
      </w:r>
      <w:proofErr w:type="spellEnd"/>
      <w:r w:rsidRPr="00047262">
        <w:t xml:space="preserve"> centienus vēl vairāk uzlabot savu darbību </w:t>
      </w:r>
      <w:proofErr w:type="spellStart"/>
      <w:r w:rsidRPr="00047262">
        <w:t>pamanāmību</w:t>
      </w:r>
      <w:proofErr w:type="spellEnd"/>
      <w:r w:rsidRPr="00047262">
        <w:t xml:space="preserve"> un atzinīgi vērtē </w:t>
      </w:r>
      <w:proofErr w:type="spellStart"/>
      <w:r w:rsidRPr="00047262">
        <w:t>Ombuda</w:t>
      </w:r>
      <w:proofErr w:type="spellEnd"/>
      <w:r w:rsidRPr="00047262">
        <w:t xml:space="preserve"> tiešsaistes sūdzību sistēmas uzlabojumus, kas ir padarījuši to lietotājdraudzīgāku; atzinīgi vērtē </w:t>
      </w:r>
      <w:proofErr w:type="spellStart"/>
      <w:r w:rsidRPr="00047262">
        <w:t>ombuda</w:t>
      </w:r>
      <w:proofErr w:type="spellEnd"/>
      <w:r w:rsidRPr="00047262">
        <w:t xml:space="preserve"> </w:t>
      </w:r>
      <w:proofErr w:type="spellStart"/>
      <w:r w:rsidRPr="00047262">
        <w:t>daudzvalodu</w:t>
      </w:r>
      <w:proofErr w:type="spellEnd"/>
      <w:r w:rsidRPr="00047262">
        <w:t xml:space="preserve"> tīmekļvietni, kas atspoguļo </w:t>
      </w:r>
      <w:proofErr w:type="spellStart"/>
      <w:r w:rsidRPr="00047262">
        <w:t>ombuda</w:t>
      </w:r>
      <w:proofErr w:type="spellEnd"/>
      <w:r w:rsidRPr="00047262">
        <w:t xml:space="preserve"> apņemšanos piedāvāt palīdzību 24 ES oficiālajās valodās;</w:t>
      </w:r>
      <w:r w:rsidRPr="00047262">
        <w:rPr>
          <w:b/>
          <w:i/>
        </w:rPr>
        <w:t> </w:t>
      </w:r>
      <w:r w:rsidRPr="00047262">
        <w:t>uzsver, ka ir svarīgi garantēt personām ar invaliditāti pilnīgu piekļuvi visiem resursiem, ko ES nodrošina saviem pilsoņiem, jo īpaši izmantojot sistemātiskus rakstiskās un mutiskās tulkošanas pakalpojumus, ko piedāvā visās oficiālajās valodās, tostarp zīmju valodā;</w:t>
      </w:r>
    </w:p>
    <w:p w:rsidR="00E365E1" w:rsidRPr="00047262" w:rsidRDefault="00531DE1" w:rsidP="00047262">
      <w:pPr>
        <w:pStyle w:val="NormalHanging12a"/>
      </w:pPr>
      <w:r w:rsidRPr="00047262">
        <w:t>32.</w:t>
      </w:r>
      <w:r w:rsidRPr="00047262">
        <w:tab/>
        <w:t xml:space="preserve">uzdod priekšsēdētājai šo rezolūciju un Lūgumrakstu komitejas ziņojumu nosūtīt Padomei, Komisijai, Eiropas </w:t>
      </w:r>
      <w:proofErr w:type="spellStart"/>
      <w:r w:rsidRPr="00047262">
        <w:t>Ombudam</w:t>
      </w:r>
      <w:proofErr w:type="spellEnd"/>
      <w:r w:rsidRPr="00047262">
        <w:t xml:space="preserve">, dalībvalstu valdībām un parlamentiem, kā arī to </w:t>
      </w:r>
      <w:proofErr w:type="spellStart"/>
      <w:r w:rsidRPr="00047262">
        <w:t>ombudiem</w:t>
      </w:r>
      <w:proofErr w:type="spellEnd"/>
      <w:r w:rsidRPr="00047262">
        <w:t xml:space="preserve"> vai līdzīgām kompetentajām struktūrām.</w:t>
      </w:r>
    </w:p>
    <w:sectPr w:rsidR="00E365E1" w:rsidRPr="00047262" w:rsidSect="000A348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7318" w:rsidRPr="000A3483" w:rsidRDefault="00857318">
      <w:r w:rsidRPr="000A3483">
        <w:separator/>
      </w:r>
    </w:p>
  </w:endnote>
  <w:endnote w:type="continuationSeparator" w:id="0">
    <w:p w:rsidR="00857318" w:rsidRPr="000A3483" w:rsidRDefault="00857318">
      <w:r w:rsidRPr="000A34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348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348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348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7318" w:rsidRPr="000A3483" w:rsidRDefault="00857318">
      <w:r w:rsidRPr="000A3483">
        <w:separator/>
      </w:r>
    </w:p>
  </w:footnote>
  <w:footnote w:type="continuationSeparator" w:id="0">
    <w:p w:rsidR="00857318" w:rsidRPr="000A3483" w:rsidRDefault="00857318">
      <w:r w:rsidRPr="000A3483">
        <w:continuationSeparator/>
      </w:r>
    </w:p>
  </w:footnote>
  <w:footnote w:id="1">
    <w:p w:rsidR="00531DE1" w:rsidRPr="000A3483" w:rsidRDefault="00531DE1" w:rsidP="000A3483">
      <w:pPr>
        <w:pStyle w:val="FootnoteText"/>
        <w:ind w:left="567" w:hanging="567"/>
        <w:rPr>
          <w:sz w:val="24"/>
          <w:lang w:val="lv-LV"/>
        </w:rPr>
      </w:pPr>
      <w:r w:rsidRPr="000A3483">
        <w:rPr>
          <w:rStyle w:val="FootnoteReference"/>
          <w:sz w:val="24"/>
          <w:lang w:val="lv-LV"/>
        </w:rPr>
        <w:footnoteRef/>
      </w:r>
      <w:r w:rsidR="000A3483" w:rsidRPr="000A3483">
        <w:rPr>
          <w:sz w:val="24"/>
          <w:lang w:val="lv-LV"/>
        </w:rPr>
        <w:t xml:space="preserve"> </w:t>
      </w:r>
      <w:r w:rsidR="000A3483" w:rsidRPr="000A3483">
        <w:rPr>
          <w:sz w:val="24"/>
          <w:lang w:val="lv-LV"/>
        </w:rPr>
        <w:tab/>
      </w:r>
      <w:r w:rsidRPr="000A3483">
        <w:rPr>
          <w:sz w:val="24"/>
          <w:lang w:val="lv-LV"/>
        </w:rPr>
        <w:t xml:space="preserve">OV L 253, 16.7.2021., 1. lpp., </w:t>
      </w:r>
      <w:r w:rsidRPr="000A3483">
        <w:rPr>
          <w:sz w:val="24"/>
          <w:shd w:val="clear" w:color="auto" w:fill="FFFFFF"/>
          <w:lang w:val="lv-LV"/>
        </w:rPr>
        <w:t>ELI: </w:t>
      </w:r>
      <w:hyperlink r:id="rId1" w:history="1">
        <w:r w:rsidR="00B522C4" w:rsidRPr="00047262">
          <w:rPr>
            <w:rStyle w:val="Hyperlink"/>
            <w:sz w:val="24"/>
            <w:shd w:val="clear" w:color="auto" w:fill="FFFFFF"/>
            <w:lang w:val="sv-SE"/>
          </w:rPr>
          <w:t>http://data.europa.eu/eli/reg/2021/1163/oj</w:t>
        </w:r>
      </w:hyperlink>
      <w:r w:rsidRPr="000A3483">
        <w:rPr>
          <w:sz w:val="24"/>
          <w:lang w:val="lv-LV"/>
        </w:rPr>
        <w:t>.</w:t>
      </w:r>
    </w:p>
  </w:footnote>
  <w:footnote w:id="2">
    <w:p w:rsidR="00531DE1" w:rsidRPr="000A3483" w:rsidRDefault="00531DE1" w:rsidP="000A3483">
      <w:pPr>
        <w:pStyle w:val="FootnoteText"/>
        <w:ind w:left="567" w:hanging="567"/>
        <w:rPr>
          <w:sz w:val="24"/>
          <w:lang w:val="lv-LV"/>
        </w:rPr>
      </w:pPr>
      <w:r w:rsidRPr="000A3483">
        <w:rPr>
          <w:rStyle w:val="FootnoteReference"/>
          <w:sz w:val="24"/>
          <w:lang w:val="lv-LV"/>
        </w:rPr>
        <w:footnoteRef/>
      </w:r>
      <w:r w:rsidR="000A3483" w:rsidRPr="000A3483">
        <w:rPr>
          <w:sz w:val="24"/>
          <w:lang w:val="lv-LV"/>
        </w:rPr>
        <w:t xml:space="preserve"> </w:t>
      </w:r>
      <w:r w:rsidR="000A3483" w:rsidRPr="000A3483">
        <w:rPr>
          <w:sz w:val="24"/>
          <w:lang w:val="lv-LV"/>
        </w:rPr>
        <w:tab/>
      </w:r>
      <w:r w:rsidRPr="000A3483">
        <w:rPr>
          <w:sz w:val="24"/>
          <w:lang w:val="lv-LV"/>
        </w:rPr>
        <w:t>Eiropas Parlamenta un Padomes Regula (EK) Nr. 1049/2001 (2001. gada 30. maijs) par publisku piekļuvi Eiropas Parlamenta, Padomes un Komisijas dokumentiem (OV L 145, 31.5.2001., 43. </w:t>
      </w:r>
      <w:r w:rsidRPr="000A3483">
        <w:rPr>
          <w:sz w:val="24"/>
          <w:lang w:val="lv-LV"/>
        </w:rPr>
        <w:t xml:space="preserve">lpp., </w:t>
      </w:r>
      <w:r w:rsidRPr="000A3483">
        <w:rPr>
          <w:sz w:val="24"/>
          <w:shd w:val="clear" w:color="auto" w:fill="FFFFFF"/>
          <w:lang w:val="lv-LV"/>
        </w:rPr>
        <w:t>ELI: </w:t>
      </w:r>
      <w:hyperlink r:id="rId2" w:history="1">
        <w:r w:rsidR="00B522C4" w:rsidRPr="00047262">
          <w:rPr>
            <w:rStyle w:val="Hyperlink"/>
            <w:sz w:val="24"/>
            <w:shd w:val="clear" w:color="auto" w:fill="FFFFFF"/>
            <w:lang w:val="lv-LV"/>
          </w:rPr>
          <w:t>http://data.europa.eu/eli/reg/2001/1049/oj</w:t>
        </w:r>
      </w:hyperlink>
      <w:r w:rsidRPr="000A3483">
        <w:rPr>
          <w:sz w:val="24"/>
          <w:lang w:val="lv-LV"/>
        </w:rPr>
        <w:t>).</w:t>
      </w:r>
    </w:p>
  </w:footnote>
  <w:footnote w:id="3">
    <w:p w:rsidR="00531DE1" w:rsidRPr="000A3483" w:rsidRDefault="00531DE1" w:rsidP="000A3483">
      <w:pPr>
        <w:pStyle w:val="FootnoteText"/>
        <w:ind w:left="567" w:hanging="567"/>
        <w:rPr>
          <w:sz w:val="24"/>
          <w:lang w:val="lv-LV"/>
        </w:rPr>
      </w:pPr>
      <w:r w:rsidRPr="000A3483">
        <w:rPr>
          <w:rStyle w:val="FootnoteReference"/>
          <w:sz w:val="24"/>
          <w:lang w:val="lv-LV"/>
        </w:rPr>
        <w:footnoteRef/>
      </w:r>
      <w:r w:rsidR="000A3483" w:rsidRPr="000A3483">
        <w:rPr>
          <w:sz w:val="24"/>
          <w:shd w:val="clear" w:color="auto" w:fill="FFFFFF"/>
          <w:lang w:val="lv-LV"/>
        </w:rPr>
        <w:t xml:space="preserve"> </w:t>
      </w:r>
      <w:r w:rsidR="000A3483" w:rsidRPr="000A3483">
        <w:rPr>
          <w:sz w:val="24"/>
          <w:shd w:val="clear" w:color="auto" w:fill="FFFFFF"/>
          <w:lang w:val="lv-LV"/>
        </w:rPr>
        <w:tab/>
      </w:r>
      <w:r w:rsidRPr="000A3483">
        <w:rPr>
          <w:sz w:val="24"/>
          <w:shd w:val="clear" w:color="auto" w:fill="FFFFFF"/>
          <w:lang w:val="lv-LV"/>
        </w:rPr>
        <w:t>OV C, C/2024/6560, 12.11.2024, ELI: </w:t>
      </w:r>
      <w:hyperlink r:id="rId3" w:history="1">
        <w:r w:rsidR="00B522C4" w:rsidRPr="00047262">
          <w:rPr>
            <w:rStyle w:val="Hyperlink"/>
            <w:iCs/>
            <w:sz w:val="24"/>
            <w:lang w:val="da-DK"/>
          </w:rPr>
          <w:t>http://data.europa.eu/eli/C/2024/6560/oj</w:t>
        </w:r>
      </w:hyperlink>
      <w:r w:rsidRPr="000A3483">
        <w:rPr>
          <w:sz w:val="24"/>
          <w:lang w:val="lv-LV"/>
        </w:rPr>
        <w:t>.</w:t>
      </w:r>
    </w:p>
  </w:footnote>
  <w:footnote w:id="4">
    <w:p w:rsidR="00531DE1" w:rsidRPr="000A3483" w:rsidRDefault="00531DE1" w:rsidP="000A3483">
      <w:pPr>
        <w:pStyle w:val="FootnoteText"/>
        <w:ind w:left="567" w:hanging="567"/>
        <w:rPr>
          <w:sz w:val="24"/>
          <w:lang w:val="lv-LV"/>
        </w:rPr>
      </w:pPr>
      <w:r w:rsidRPr="000A3483">
        <w:rPr>
          <w:rStyle w:val="FootnoteReference"/>
          <w:sz w:val="24"/>
          <w:lang w:val="lv-LV"/>
        </w:rPr>
        <w:footnoteRef/>
      </w:r>
      <w:r w:rsidR="000A3483" w:rsidRPr="000A3483">
        <w:rPr>
          <w:sz w:val="24"/>
          <w:lang w:val="lv-LV"/>
        </w:rPr>
        <w:t xml:space="preserve"> </w:t>
      </w:r>
      <w:r w:rsidR="000A3483" w:rsidRPr="000A3483">
        <w:rPr>
          <w:sz w:val="24"/>
          <w:lang w:val="lv-LV"/>
        </w:rPr>
        <w:tab/>
      </w:r>
      <w:r w:rsidRPr="000A3483">
        <w:rPr>
          <w:sz w:val="24"/>
          <w:lang w:val="lv-LV"/>
        </w:rPr>
        <w:t>Eiropas Parlamenta 2011. gada 15. decembra normatīvā rezolūcija par priekšlikumu Eiropas Parlamenta un Padomes regulai par publisku piekļuvi Eiropas Parlamenta, Padomes un Komisijas dokumentiem (pārstrādāta redakcija), 3. </w:t>
      </w:r>
      <w:r w:rsidRPr="000A3483">
        <w:rPr>
          <w:sz w:val="24"/>
          <w:lang w:val="lv-LV"/>
        </w:rPr>
        <w:t xml:space="preserve">pants: </w:t>
      </w:r>
      <w:hyperlink r:id="rId4" w:history="1">
        <w:r w:rsidRPr="000A3483">
          <w:rPr>
            <w:rStyle w:val="Hyperlink"/>
            <w:sz w:val="24"/>
            <w:lang w:val="lv-LV"/>
          </w:rPr>
          <w:t>https://www.europarl.europa.eu/doceo/document/TA-7-2011-0580_LV.pdf</w:t>
        </w:r>
      </w:hyperlink>
      <w:r w:rsidRPr="000A3483">
        <w:rPr>
          <w:sz w:val="24"/>
          <w:lang w:val="lv-LV"/>
        </w:rPr>
        <w:t>.</w:t>
      </w:r>
    </w:p>
  </w:footnote>
  <w:footnote w:id="5">
    <w:p w:rsidR="00531DE1" w:rsidRPr="000A3483" w:rsidRDefault="00531DE1" w:rsidP="000A3483">
      <w:pPr>
        <w:pStyle w:val="FootnoteText"/>
        <w:ind w:left="567" w:hanging="567"/>
        <w:rPr>
          <w:sz w:val="24"/>
          <w:lang w:val="lv-LV"/>
        </w:rPr>
      </w:pPr>
      <w:r w:rsidRPr="000A3483">
        <w:rPr>
          <w:rStyle w:val="FootnoteReference"/>
          <w:sz w:val="24"/>
          <w:lang w:val="lv-LV"/>
        </w:rPr>
        <w:footnoteRef/>
      </w:r>
      <w:r w:rsidR="000A3483" w:rsidRPr="000A3483">
        <w:rPr>
          <w:sz w:val="24"/>
          <w:lang w:val="lv-LV"/>
        </w:rPr>
        <w:t xml:space="preserve"> </w:t>
      </w:r>
      <w:r w:rsidR="000A3483" w:rsidRPr="000A3483">
        <w:rPr>
          <w:sz w:val="24"/>
          <w:lang w:val="lv-LV"/>
        </w:rPr>
        <w:tab/>
      </w:r>
      <w:hyperlink r:id="rId5" w:history="1">
        <w:r w:rsidRPr="000A3483">
          <w:rPr>
            <w:rStyle w:val="Hyperlink"/>
            <w:sz w:val="24"/>
            <w:lang w:val="lv-LV"/>
          </w:rPr>
          <w:t>https://www.ombudsman.europa.eu/en/decision/en/69206</w:t>
        </w:r>
      </w:hyperlink>
      <w:r w:rsidRPr="000A3483">
        <w:rPr>
          <w:sz w:val="24"/>
          <w:lang w:val="lv-LV"/>
        </w:rPr>
        <w:t>.</w:t>
      </w:r>
    </w:p>
  </w:footnote>
  <w:footnote w:id="6">
    <w:p w:rsidR="00531DE1" w:rsidRPr="000A3483" w:rsidRDefault="00531DE1" w:rsidP="000A3483">
      <w:pPr>
        <w:pStyle w:val="FootnoteText"/>
        <w:ind w:left="567" w:hanging="567"/>
        <w:rPr>
          <w:sz w:val="24"/>
          <w:lang w:val="lv-LV"/>
        </w:rPr>
      </w:pPr>
      <w:r w:rsidRPr="000A3483">
        <w:rPr>
          <w:rStyle w:val="FootnoteReference"/>
          <w:sz w:val="24"/>
          <w:lang w:val="lv-LV"/>
        </w:rPr>
        <w:footnoteRef/>
      </w:r>
      <w:r w:rsidR="000A3483" w:rsidRPr="000A3483">
        <w:rPr>
          <w:sz w:val="24"/>
          <w:lang w:val="lv-LV"/>
        </w:rPr>
        <w:t xml:space="preserve"> </w:t>
      </w:r>
      <w:r w:rsidR="000A3483" w:rsidRPr="000A3483">
        <w:rPr>
          <w:sz w:val="24"/>
          <w:lang w:val="lv-LV"/>
        </w:rPr>
        <w:tab/>
      </w:r>
      <w:r w:rsidRPr="000A3483">
        <w:rPr>
          <w:sz w:val="24"/>
          <w:lang w:val="lv-LV"/>
        </w:rPr>
        <w:t xml:space="preserve">Īpašais ziņojums no Eiropas </w:t>
      </w:r>
      <w:proofErr w:type="spellStart"/>
      <w:r w:rsidRPr="000A3483">
        <w:rPr>
          <w:sz w:val="24"/>
          <w:lang w:val="lv-LV"/>
        </w:rPr>
        <w:t>ombudes</w:t>
      </w:r>
      <w:proofErr w:type="spellEnd"/>
      <w:r w:rsidRPr="000A3483">
        <w:rPr>
          <w:sz w:val="24"/>
          <w:lang w:val="lv-LV"/>
        </w:rPr>
        <w:t xml:space="preserve"> viņas stratēģiskajā izmeklēšanā par laiku, kas Eiropas Komisijai ir nepieciešams, lai izskatītu pieprasījumus saistībā ar publisku piekļuvi dokumentiem (OI/2/2022/OAM).</w:t>
      </w:r>
    </w:p>
  </w:footnote>
  <w:footnote w:id="7">
    <w:p w:rsidR="00531DE1" w:rsidRPr="000A3483" w:rsidRDefault="00531DE1" w:rsidP="000A3483">
      <w:pPr>
        <w:pStyle w:val="FootnoteText"/>
        <w:ind w:left="567" w:hanging="567"/>
        <w:rPr>
          <w:sz w:val="24"/>
          <w:lang w:val="lv-LV"/>
        </w:rPr>
      </w:pPr>
      <w:r w:rsidRPr="000A3483">
        <w:rPr>
          <w:rStyle w:val="FootnoteReference"/>
          <w:sz w:val="24"/>
          <w:lang w:val="lv-LV"/>
        </w:rPr>
        <w:footnoteRef/>
      </w:r>
      <w:r w:rsidR="000A3483" w:rsidRPr="000A3483">
        <w:rPr>
          <w:rStyle w:val="Emphasis"/>
          <w:sz w:val="24"/>
          <w:shd w:val="clear" w:color="auto" w:fill="FFFFFF"/>
          <w:lang w:val="lv-LV"/>
        </w:rPr>
        <w:t xml:space="preserve"> </w:t>
      </w:r>
      <w:r w:rsidR="000A3483" w:rsidRPr="000A3483">
        <w:rPr>
          <w:rStyle w:val="Emphasis"/>
          <w:sz w:val="24"/>
          <w:shd w:val="clear" w:color="auto" w:fill="FFFFFF"/>
          <w:lang w:val="lv-LV"/>
        </w:rPr>
        <w:tab/>
      </w:r>
      <w:r w:rsidRPr="00047262">
        <w:rPr>
          <w:rStyle w:val="Emphasis"/>
          <w:i w:val="0"/>
          <w:sz w:val="24"/>
          <w:shd w:val="clear" w:color="auto" w:fill="FFFFFF"/>
          <w:lang w:val="lv-LV"/>
        </w:rPr>
        <w:t>OV L 264, 25.9.2006., 13. </w:t>
      </w:r>
      <w:r w:rsidRPr="00047262">
        <w:rPr>
          <w:rStyle w:val="Emphasis"/>
          <w:i w:val="0"/>
          <w:sz w:val="24"/>
          <w:shd w:val="clear" w:color="auto" w:fill="FFFFFF"/>
          <w:lang w:val="lv-LV"/>
        </w:rPr>
        <w:t>lpp.,</w:t>
      </w:r>
      <w:r w:rsidRPr="000A3483">
        <w:rPr>
          <w:rStyle w:val="Emphasis"/>
          <w:sz w:val="24"/>
          <w:shd w:val="clear" w:color="auto" w:fill="FFFFFF"/>
          <w:lang w:val="lv-LV"/>
        </w:rPr>
        <w:t xml:space="preserve"> </w:t>
      </w:r>
      <w:r w:rsidRPr="000A3483">
        <w:rPr>
          <w:sz w:val="24"/>
          <w:shd w:val="clear" w:color="auto" w:fill="FFFFFF"/>
          <w:lang w:val="lv-LV"/>
        </w:rPr>
        <w:t>ELI: </w:t>
      </w:r>
      <w:hyperlink r:id="rId6" w:history="1">
        <w:r w:rsidR="00B522C4" w:rsidRPr="00047262">
          <w:rPr>
            <w:rStyle w:val="Hyperlink"/>
            <w:sz w:val="24"/>
            <w:shd w:val="clear" w:color="auto" w:fill="FFFFFF"/>
            <w:lang w:val="sv-SE"/>
          </w:rPr>
          <w:t>http://data.europa.eu/eli/reg/2006/1367/oj</w:t>
        </w:r>
      </w:hyperlink>
      <w:r w:rsidRPr="000A3483">
        <w:rPr>
          <w:sz w:val="24"/>
          <w:lang w:val="lv-LV"/>
        </w:rPr>
        <w:t>.</w:t>
      </w:r>
    </w:p>
  </w:footnote>
  <w:footnote w:id="8">
    <w:p w:rsidR="00531DE1" w:rsidRPr="000A3483" w:rsidRDefault="00531DE1" w:rsidP="000A3483">
      <w:pPr>
        <w:pStyle w:val="FootnoteText"/>
        <w:ind w:left="567" w:hanging="567"/>
        <w:rPr>
          <w:sz w:val="24"/>
          <w:lang w:val="lv-LV"/>
        </w:rPr>
      </w:pPr>
      <w:r w:rsidRPr="000A3483">
        <w:rPr>
          <w:rStyle w:val="FootnoteReference"/>
          <w:sz w:val="24"/>
          <w:lang w:val="lv-LV"/>
        </w:rPr>
        <w:footnoteRef/>
      </w:r>
      <w:r w:rsidR="000A3483" w:rsidRPr="000A3483">
        <w:rPr>
          <w:rStyle w:val="Emphasis"/>
          <w:sz w:val="24"/>
          <w:shd w:val="clear" w:color="auto" w:fill="FFFFFF"/>
          <w:lang w:val="lv-LV"/>
        </w:rPr>
        <w:t xml:space="preserve"> </w:t>
      </w:r>
      <w:r w:rsidR="000A3483" w:rsidRPr="000A3483">
        <w:rPr>
          <w:rStyle w:val="Emphasis"/>
          <w:sz w:val="24"/>
          <w:shd w:val="clear" w:color="auto" w:fill="FFFFFF"/>
          <w:lang w:val="lv-LV"/>
        </w:rPr>
        <w:tab/>
      </w:r>
      <w:r w:rsidRPr="00047262">
        <w:rPr>
          <w:rStyle w:val="Emphasis"/>
          <w:i w:val="0"/>
          <w:sz w:val="24"/>
          <w:shd w:val="clear" w:color="auto" w:fill="FFFFFF"/>
          <w:lang w:val="lv-LV"/>
        </w:rPr>
        <w:t>OV L 275, 25.10.2022., 33. </w:t>
      </w:r>
      <w:r w:rsidRPr="00047262">
        <w:rPr>
          <w:rStyle w:val="Emphasis"/>
          <w:i w:val="0"/>
          <w:sz w:val="24"/>
          <w:shd w:val="clear" w:color="auto" w:fill="FFFFFF"/>
          <w:lang w:val="lv-LV"/>
        </w:rPr>
        <w:t>lpp.,</w:t>
      </w:r>
      <w:r w:rsidRPr="000A3483">
        <w:rPr>
          <w:rStyle w:val="Emphasis"/>
          <w:sz w:val="24"/>
          <w:shd w:val="clear" w:color="auto" w:fill="FFFFFF"/>
          <w:lang w:val="lv-LV"/>
        </w:rPr>
        <w:t xml:space="preserve"> </w:t>
      </w:r>
      <w:r w:rsidRPr="000A3483">
        <w:rPr>
          <w:sz w:val="24"/>
          <w:shd w:val="clear" w:color="auto" w:fill="FFFFFF"/>
          <w:lang w:val="lv-LV"/>
        </w:rPr>
        <w:t>ELI: </w:t>
      </w:r>
      <w:hyperlink r:id="rId7" w:history="1">
        <w:r w:rsidR="00B522C4" w:rsidRPr="00047262">
          <w:rPr>
            <w:rStyle w:val="Hyperlink"/>
            <w:sz w:val="24"/>
            <w:shd w:val="clear" w:color="auto" w:fill="FFFFFF"/>
            <w:lang w:val="sv-SE"/>
          </w:rPr>
          <w:t>http://data.europa.eu/eli/dir/2022/2041/oj</w:t>
        </w:r>
      </w:hyperlink>
      <w:r w:rsidRPr="000A3483">
        <w:rPr>
          <w:sz w:val="24"/>
          <w:lang w:val="lv-LV"/>
        </w:rPr>
        <w:t>.</w:t>
      </w:r>
    </w:p>
  </w:footnote>
  <w:footnote w:id="9">
    <w:p w:rsidR="00531DE1" w:rsidRPr="000A3483" w:rsidRDefault="00531DE1" w:rsidP="000A3483">
      <w:pPr>
        <w:pStyle w:val="FootnoteText"/>
        <w:ind w:left="567" w:hanging="567"/>
        <w:rPr>
          <w:sz w:val="24"/>
          <w:lang w:val="lv-LV"/>
        </w:rPr>
      </w:pPr>
      <w:r w:rsidRPr="000A3483">
        <w:rPr>
          <w:rStyle w:val="FootnoteReference"/>
          <w:sz w:val="24"/>
          <w:lang w:val="lv-LV"/>
        </w:rPr>
        <w:footnoteRef/>
      </w:r>
      <w:r w:rsidR="000A3483" w:rsidRPr="000A3483">
        <w:rPr>
          <w:sz w:val="24"/>
          <w:lang w:val="lv-LV"/>
        </w:rPr>
        <w:t xml:space="preserve"> </w:t>
      </w:r>
      <w:r w:rsidR="000A3483" w:rsidRPr="000A3483">
        <w:rPr>
          <w:sz w:val="24"/>
          <w:lang w:val="lv-LV"/>
        </w:rPr>
        <w:tab/>
      </w:r>
      <w:r w:rsidRPr="000A3483">
        <w:rPr>
          <w:sz w:val="24"/>
          <w:lang w:val="lv-LV"/>
        </w:rPr>
        <w:t>Eiropas Parlamenta un Padomes Direktīva (ES) 2019/882 (2019. gada 17. </w:t>
      </w:r>
      <w:r w:rsidRPr="000A3483">
        <w:rPr>
          <w:sz w:val="24"/>
          <w:lang w:val="lv-LV"/>
        </w:rPr>
        <w:t xml:space="preserve">aprīlis) par produktu un pakalpojumu </w:t>
      </w:r>
      <w:proofErr w:type="spellStart"/>
      <w:r w:rsidRPr="000A3483">
        <w:rPr>
          <w:sz w:val="24"/>
          <w:lang w:val="lv-LV"/>
        </w:rPr>
        <w:t>piekļūstamības</w:t>
      </w:r>
      <w:proofErr w:type="spellEnd"/>
      <w:r w:rsidRPr="000A3483">
        <w:rPr>
          <w:sz w:val="24"/>
          <w:lang w:val="lv-LV"/>
        </w:rPr>
        <w:t xml:space="preserve"> prasībām </w:t>
      </w:r>
      <w:r w:rsidRPr="00047262">
        <w:rPr>
          <w:rStyle w:val="Emphasis"/>
          <w:i w:val="0"/>
          <w:sz w:val="24"/>
          <w:shd w:val="clear" w:color="auto" w:fill="FFFFFF"/>
          <w:lang w:val="lv-LV"/>
        </w:rPr>
        <w:t>(OV L 151, 7.6.2019., 70. lpp.,</w:t>
      </w:r>
      <w:r w:rsidRPr="000A3483">
        <w:rPr>
          <w:rStyle w:val="Emphasis"/>
          <w:sz w:val="24"/>
          <w:shd w:val="clear" w:color="auto" w:fill="FFFFFF"/>
          <w:lang w:val="lv-LV"/>
        </w:rPr>
        <w:t xml:space="preserve"> </w:t>
      </w:r>
      <w:r w:rsidRPr="000A3483">
        <w:rPr>
          <w:sz w:val="24"/>
          <w:shd w:val="clear" w:color="auto" w:fill="FFFFFF"/>
          <w:lang w:val="lv-LV"/>
        </w:rPr>
        <w:t>ELI: </w:t>
      </w:r>
      <w:hyperlink r:id="rId8" w:history="1">
        <w:r w:rsidR="00B522C4" w:rsidRPr="00047262">
          <w:rPr>
            <w:rStyle w:val="Hyperlink"/>
            <w:sz w:val="24"/>
            <w:shd w:val="clear" w:color="auto" w:fill="FFFFFF"/>
            <w:lang w:val="lv-LV"/>
          </w:rPr>
          <w:t>http://data.europa.eu/eli/dir/2019/882/oj</w:t>
        </w:r>
      </w:hyperlink>
      <w:r w:rsidRPr="000A3483">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348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348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348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6/2024"/>
    <w:docVar w:name="dvlangue" w:val="LV"/>
    <w:docVar w:name="dvnumam" w:val="0"/>
    <w:docVar w:name="dvpe" w:val="763.122"/>
    <w:docVar w:name="dvrapporteur" w:val="Referents: "/>
    <w:docVar w:name="dvtitre" w:val="Eiropas Parlamenta 2024. gada XX. XXX  rezolūcija par 2023. gada ziņojumu par Eiropas Ombuda darbību(2024/2056(INI))"/>
  </w:docVars>
  <w:rsids>
    <w:rsidRoot w:val="00857318"/>
    <w:rsid w:val="00002272"/>
    <w:rsid w:val="00047262"/>
    <w:rsid w:val="00064002"/>
    <w:rsid w:val="000677B9"/>
    <w:rsid w:val="000831BA"/>
    <w:rsid w:val="000A3483"/>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1DE1"/>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7318"/>
    <w:rsid w:val="00865F67"/>
    <w:rsid w:val="00881A7B"/>
    <w:rsid w:val="008840E5"/>
    <w:rsid w:val="00887B3E"/>
    <w:rsid w:val="008C2AC6"/>
    <w:rsid w:val="00913E5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22C4"/>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B31151"/>
  <w15:chartTrackingRefBased/>
  <w15:docId w15:val="{F70AB2AB-20DA-4A4C-8AB9-3DBABDAA6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531DE1"/>
    <w:pPr>
      <w:spacing w:before="480" w:after="240"/>
    </w:pPr>
  </w:style>
  <w:style w:type="paragraph" w:customStyle="1" w:styleId="NormalBold">
    <w:name w:val="NormalBold"/>
    <w:basedOn w:val="Normal"/>
    <w:uiPriority w:val="99"/>
    <w:rsid w:val="00531DE1"/>
    <w:rPr>
      <w:b/>
    </w:rPr>
  </w:style>
  <w:style w:type="paragraph" w:customStyle="1" w:styleId="NormalHanging12a">
    <w:name w:val="NormalHanging12a"/>
    <w:basedOn w:val="Normal"/>
    <w:link w:val="NormalHanging12aChar"/>
    <w:rsid w:val="00531DE1"/>
    <w:pPr>
      <w:spacing w:after="240"/>
      <w:ind w:left="567" w:hanging="567"/>
    </w:pPr>
  </w:style>
  <w:style w:type="character" w:styleId="Hyperlink">
    <w:name w:val="Hyperlink"/>
    <w:basedOn w:val="DefaultParagraphFont"/>
    <w:uiPriority w:val="99"/>
    <w:unhideWhenUsed/>
    <w:rsid w:val="00531DE1"/>
    <w:rPr>
      <w:color w:val="0000FF"/>
      <w:u w:val="single"/>
    </w:rPr>
  </w:style>
  <w:style w:type="character" w:customStyle="1" w:styleId="NormalHanging12aChar">
    <w:name w:val="NormalHanging12a Char"/>
    <w:basedOn w:val="DefaultParagraphFont"/>
    <w:link w:val="NormalHanging12a"/>
    <w:locked/>
    <w:rsid w:val="00531DE1"/>
    <w:rPr>
      <w:sz w:val="24"/>
      <w:lang w:val="lv-LV"/>
    </w:rPr>
  </w:style>
  <w:style w:type="character" w:customStyle="1" w:styleId="graphbold">
    <w:name w:val="graph bold"/>
    <w:basedOn w:val="DefaultParagraphFont"/>
    <w:uiPriority w:val="1"/>
    <w:qFormat/>
    <w:rsid w:val="00531DE1"/>
    <w:rPr>
      <w:rFonts w:ascii="Arial" w:hAnsi="Arial" w:cs="Arial" w:hint="default"/>
      <w:b/>
      <w:bCs w:val="0"/>
      <w:sz w:val="16"/>
    </w:rPr>
  </w:style>
  <w:style w:type="character" w:styleId="Emphasis">
    <w:name w:val="Emphasis"/>
    <w:basedOn w:val="DefaultParagraphFont"/>
    <w:uiPriority w:val="20"/>
    <w:qFormat/>
    <w:rsid w:val="00531DE1"/>
    <w:rPr>
      <w:i/>
      <w:iCs/>
    </w:rPr>
  </w:style>
  <w:style w:type="paragraph" w:styleId="BalloonText">
    <w:name w:val="Balloon Text"/>
    <w:basedOn w:val="Normal"/>
    <w:link w:val="BalloonTextChar"/>
    <w:rsid w:val="00913E51"/>
    <w:rPr>
      <w:rFonts w:ascii="Segoe UI" w:hAnsi="Segoe UI" w:cs="Segoe UI"/>
      <w:sz w:val="18"/>
      <w:szCs w:val="18"/>
    </w:rPr>
  </w:style>
  <w:style w:type="character" w:customStyle="1" w:styleId="BalloonTextChar">
    <w:name w:val="Balloon Text Char"/>
    <w:basedOn w:val="DefaultParagraphFont"/>
    <w:link w:val="BalloonText"/>
    <w:rsid w:val="00913E51"/>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9/882/oj" TargetMode="External"/><Relationship Id="rId3" Type="http://schemas.openxmlformats.org/officeDocument/2006/relationships/hyperlink" Target="http://data.europa.eu/eli/C/2024/6560/oj" TargetMode="External"/><Relationship Id="rId7" Type="http://schemas.openxmlformats.org/officeDocument/2006/relationships/hyperlink" Target="http://data.europa.eu/eli/dir/2022/2041/oj" TargetMode="External"/><Relationship Id="rId2" Type="http://schemas.openxmlformats.org/officeDocument/2006/relationships/hyperlink" Target="http://data.europa.eu/eli/reg/2001/1049/oj" TargetMode="External"/><Relationship Id="rId1" Type="http://schemas.openxmlformats.org/officeDocument/2006/relationships/hyperlink" Target="http://data.europa.eu/eli/reg/2021/1163/oj" TargetMode="External"/><Relationship Id="rId6" Type="http://schemas.openxmlformats.org/officeDocument/2006/relationships/hyperlink" Target="http://data.europa.eu/eli/reg/2006/1367/oj" TargetMode="External"/><Relationship Id="rId5" Type="http://schemas.openxmlformats.org/officeDocument/2006/relationships/hyperlink" Target="https://www.ombudsman.europa.eu/en/decision/en/69206" TargetMode="External"/><Relationship Id="rId4" Type="http://schemas.openxmlformats.org/officeDocument/2006/relationships/hyperlink" Target="https://www.europarl.europa.eu/doceo/document/TA-7-2011-0580_LV.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01651E-ED93-4340-BAF0-ECF08EE51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3663</Words>
  <Characters>24160</Characters>
  <Application>Microsoft Office Word</Application>
  <DocSecurity>0</DocSecurity>
  <Lines>201</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2024-12-17T14:47:00Z</dcterms:created>
  <dcterms:modified xsi:type="dcterms:W3CDTF">2024-12-17T14:47:00Z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A10-0016/2024</vt:lpwstr>
  </property>
  <property fmtid="{D5CDD505-2E9C-101B-9397-08002B2CF9AE}" pid="4" name="&lt;Type&gt;">
    <vt:lpwstr>RR</vt:lpwstr>
  </property>
</Properties>
</file>