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3A54" w14:paraId="674D318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810390" w14:textId="77777777" w:rsidR="00751A4A" w:rsidRPr="00B23A54" w:rsidRDefault="00433068" w:rsidP="0010095E">
            <w:pPr>
              <w:pStyle w:val="EPName"/>
            </w:pPr>
            <w:r w:rsidRPr="00B23A54">
              <w:t>Parlamento Europeu</w:t>
            </w:r>
          </w:p>
          <w:p w14:paraId="617266F4" w14:textId="77777777" w:rsidR="00751A4A" w:rsidRPr="00B23A5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3A54">
              <w:t>2024</w:t>
            </w:r>
            <w:r w:rsidR="00817416" w:rsidRPr="00B23A54">
              <w:t>-202</w:t>
            </w:r>
            <w:r w:rsidRPr="00B23A54">
              <w:t>9</w:t>
            </w:r>
          </w:p>
        </w:tc>
        <w:tc>
          <w:tcPr>
            <w:tcW w:w="2268" w:type="dxa"/>
            <w:shd w:val="clear" w:color="auto" w:fill="auto"/>
          </w:tcPr>
          <w:p w14:paraId="7CE48EF4" w14:textId="77777777" w:rsidR="00751A4A" w:rsidRPr="00B23A54" w:rsidRDefault="00187494" w:rsidP="0010095E">
            <w:pPr>
              <w:pStyle w:val="EPLogo"/>
            </w:pPr>
            <w:r w:rsidRPr="00B23A54">
              <w:rPr>
                <w:noProof/>
                <w:lang w:val="en-GB"/>
              </w:rPr>
              <w:drawing>
                <wp:inline distT="0" distB="0" distL="0" distR="0" wp14:anchorId="19AA1876" wp14:editId="2D7920D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730BCD" w14:textId="77777777" w:rsidR="00D058B8" w:rsidRPr="00B23A54" w:rsidRDefault="00D058B8" w:rsidP="004C5D52">
      <w:pPr>
        <w:pStyle w:val="LineTop"/>
      </w:pPr>
    </w:p>
    <w:p w14:paraId="33986A93" w14:textId="77777777" w:rsidR="00680577" w:rsidRPr="00B23A54" w:rsidRDefault="00433068" w:rsidP="00680577">
      <w:pPr>
        <w:pStyle w:val="EPBodyTA1"/>
      </w:pPr>
      <w:r w:rsidRPr="00B23A54">
        <w:t>TEXTOS APROVADOS</w:t>
      </w:r>
    </w:p>
    <w:p w14:paraId="793D5E98" w14:textId="77777777" w:rsidR="00D058B8" w:rsidRPr="00B23A54" w:rsidRDefault="00D058B8" w:rsidP="00D058B8">
      <w:pPr>
        <w:pStyle w:val="LineBottom"/>
      </w:pPr>
    </w:p>
    <w:p w14:paraId="4262DB37" w14:textId="3866824B" w:rsidR="00433068" w:rsidRPr="00B23A54" w:rsidRDefault="00433068" w:rsidP="00433068">
      <w:pPr>
        <w:pStyle w:val="ATHeading1"/>
      </w:pPr>
      <w:bookmarkStart w:id="0" w:name="TANumber"/>
      <w:r w:rsidRPr="00B23A54">
        <w:t>P10_TA(2024)00</w:t>
      </w:r>
      <w:r w:rsidR="009028CA">
        <w:t>63</w:t>
      </w:r>
      <w:bookmarkEnd w:id="0"/>
    </w:p>
    <w:p w14:paraId="65809955" w14:textId="77777777" w:rsidR="00433068" w:rsidRPr="00B23A54" w:rsidRDefault="00433068" w:rsidP="00433068">
      <w:pPr>
        <w:pStyle w:val="ATHeading2"/>
      </w:pPr>
      <w:bookmarkStart w:id="1" w:name="title"/>
      <w:r w:rsidRPr="00B23A54">
        <w:t>Atividades do Provedor de Justiça Europeu - relatório anual de 2023</w:t>
      </w:r>
      <w:bookmarkEnd w:id="1"/>
    </w:p>
    <w:p w14:paraId="11872F3E" w14:textId="77777777" w:rsidR="00433068" w:rsidRPr="00B23A54" w:rsidRDefault="00433068" w:rsidP="00433068">
      <w:pPr>
        <w:rPr>
          <w:i/>
          <w:vanish/>
        </w:rPr>
      </w:pPr>
      <w:r w:rsidRPr="00B23A54">
        <w:rPr>
          <w:i/>
        </w:rPr>
        <w:fldChar w:fldCharType="begin"/>
      </w:r>
      <w:r w:rsidRPr="00B23A54">
        <w:rPr>
          <w:i/>
        </w:rPr>
        <w:instrText xml:space="preserve"> TC"(</w:instrText>
      </w:r>
      <w:bookmarkStart w:id="2" w:name="DocNumber"/>
      <w:r w:rsidRPr="00B23A54">
        <w:rPr>
          <w:i/>
        </w:rPr>
        <w:instrText>A10-0016/2024</w:instrText>
      </w:r>
      <w:bookmarkEnd w:id="2"/>
      <w:r w:rsidRPr="00B23A54">
        <w:rPr>
          <w:i/>
        </w:rPr>
        <w:instrText xml:space="preserve"> - Relator: Alex Agius Saliba)"\l3 \n&gt; \* ME</w:instrText>
      </w:r>
      <w:bookmarkStart w:id="3" w:name="_GoBack"/>
      <w:bookmarkEnd w:id="3"/>
      <w:r w:rsidRPr="00B23A54">
        <w:rPr>
          <w:i/>
        </w:rPr>
        <w:instrText xml:space="preserve">RGEFORMAT </w:instrText>
      </w:r>
      <w:r w:rsidRPr="00B23A54">
        <w:rPr>
          <w:i/>
        </w:rPr>
        <w:fldChar w:fldCharType="end"/>
      </w:r>
    </w:p>
    <w:p w14:paraId="0A2C1D71" w14:textId="77777777" w:rsidR="00433068" w:rsidRPr="00B23A54" w:rsidRDefault="00433068" w:rsidP="00433068">
      <w:pPr>
        <w:rPr>
          <w:vanish/>
        </w:rPr>
      </w:pPr>
      <w:bookmarkStart w:id="4" w:name="Commission"/>
      <w:r w:rsidRPr="00B23A54">
        <w:rPr>
          <w:vanish/>
        </w:rPr>
        <w:t>Comissão das Petições</w:t>
      </w:r>
      <w:bookmarkEnd w:id="4"/>
    </w:p>
    <w:p w14:paraId="59722934" w14:textId="77777777" w:rsidR="00433068" w:rsidRPr="00B23A54" w:rsidRDefault="00433068" w:rsidP="00433068">
      <w:pPr>
        <w:rPr>
          <w:vanish/>
        </w:rPr>
      </w:pPr>
      <w:bookmarkStart w:id="5" w:name="PE"/>
      <w:r w:rsidRPr="00B23A54">
        <w:rPr>
          <w:vanish/>
        </w:rPr>
        <w:t>PE763.122</w:t>
      </w:r>
      <w:bookmarkEnd w:id="5"/>
    </w:p>
    <w:p w14:paraId="0BA38FBA" w14:textId="18558B94" w:rsidR="00433068" w:rsidRPr="00B23A54" w:rsidRDefault="00433068" w:rsidP="00433068">
      <w:pPr>
        <w:pStyle w:val="ATHeading3"/>
      </w:pPr>
      <w:bookmarkStart w:id="6" w:name="Sujet"/>
      <w:r w:rsidRPr="00B23A54">
        <w:t xml:space="preserve">Resolução do Parlamento Europeu, de </w:t>
      </w:r>
      <w:r w:rsidR="00CF5708">
        <w:t>17</w:t>
      </w:r>
      <w:r w:rsidR="00CF5708" w:rsidRPr="00B23A54">
        <w:t xml:space="preserve"> </w:t>
      </w:r>
      <w:r w:rsidRPr="00B23A54">
        <w:t xml:space="preserve">de </w:t>
      </w:r>
      <w:r w:rsidR="00CF5708">
        <w:t>dezembro</w:t>
      </w:r>
      <w:r w:rsidR="00CF5708" w:rsidRPr="00B23A54">
        <w:t xml:space="preserve"> </w:t>
      </w:r>
      <w:r w:rsidRPr="00B23A54">
        <w:t>de 2024, sobre o relatório anual de atividades do Provedor de Justiça Europeu relativo a 2023</w:t>
      </w:r>
      <w:bookmarkEnd w:id="6"/>
      <w:r w:rsidRPr="00B23A54">
        <w:t xml:space="preserve"> </w:t>
      </w:r>
      <w:bookmarkStart w:id="7" w:name="References"/>
      <w:r w:rsidRPr="00B23A54">
        <w:t>(2024/2056(INI))</w:t>
      </w:r>
      <w:bookmarkEnd w:id="7"/>
    </w:p>
    <w:p w14:paraId="1CCD9243" w14:textId="77777777" w:rsidR="00484C8D" w:rsidRPr="00B23A54" w:rsidRDefault="00484C8D" w:rsidP="00484C8D">
      <w:pPr>
        <w:pStyle w:val="EPComma"/>
      </w:pPr>
      <w:r w:rsidRPr="00B23A54">
        <w:rPr>
          <w:i/>
        </w:rPr>
        <w:t>O Parlamento Europeu</w:t>
      </w:r>
      <w:r w:rsidRPr="00B23A54">
        <w:t>,</w:t>
      </w:r>
    </w:p>
    <w:p w14:paraId="1570D6F4" w14:textId="77777777" w:rsidR="00484C8D" w:rsidRPr="00B23A54" w:rsidRDefault="00484C8D" w:rsidP="00484C8D">
      <w:pPr>
        <w:pStyle w:val="NormalHanging12a"/>
      </w:pPr>
      <w:r w:rsidRPr="00B23A54">
        <w:t>–</w:t>
      </w:r>
      <w:r w:rsidRPr="00B23A54">
        <w:tab/>
        <w:t>Tendo em conta o relatório anual de atividades do Provedor de Justiça Europeu relativo a 2023,</w:t>
      </w:r>
    </w:p>
    <w:p w14:paraId="24F3147A" w14:textId="3443C759" w:rsidR="00484C8D" w:rsidRPr="00B23A54" w:rsidRDefault="00484C8D" w:rsidP="00484C8D">
      <w:pPr>
        <w:pStyle w:val="NormalHanging12a"/>
      </w:pPr>
      <w:r w:rsidRPr="00B23A54">
        <w:t>–</w:t>
      </w:r>
      <w:r w:rsidRPr="00B23A54">
        <w:tab/>
        <w:t>Tendo em conta o artigo 10.º, n.º 3, do Tratado da União Europeia,</w:t>
      </w:r>
    </w:p>
    <w:p w14:paraId="1C654AE3" w14:textId="77777777" w:rsidR="00484C8D" w:rsidRPr="00B23A54" w:rsidRDefault="00484C8D" w:rsidP="00484C8D">
      <w:pPr>
        <w:pStyle w:val="NormalHanging12a"/>
      </w:pPr>
      <w:r w:rsidRPr="00B23A54">
        <w:t>–</w:t>
      </w:r>
      <w:r w:rsidRPr="00B23A54">
        <w:tab/>
        <w:t>Tendo em conta o artigo 15.º, o artigo 24.º, n.º 3, o artigo 228.º e o artigo 298.º, n.º 1, do Tratado sobre o Funcionamento da União Europeia (TFUE),</w:t>
      </w:r>
    </w:p>
    <w:p w14:paraId="74F6B3A3" w14:textId="77777777" w:rsidR="00484C8D" w:rsidRPr="00B23A54" w:rsidRDefault="00484C8D" w:rsidP="00484C8D">
      <w:pPr>
        <w:pStyle w:val="NormalHanging12a"/>
      </w:pPr>
      <w:r w:rsidRPr="00B23A54">
        <w:t>–</w:t>
      </w:r>
      <w:r w:rsidRPr="00B23A54">
        <w:tab/>
        <w:t>Tendo em conta o Regulamento (UE, Euratom) 2021/1163 do Parlamento Europeu, de 24 de junho de 2021, que define o estatuto e as condições gerais de exercício das funções do Provedor de Justiça Europeu (Estatuto do Provedor de Justiça Europeu) e que revoga a Decisão 94/262/CECA, CE, Euratom</w:t>
      </w:r>
      <w:r w:rsidRPr="00B23A54">
        <w:rPr>
          <w:rStyle w:val="FootnoteReference"/>
          <w:color w:val="000000"/>
        </w:rPr>
        <w:footnoteReference w:id="1"/>
      </w:r>
      <w:r w:rsidRPr="00B23A54">
        <w:t>,</w:t>
      </w:r>
    </w:p>
    <w:p w14:paraId="375677DD" w14:textId="77777777" w:rsidR="00484C8D" w:rsidRPr="00B23A54" w:rsidRDefault="00484C8D" w:rsidP="00484C8D">
      <w:pPr>
        <w:pStyle w:val="NormalHanging12a"/>
      </w:pPr>
      <w:r w:rsidRPr="00B23A54">
        <w:t>–</w:t>
      </w:r>
      <w:r w:rsidRPr="00B23A54">
        <w:tab/>
        <w:t>Tendo em conta os artigos 11.º, 41.º, 42.º e 43.º da Carta dos Direitos Fundamentais da União Europeia (a Carta),</w:t>
      </w:r>
    </w:p>
    <w:p w14:paraId="0B4138AC" w14:textId="77777777" w:rsidR="00484C8D" w:rsidRPr="00B23A54" w:rsidRDefault="00484C8D" w:rsidP="00484C8D">
      <w:pPr>
        <w:pStyle w:val="NormalHanging12a"/>
      </w:pPr>
      <w:r w:rsidRPr="00B23A54">
        <w:t>–</w:t>
      </w:r>
      <w:r w:rsidRPr="00B23A54">
        <w:tab/>
        <w:t>Tendo em conta a Convenção sobre os Direitos das Pessoas com Deficiência da ONU (CDPD),</w:t>
      </w:r>
    </w:p>
    <w:p w14:paraId="6027DABA" w14:textId="77777777" w:rsidR="00484C8D" w:rsidRPr="00B23A54" w:rsidRDefault="00484C8D" w:rsidP="00484C8D">
      <w:pPr>
        <w:pStyle w:val="NormalHanging12a"/>
      </w:pPr>
      <w:r w:rsidRPr="00B23A54">
        <w:t>–</w:t>
      </w:r>
      <w:r w:rsidRPr="00B23A54">
        <w:tab/>
        <w:t>Tendo em conta o Código Europeu de Boa Conduta Administrativa, adotado pelo Parlamento Europeu em 6 de setembro de 2001,</w:t>
      </w:r>
    </w:p>
    <w:p w14:paraId="73FEECE8" w14:textId="77777777" w:rsidR="00484C8D" w:rsidRPr="00B23A54" w:rsidRDefault="00484C8D" w:rsidP="00484C8D">
      <w:pPr>
        <w:pStyle w:val="NormalHanging12a"/>
      </w:pPr>
      <w:r w:rsidRPr="00B23A54">
        <w:t>–</w:t>
      </w:r>
      <w:r w:rsidRPr="00B23A54">
        <w:tab/>
        <w:t>Tendo em conta o Acordo</w:t>
      </w:r>
      <w:r w:rsidRPr="00B23A54">
        <w:noBreakHyphen/>
        <w:t>Quadro sobre Cooperação celebrado em 15 de março de 2006 entre o Parlamento Europeu e o Provedor de Justiça Europeu, que entrou em vigor em 1 de abril de 2006,</w:t>
      </w:r>
    </w:p>
    <w:p w14:paraId="15D36A3C" w14:textId="77777777" w:rsidR="00484C8D" w:rsidRPr="00B23A54" w:rsidRDefault="00484C8D" w:rsidP="00484C8D">
      <w:pPr>
        <w:pStyle w:val="NormalHanging12a"/>
      </w:pPr>
      <w:r w:rsidRPr="00B23A54">
        <w:t>–</w:t>
      </w:r>
      <w:r w:rsidRPr="00B23A54">
        <w:tab/>
        <w:t xml:space="preserve">Tendo em conta as suas resoluções precedentes sobre as atividades do Provedor de </w:t>
      </w:r>
      <w:r w:rsidRPr="00B23A54">
        <w:lastRenderedPageBreak/>
        <w:t>Justiça Europeu,</w:t>
      </w:r>
    </w:p>
    <w:p w14:paraId="6A9F2D47" w14:textId="77777777" w:rsidR="00484C8D" w:rsidRPr="00B23A54" w:rsidRDefault="00484C8D" w:rsidP="00484C8D">
      <w:pPr>
        <w:pStyle w:val="NormalHanging12a"/>
      </w:pPr>
      <w:r w:rsidRPr="00B23A54">
        <w:t>–</w:t>
      </w:r>
      <w:r w:rsidRPr="00B23A54">
        <w:tab/>
        <w:t>Tendo em conta o artigo 55.º e o artigo 148.º, n.º 2, do seu Regimento,</w:t>
      </w:r>
    </w:p>
    <w:p w14:paraId="7798E072" w14:textId="77777777" w:rsidR="00484C8D" w:rsidRPr="00B23A54" w:rsidRDefault="00484C8D" w:rsidP="00484C8D">
      <w:pPr>
        <w:pStyle w:val="NormalHanging12a"/>
      </w:pPr>
      <w:r w:rsidRPr="00B23A54">
        <w:t>–</w:t>
      </w:r>
      <w:r w:rsidRPr="00B23A54">
        <w:tab/>
        <w:t>Tendo em conta o relatório da Comissão das Petições (A10</w:t>
      </w:r>
      <w:r w:rsidRPr="00B23A54">
        <w:noBreakHyphen/>
        <w:t>0016/2024),</w:t>
      </w:r>
    </w:p>
    <w:p w14:paraId="3EE76595" w14:textId="7C6A3D3A" w:rsidR="00484C8D" w:rsidRPr="00B23A54" w:rsidRDefault="00484C8D" w:rsidP="00484C8D">
      <w:pPr>
        <w:pStyle w:val="NormalHanging12a"/>
      </w:pPr>
      <w:r w:rsidRPr="00B23A54">
        <w:t>A.</w:t>
      </w:r>
      <w:r w:rsidRPr="00B23A54">
        <w:tab/>
        <w:t>Considerando que o relatório anual de atividades do Provedor de Justiça Europeu relativo a 2023 foi apresentado oficialmente à presidente do Parlamento Europeu em 18</w:t>
      </w:r>
      <w:r w:rsidR="00CF5708">
        <w:t> </w:t>
      </w:r>
      <w:r w:rsidRPr="00B23A54">
        <w:t xml:space="preserve">de abril de 2024 e que a </w:t>
      </w:r>
      <w:r w:rsidR="00C112FB">
        <w:t>P</w:t>
      </w:r>
      <w:r w:rsidRPr="00B23A54">
        <w:t>rovedora de Justiça, Emily O'Reilly, apresentou o relatório à Comissão das Petições, em 4 de setembro de 2024, em Bruxelas;</w:t>
      </w:r>
    </w:p>
    <w:p w14:paraId="4E30DBD2" w14:textId="77777777" w:rsidR="00484C8D" w:rsidRPr="00B23A54" w:rsidRDefault="00484C8D" w:rsidP="00484C8D">
      <w:pPr>
        <w:pStyle w:val="NormalHanging12a"/>
      </w:pPr>
      <w:r w:rsidRPr="00B23A54">
        <w:t>B.</w:t>
      </w:r>
      <w:r w:rsidRPr="00B23A54">
        <w:tab/>
        <w:t>Considerando que os artigos 20.º, 24.º e 228.º do TFUE conferem ao Provedor de Justiça Europeu poderes para receber queixas relativas a casos de má administração na atuação das instituições, órgãos e organismos da União, com exceção do Tribunal de Justiça da União Europeia no exercício das respetivas funções jurisdicionais;</w:t>
      </w:r>
    </w:p>
    <w:p w14:paraId="436DE733" w14:textId="77777777" w:rsidR="00484C8D" w:rsidRPr="00B23A54" w:rsidRDefault="00484C8D" w:rsidP="00484C8D">
      <w:pPr>
        <w:pStyle w:val="NormalHanging12a"/>
      </w:pPr>
      <w:r w:rsidRPr="00B23A54">
        <w:t>C.</w:t>
      </w:r>
      <w:r w:rsidRPr="00B23A54">
        <w:tab/>
        <w:t>Considerando que o artigo 15.º do TFUE estabelece que, «a fim de promover a boa governação e assegurar a participação da sociedade civil, a atuação das instituições, órgãos e organismos da União pauta</w:t>
      </w:r>
      <w:r w:rsidRPr="00B23A54">
        <w:noBreakHyphen/>
        <w:t>se pelo maior respeito possível do princípio da abertura» e que «[t]odos cidadãos da União e todas as pessoas singulares ou coletivas que residam ou tenham a sua sede estatutária num Estado</w:t>
      </w:r>
      <w:r w:rsidRPr="00B23A54">
        <w:noBreakHyphen/>
        <w:t>Membro têm direito de acesso aos documentos das instituições, órgãos e organismos da União»;</w:t>
      </w:r>
    </w:p>
    <w:p w14:paraId="6A4B562F" w14:textId="77777777" w:rsidR="00484C8D" w:rsidRPr="00B23A54" w:rsidRDefault="00484C8D" w:rsidP="00484C8D">
      <w:pPr>
        <w:pStyle w:val="NormalHanging12a"/>
      </w:pPr>
      <w:r w:rsidRPr="00B23A54">
        <w:t>D.</w:t>
      </w:r>
      <w:r w:rsidRPr="00B23A54">
        <w:tab/>
        <w:t>Considerando que o artigo 41.º da Carta dispõe que «todas as pessoas têm direito a que os seus assuntos sejam tratados pelas instituições, órgãos e organismos da União de forma imparcial, equitativa e num prazo razoável»;</w:t>
      </w:r>
    </w:p>
    <w:p w14:paraId="67362DED" w14:textId="77777777" w:rsidR="00484C8D" w:rsidRPr="00B23A54" w:rsidRDefault="00484C8D" w:rsidP="00484C8D">
      <w:pPr>
        <w:pStyle w:val="NormalHanging12a"/>
      </w:pPr>
      <w:r w:rsidRPr="00B23A54">
        <w:t>E.</w:t>
      </w:r>
      <w:r w:rsidRPr="00B23A54">
        <w:tab/>
        <w:t>Considerando que o artigo 43.º da Carta estabelece que «qualquer cidadão da União, bem como qualquer pessoa singular ou coletiva com residência ou sede social num Estado</w:t>
      </w:r>
      <w:r w:rsidRPr="00B23A54">
        <w:noBreakHyphen/>
        <w:t>Membro, tem o direito de apresentar petições ao Provedor de Justiça Europeu, respeitantes a casos de má administração na atuação das instituições, órgãos ou organismos da União, com exceção do Tribunal de Justiça da União Europeia no exercício das respetivas funções jurisdicionais»;</w:t>
      </w:r>
    </w:p>
    <w:p w14:paraId="248CC9AC" w14:textId="77777777" w:rsidR="00484C8D" w:rsidRPr="00B23A54" w:rsidRDefault="00484C8D" w:rsidP="00484C8D">
      <w:pPr>
        <w:pStyle w:val="NormalHanging12a"/>
        <w:rPr>
          <w:b/>
          <w:i/>
        </w:rPr>
      </w:pPr>
      <w:r w:rsidRPr="00B23A54">
        <w:t>F.</w:t>
      </w:r>
      <w:r w:rsidRPr="00B23A54">
        <w:rPr>
          <w:b/>
          <w:i/>
        </w:rPr>
        <w:tab/>
      </w:r>
      <w:r w:rsidRPr="00B23A54">
        <w:t>Considerando que, em conformidade com o artigo 298.º, n.º 1, do TFUE, «no desempenho das suas atribuições, as instituições, órgãos e organismos da União apoiam</w:t>
      </w:r>
      <w:r w:rsidRPr="00B23A54">
        <w:noBreakHyphen/>
        <w:t>se numa administração europeia aberta, eficaz e independente»;</w:t>
      </w:r>
    </w:p>
    <w:p w14:paraId="48218687" w14:textId="77777777" w:rsidR="00484C8D" w:rsidRPr="00B23A54" w:rsidRDefault="00484C8D" w:rsidP="00484C8D">
      <w:pPr>
        <w:pStyle w:val="NormalHanging12a"/>
      </w:pPr>
      <w:r w:rsidRPr="00B23A54">
        <w:t>G.</w:t>
      </w:r>
      <w:r w:rsidRPr="00B23A54">
        <w:tab/>
        <w:t>Considerando que o Provedor de Justiça Europeu pode propor recomendações e sugerir medidas de correção e melhorias destinadas a resolver vários aspetos de má administração;</w:t>
      </w:r>
    </w:p>
    <w:p w14:paraId="4932C7FA" w14:textId="4980FA52" w:rsidR="00484C8D" w:rsidRPr="00B23A54" w:rsidRDefault="00484C8D" w:rsidP="00484C8D">
      <w:pPr>
        <w:pStyle w:val="NormalHanging12a"/>
      </w:pPr>
      <w:r w:rsidRPr="00B23A54">
        <w:t>H.</w:t>
      </w:r>
      <w:r w:rsidRPr="00B23A54">
        <w:tab/>
        <w:t xml:space="preserve">Considerando que </w:t>
      </w:r>
      <w:r w:rsidR="00C112FB">
        <w:t>a</w:t>
      </w:r>
      <w:r w:rsidRPr="00B23A54">
        <w:t xml:space="preserve"> Provedor</w:t>
      </w:r>
      <w:r w:rsidR="00C112FB">
        <w:t>a</w:t>
      </w:r>
      <w:r w:rsidRPr="00B23A54">
        <w:t xml:space="preserve"> de Justiça abriu </w:t>
      </w:r>
      <w:r w:rsidRPr="0053078A">
        <w:t>398</w:t>
      </w:r>
      <w:r w:rsidRPr="00B23A54">
        <w:t xml:space="preserve"> inquéritos em 2023, dos quais 393 com base em queixas e 5 de iniciativa própria, e encerrou 372 inquéritos (369 com base em queixas e </w:t>
      </w:r>
      <w:r w:rsidR="00CF5708">
        <w:t>três</w:t>
      </w:r>
      <w:r w:rsidRPr="00B23A54">
        <w:t xml:space="preserve"> de iniciativa própria);</w:t>
      </w:r>
    </w:p>
    <w:p w14:paraId="3C2EA0FB" w14:textId="0B104759" w:rsidR="00484C8D" w:rsidRPr="00B23A54" w:rsidRDefault="00484C8D" w:rsidP="00484C8D">
      <w:pPr>
        <w:pStyle w:val="NormalHanging12a"/>
      </w:pPr>
      <w:r w:rsidRPr="00B23A54">
        <w:t>I.</w:t>
      </w:r>
      <w:r w:rsidRPr="00B23A54">
        <w:tab/>
        <w:t>Considerando que, em 2023, a maioria dos inquéritos dizia respeito à Comissão (250 inquéritos ou 62,81 %), seguida do Serviço Europeu de Seleção do Pessoal (EPSO) (47 inquéritos ou 11,81 %), do Parlamento Europeu (16 inquéritos ou 4,02 %) e da Agência Europeia da Guarda de Fronteiras e Costeira (Frontex) (11 inquéritos ou 2,76 %)</w:t>
      </w:r>
      <w:r w:rsidR="00CF5708">
        <w:t>; considerando que</w:t>
      </w:r>
      <w:r w:rsidRPr="00B23A54">
        <w:t xml:space="preserve"> os restantes inquéritos se distribuíram do seguinte modo: o Conselho da União Europeia (</w:t>
      </w:r>
      <w:r w:rsidR="00CF5708">
        <w:t>sete</w:t>
      </w:r>
      <w:r w:rsidRPr="00B23A54">
        <w:t xml:space="preserve"> inquéritos ou 1,76 %), o Organismo Europeu de Luta </w:t>
      </w:r>
      <w:r w:rsidRPr="00B23A54">
        <w:lastRenderedPageBreak/>
        <w:t>Antifraude (</w:t>
      </w:r>
      <w:r w:rsidR="0075731C">
        <w:t>seis</w:t>
      </w:r>
      <w:r w:rsidRPr="00B23A54">
        <w:t xml:space="preserve"> inquéritos ou 1,76 %), o Serviço Europeu para a Ação Externa (</w:t>
      </w:r>
      <w:r w:rsidR="0075731C">
        <w:t>seis</w:t>
      </w:r>
      <w:r w:rsidRPr="00B23A54">
        <w:t xml:space="preserve"> inquéritos ou 1,51 %), a Autoridade Europeia para a Proteção de Dados (</w:t>
      </w:r>
      <w:r w:rsidR="0075731C">
        <w:t>seis</w:t>
      </w:r>
      <w:r w:rsidRPr="00B23A54">
        <w:t xml:space="preserve"> inquéritos ou 1,51 %), o Instituto da Propriedade Intelectual da União Europeia (</w:t>
      </w:r>
      <w:r w:rsidR="0075731C">
        <w:t>cinco</w:t>
      </w:r>
      <w:r w:rsidRPr="00B23A54">
        <w:t xml:space="preserve"> inquéritos ou 1,26 %), outros organismos da UE (33 inquéritos ou 8,27 %) e outras instituições ou órgãos da UE (12 inquéritos ou 3,01 %);</w:t>
      </w:r>
    </w:p>
    <w:p w14:paraId="63E28AE2" w14:textId="0A8DE765" w:rsidR="00484C8D" w:rsidRPr="00B23A54" w:rsidRDefault="00484C8D" w:rsidP="00484C8D">
      <w:pPr>
        <w:pStyle w:val="NormalHanging12a"/>
      </w:pPr>
      <w:r w:rsidRPr="00B23A54">
        <w:t>J.</w:t>
      </w:r>
      <w:r w:rsidRPr="00B23A54">
        <w:tab/>
        <w:t>Considerando que, em 2023, a maior percentagem dos inquéritos d</w:t>
      </w:r>
      <w:r w:rsidR="00774B9B">
        <w:t>a</w:t>
      </w:r>
      <w:r w:rsidRPr="00B23A54">
        <w:t xml:space="preserve"> Provedor</w:t>
      </w:r>
      <w:r w:rsidR="00774B9B">
        <w:t>a</w:t>
      </w:r>
      <w:r w:rsidRPr="00B23A54">
        <w:t xml:space="preserve"> de Justiça dizia respeito à Comissão, cujas atividades administrativas estão a ser alvo de considerável atenção pública, uma vez que se trata do executivo da UE;</w:t>
      </w:r>
    </w:p>
    <w:p w14:paraId="04F6E7CE" w14:textId="00F2BACD" w:rsidR="00484C8D" w:rsidRPr="00B23A54" w:rsidRDefault="00484C8D" w:rsidP="00484C8D">
      <w:pPr>
        <w:pStyle w:val="NormalHanging12a"/>
      </w:pPr>
      <w:r w:rsidRPr="00B23A54">
        <w:t>K.</w:t>
      </w:r>
      <w:r w:rsidRPr="00B23A54">
        <w:tab/>
        <w:t>Considerando que, nos inquéritos encerrados pel</w:t>
      </w:r>
      <w:r w:rsidR="00774B9B">
        <w:t>a</w:t>
      </w:r>
      <w:r w:rsidRPr="00B23A54">
        <w:t xml:space="preserve"> Provedor</w:t>
      </w:r>
      <w:r w:rsidR="00774B9B">
        <w:t>a</w:t>
      </w:r>
      <w:r w:rsidRPr="00B23A54">
        <w:t xml:space="preserve"> de Justiça em 2023, não foi detetada má administração em 99 (26,6 %) casos, foi encontrada uma solução, ou uma solução parcial, pela instituição em 206 (55,4 %) casos, não se justificaram novos inquéritos em 46 (12,4 %) casos e foi detetada má administração em 27 (7,3 %) casos;</w:t>
      </w:r>
    </w:p>
    <w:p w14:paraId="0F278C4D" w14:textId="23EF03BF" w:rsidR="00484C8D" w:rsidRPr="00B23A54" w:rsidRDefault="00484C8D" w:rsidP="00484C8D">
      <w:pPr>
        <w:pStyle w:val="NormalHanging12a"/>
      </w:pPr>
      <w:r w:rsidRPr="00B23A54">
        <w:t>L.</w:t>
      </w:r>
      <w:r w:rsidRPr="00B23A54">
        <w:tab/>
        <w:t>Considerando que, em 2023, as três principais preocupações nos inquéritos encerrados pel</w:t>
      </w:r>
      <w:r w:rsidR="00774B9B">
        <w:t>a</w:t>
      </w:r>
      <w:r w:rsidRPr="00B23A54">
        <w:t xml:space="preserve"> Provedor</w:t>
      </w:r>
      <w:r w:rsidR="00774B9B">
        <w:t>a</w:t>
      </w:r>
      <w:r w:rsidRPr="00B23A54">
        <w:t xml:space="preserve"> de Justiça foram a transparência e a responsabilização (por exemplo, o acesso à informação e a documentos (34,2 %), a cultura de serviço (21,5 %) e o recrutamento (15,3 %)</w:t>
      </w:r>
      <w:r w:rsidR="00CF5708">
        <w:t>; considerando que</w:t>
      </w:r>
      <w:r w:rsidRPr="00B23A54">
        <w:t xml:space="preserve"> outras preocupações incluem a boa gestão das questões relativas ao pessoal, o uso adequado do poder discricionário (incluindo nos procedimentos de infração), a gestão adequada dos procedimentos de infração, o respeito pelos direitos fundamentais, o respeito pelos direitos processuais, as subvenções, a contratação pública, os contratos, a ética, a participação pública no processo decisório da UE e a boa gestão financeira;</w:t>
      </w:r>
    </w:p>
    <w:p w14:paraId="7B3E1DDE" w14:textId="236F7986" w:rsidR="00484C8D" w:rsidRPr="00B23A54" w:rsidRDefault="00484C8D" w:rsidP="00484C8D">
      <w:pPr>
        <w:pStyle w:val="NormalHanging12a"/>
      </w:pPr>
      <w:r w:rsidRPr="00B23A54">
        <w:t>M.</w:t>
      </w:r>
      <w:r w:rsidRPr="00B23A54">
        <w:tab/>
        <w:t xml:space="preserve">Considerando que, em 2023, </w:t>
      </w:r>
      <w:r w:rsidR="00774B9B">
        <w:t>a</w:t>
      </w:r>
      <w:r w:rsidRPr="00B23A54">
        <w:t xml:space="preserve"> Provedor</w:t>
      </w:r>
      <w:r w:rsidR="00774B9B">
        <w:t>a</w:t>
      </w:r>
      <w:r w:rsidRPr="00B23A54">
        <w:t xml:space="preserve"> de Justiça também levou a cabo inquéritos estratégicos e iniciativas mais vastas sobre questões sistémicas nas instituições da UE, abrangendo o acesso a documentos, os direitos fundamentais, questões éticas, a responsabilização na tomada de decisões e o recrutamento de funcionários da UE.</w:t>
      </w:r>
    </w:p>
    <w:p w14:paraId="190CBAD2" w14:textId="29F1E20D" w:rsidR="00484C8D" w:rsidRPr="00B23A54" w:rsidRDefault="00484C8D" w:rsidP="00484C8D">
      <w:pPr>
        <w:pStyle w:val="NormalHanging12a"/>
        <w:rPr>
          <w:szCs w:val="24"/>
        </w:rPr>
      </w:pPr>
      <w:r w:rsidRPr="00B23A54">
        <w:t>N.</w:t>
      </w:r>
      <w:r w:rsidRPr="00B23A54">
        <w:tab/>
        <w:t>Considerando que os cidadãos da UE têm amplos direitos de acesso a documentos na posse da administração da UE</w:t>
      </w:r>
      <w:r w:rsidR="00CF5708">
        <w:t>; considerando que</w:t>
      </w:r>
      <w:r w:rsidRPr="00B23A54">
        <w:t xml:space="preserve"> </w:t>
      </w:r>
      <w:r w:rsidR="00774B9B">
        <w:t>a</w:t>
      </w:r>
      <w:r w:rsidRPr="00B23A54">
        <w:t xml:space="preserve"> Provedor</w:t>
      </w:r>
      <w:r w:rsidR="00774B9B">
        <w:t>a</w:t>
      </w:r>
      <w:r w:rsidRPr="00B23A54">
        <w:t xml:space="preserve"> de Justiça abriu um inquérito de iniciativa própria, solicitando à Comissão que resolvesse urgentemente os atrasos sistemáticos no tratamento dos pedidos de acesso a documentos, a fim de garantir que respeita os prazos estabelecidos na legislação da UE em matéria de acesso do público aos documentos (Regulamento (CE) n.º 1049/2001</w:t>
      </w:r>
      <w:r w:rsidRPr="00B23A54">
        <w:rPr>
          <w:rStyle w:val="FootnoteReference"/>
        </w:rPr>
        <w:footnoteReference w:id="2"/>
      </w:r>
      <w:r w:rsidRPr="00B23A54">
        <w:t>)</w:t>
      </w:r>
      <w:r w:rsidR="00CF5708">
        <w:t>; considerando que</w:t>
      </w:r>
      <w:r w:rsidRPr="00B23A54">
        <w:t xml:space="preserve"> este inquérito revelou que, quando as pessoas solicitam a revisão de uma decisão de acesso, conhecida como um pedido confirmativo, a Comissão não cumpre os prazos estabelecidos na lei em 85 % dos casos, tendo a maioria das respostas chegado após 60 dias</w:t>
      </w:r>
      <w:r w:rsidR="00CF5708">
        <w:t>; considerando que</w:t>
      </w:r>
      <w:r w:rsidRPr="00B23A54">
        <w:t>, devido a estes atrasos, as informações obtidas deixaram muitas vezes de ser úteis para os requerentes, impedindo</w:t>
      </w:r>
      <w:r w:rsidRPr="00B23A54">
        <w:noBreakHyphen/>
        <w:t>os de participar no processo de tomada de decisão em tempo útil;</w:t>
      </w:r>
    </w:p>
    <w:p w14:paraId="1867D6CB" w14:textId="3F0B3C77" w:rsidR="00484C8D" w:rsidRPr="00B23A54" w:rsidRDefault="00484C8D" w:rsidP="00484C8D">
      <w:pPr>
        <w:pStyle w:val="NormalHanging12a"/>
      </w:pPr>
      <w:r w:rsidRPr="00B23A54">
        <w:t>O.</w:t>
      </w:r>
      <w:r w:rsidRPr="00B23A54">
        <w:tab/>
        <w:t xml:space="preserve">Considerando que, em 2023, </w:t>
      </w:r>
      <w:r w:rsidR="00774B9B">
        <w:t>a</w:t>
      </w:r>
      <w:r w:rsidRPr="00B23A54">
        <w:t xml:space="preserve"> Provedor</w:t>
      </w:r>
      <w:r w:rsidR="00774B9B">
        <w:t>a</w:t>
      </w:r>
      <w:r w:rsidRPr="00B23A54">
        <w:t xml:space="preserve"> de Justiça Europeu publicou um relatório especial no seguimento do seu inquérito estratégico sobre o tempo que a Comissão Europeia demora a tratar os pedidos de acesso do público a documentos</w:t>
      </w:r>
      <w:r w:rsidR="00CF5708">
        <w:t xml:space="preserve">; considerando </w:t>
      </w:r>
      <w:r w:rsidR="00CF5708">
        <w:lastRenderedPageBreak/>
        <w:t>que</w:t>
      </w:r>
      <w:r w:rsidRPr="00B23A54">
        <w:t xml:space="preserve"> o </w:t>
      </w:r>
      <w:r w:rsidR="00220370">
        <w:t xml:space="preserve">Gabinete do </w:t>
      </w:r>
      <w:r w:rsidRPr="00B23A54">
        <w:t>Provedor de Justiça apresentou esse relatório ao Parlamento Europeu com vista a obter o seu apoio para persuadir a Comissão a dar seguimento às suas recomendações, por considerar que os cidadãos têm o direito de esperar melhores práticas de uma administração da UE aberta, moderna e com espírito de serviço;</w:t>
      </w:r>
    </w:p>
    <w:p w14:paraId="62A7EEAE" w14:textId="10112CF3" w:rsidR="00484C8D" w:rsidRPr="00B23A54" w:rsidRDefault="00484C8D" w:rsidP="00484C8D">
      <w:pPr>
        <w:pStyle w:val="NormalHanging12a"/>
        <w:rPr>
          <w:szCs w:val="24"/>
        </w:rPr>
      </w:pPr>
      <w:r w:rsidRPr="00B23A54">
        <w:t>P.</w:t>
      </w:r>
      <w:r w:rsidRPr="00B23A54">
        <w:tab/>
        <w:t>Considerando que o relatório especial foi debatido na Comissão das Liberdades Cívicas, da Justiça e dos Assuntos Internos do Parlamento e conduziu a uma resolução do Parlamento Europeu intitulada «Tempo que a Comissão Europeia demora a tratar os pedidos de acesso do público a documentos»</w:t>
      </w:r>
      <w:r w:rsidRPr="00B23A54">
        <w:rPr>
          <w:rStyle w:val="FootnoteReference"/>
        </w:rPr>
        <w:footnoteReference w:id="3"/>
      </w:r>
      <w:r w:rsidRPr="00B23A54">
        <w:t>, adotada em 14 de março de 2024, na qual o Parlamento manifestou grande preocupação com os atrasos extremos da Comissão no processo de concessão de acesso do público aos documentos solicitados e instou a Comissão a corrigir estes atrasos sistemáticos e significativos</w:t>
      </w:r>
      <w:r w:rsidR="00CF5708">
        <w:t>; considerando que</w:t>
      </w:r>
      <w:r w:rsidRPr="00B23A54">
        <w:t xml:space="preserve"> o Parlamento salientou que ponderaria fazer uso de todos os instrumentos parlamentares disponíveis para tratar este assunto</w:t>
      </w:r>
      <w:r w:rsidR="00CF5708">
        <w:t>; considerando que</w:t>
      </w:r>
      <w:r w:rsidRPr="00B23A54">
        <w:t xml:space="preserve"> a resolução também referiu as negociações sobre a aquisição de vacinas contra a COVID</w:t>
      </w:r>
      <w:r w:rsidRPr="00B23A54">
        <w:noBreakHyphen/>
        <w:t>19 e solicitava uma divulgação adequada por parte da Comissão, uma transparência mais pró</w:t>
      </w:r>
      <w:r w:rsidRPr="00B23A54">
        <w:noBreakHyphen/>
        <w:t>ativa, mais recursos humanos especializados para tratar pedidos confirmativos e uma atitude mais aberta e construtiva em relação aos requerentes;</w:t>
      </w:r>
      <w:r w:rsidRPr="00B23A54">
        <w:rPr>
          <w:b/>
          <w:i/>
        </w:rPr>
        <w:t xml:space="preserve"> </w:t>
      </w:r>
    </w:p>
    <w:p w14:paraId="5F7C673F" w14:textId="7DF627C3" w:rsidR="00484C8D" w:rsidRPr="00B23A54" w:rsidRDefault="00484C8D" w:rsidP="00484C8D">
      <w:pPr>
        <w:pStyle w:val="NormalHanging12a"/>
        <w:rPr>
          <w:szCs w:val="24"/>
        </w:rPr>
      </w:pPr>
      <w:r w:rsidRPr="00B23A54">
        <w:t>Q.</w:t>
      </w:r>
      <w:r w:rsidRPr="00B23A54">
        <w:tab/>
        <w:t xml:space="preserve">Considerando que </w:t>
      </w:r>
      <w:r w:rsidR="00774B9B">
        <w:t>a</w:t>
      </w:r>
      <w:r w:rsidRPr="00B23A54">
        <w:t xml:space="preserve"> Provedor</w:t>
      </w:r>
      <w:r w:rsidR="00774B9B">
        <w:t>a</w:t>
      </w:r>
      <w:r w:rsidRPr="00B23A54">
        <w:t xml:space="preserve"> de Justiça salientou a necessidade de um acompanhamento e execução adequados da aplicação das novas regras deontológicas do Parlamento;</w:t>
      </w:r>
    </w:p>
    <w:p w14:paraId="4291B427" w14:textId="3EEEFA28" w:rsidR="00484C8D" w:rsidRPr="00B23A54" w:rsidRDefault="00484C8D" w:rsidP="00484C8D">
      <w:pPr>
        <w:pStyle w:val="NormalHanging12a"/>
        <w:rPr>
          <w:b/>
          <w:i/>
        </w:rPr>
      </w:pPr>
      <w:r w:rsidRPr="00B23A54">
        <w:t>R.</w:t>
      </w:r>
      <w:r w:rsidRPr="00B23A54">
        <w:rPr>
          <w:b/>
          <w:i/>
        </w:rPr>
        <w:tab/>
      </w:r>
      <w:r w:rsidRPr="00B23A54">
        <w:t xml:space="preserve">Considerando que </w:t>
      </w:r>
      <w:r w:rsidR="00774B9B">
        <w:t>a</w:t>
      </w:r>
      <w:r w:rsidRPr="00B23A54">
        <w:t xml:space="preserve"> Provedor</w:t>
      </w:r>
      <w:r w:rsidR="00774B9B">
        <w:t>a</w:t>
      </w:r>
      <w:r w:rsidRPr="00B23A54">
        <w:t xml:space="preserve"> de Justiça reconheceu progressos significativos no reforço das normas éticas no Parlamento na sequência do Qatargate, mas manifestou preocupação quanto à sua aplicação e execução</w:t>
      </w:r>
      <w:r w:rsidR="00CF5708">
        <w:t>; considerando que</w:t>
      </w:r>
      <w:r w:rsidRPr="00B23A54">
        <w:t xml:space="preserve"> </w:t>
      </w:r>
      <w:r w:rsidR="00774B9B">
        <w:t>a</w:t>
      </w:r>
      <w:r w:rsidRPr="00B23A54">
        <w:t xml:space="preserve"> Provedor</w:t>
      </w:r>
      <w:r w:rsidR="00774B9B">
        <w:t>a</w:t>
      </w:r>
      <w:r w:rsidRPr="00B23A54">
        <w:t xml:space="preserve"> de Justiça abriu um inquérito separado relativamente às despesas de viagem pagas à Comissão por terceiros desde 2021;</w:t>
      </w:r>
    </w:p>
    <w:p w14:paraId="6AB914F5" w14:textId="70FFB828" w:rsidR="00484C8D" w:rsidRPr="00B23A54" w:rsidRDefault="00484C8D" w:rsidP="00484C8D">
      <w:pPr>
        <w:pStyle w:val="NormalHanging12a"/>
      </w:pPr>
      <w:r w:rsidRPr="00B23A54">
        <w:t>S.</w:t>
      </w:r>
      <w:r w:rsidRPr="00B23A54">
        <w:tab/>
        <w:t>Considerando que a transparência é uma parte vital de uma sociedade democrática e um instrumento importante na luta contra a corrupção</w:t>
      </w:r>
      <w:r w:rsidR="00CF5708">
        <w:t>; considerando que</w:t>
      </w:r>
      <w:r w:rsidRPr="00B23A54">
        <w:t xml:space="preserve"> os cidadãos da UE têm direito ao mais elevado nível de transparência e que o mais elevado nível de acessibilidade aos documentos públicos é essencial para garantir a responsabilização;</w:t>
      </w:r>
    </w:p>
    <w:p w14:paraId="5965DE35" w14:textId="05C4D016" w:rsidR="00484C8D" w:rsidRPr="00B23A54" w:rsidRDefault="00484C8D" w:rsidP="00484C8D">
      <w:pPr>
        <w:pStyle w:val="NormalHanging12a"/>
        <w:rPr>
          <w:szCs w:val="24"/>
        </w:rPr>
      </w:pPr>
      <w:r w:rsidRPr="00B23A54">
        <w:t>T.</w:t>
      </w:r>
      <w:r w:rsidRPr="00B23A54">
        <w:tab/>
        <w:t xml:space="preserve">Considerando que, em 2023, o </w:t>
      </w:r>
      <w:r w:rsidR="00220370">
        <w:t xml:space="preserve">Gabinete do </w:t>
      </w:r>
      <w:r w:rsidRPr="00B23A54">
        <w:t>Provedor de Justiça continuou a sensibilizar o público para o papel do Provedor de Justiça na manutenção de elevados padrões de trabalho na administração da UE e na proteção dos direitos dos cidadãos e das liberdades fundamentais;</w:t>
      </w:r>
    </w:p>
    <w:p w14:paraId="340A83FA" w14:textId="09D69080" w:rsidR="00484C8D" w:rsidRPr="00B23A54" w:rsidRDefault="00484C8D" w:rsidP="00484C8D">
      <w:pPr>
        <w:pStyle w:val="NormalHanging12a"/>
        <w:rPr>
          <w:szCs w:val="24"/>
        </w:rPr>
      </w:pPr>
      <w:r w:rsidRPr="00B23A54">
        <w:t>1.</w:t>
      </w:r>
      <w:r w:rsidRPr="00B23A54">
        <w:tab/>
        <w:t>Aprova o relatório anual relativo a 2023 apresentado pel</w:t>
      </w:r>
      <w:r w:rsidR="00774B9B">
        <w:t>a</w:t>
      </w:r>
      <w:r w:rsidRPr="00B23A54">
        <w:t xml:space="preserve"> Provedor</w:t>
      </w:r>
      <w:r w:rsidR="00774B9B">
        <w:t>a</w:t>
      </w:r>
      <w:r w:rsidRPr="00B23A54">
        <w:t xml:space="preserve"> de Justiça Europe</w:t>
      </w:r>
      <w:r w:rsidR="00BC0870">
        <w:t>ia</w:t>
      </w:r>
      <w:r w:rsidRPr="00B23A54">
        <w:t xml:space="preserve"> e louva a excelente apresentação dos factos e números mais importantes relativos à sua atividade em 2023;</w:t>
      </w:r>
    </w:p>
    <w:p w14:paraId="1275D6CE" w14:textId="77777777" w:rsidR="00484C8D" w:rsidRPr="00B23A54" w:rsidRDefault="00484C8D" w:rsidP="00484C8D">
      <w:pPr>
        <w:pStyle w:val="NormalHanging12a"/>
        <w:rPr>
          <w:szCs w:val="24"/>
        </w:rPr>
      </w:pPr>
      <w:r w:rsidRPr="00B23A54">
        <w:t>2.</w:t>
      </w:r>
      <w:r w:rsidRPr="00B23A54">
        <w:tab/>
        <w:t>Felicita Emily O’Reilly pelo seu notável trabalho e pelos seus esforços incansáveis para apoiar a democracia, reforçando a responsabilização e a transparência das instituições, órgãos e organismos da UE, e para assegurar que a administração da UE responda às preocupações dos cidadãos;</w:t>
      </w:r>
    </w:p>
    <w:p w14:paraId="4DBE4D2A" w14:textId="42223EEF" w:rsidR="00484C8D" w:rsidRPr="00B23A54" w:rsidRDefault="00484C8D" w:rsidP="00484C8D">
      <w:pPr>
        <w:pStyle w:val="NormalHanging12a"/>
      </w:pPr>
      <w:r w:rsidRPr="00B23A54">
        <w:t>3.</w:t>
      </w:r>
      <w:r w:rsidRPr="00B23A54">
        <w:tab/>
        <w:t xml:space="preserve">Manifesta apreço pela cooperação construtiva entre </w:t>
      </w:r>
      <w:r w:rsidR="005F1BC1">
        <w:t>a</w:t>
      </w:r>
      <w:r w:rsidRPr="00B23A54">
        <w:t xml:space="preserve"> Provedor</w:t>
      </w:r>
      <w:r w:rsidR="005F1BC1">
        <w:t>a</w:t>
      </w:r>
      <w:r w:rsidRPr="00B23A54">
        <w:t xml:space="preserve"> de Justiça Europe</w:t>
      </w:r>
      <w:r w:rsidR="005F1BC1">
        <w:t>ia</w:t>
      </w:r>
      <w:r w:rsidRPr="00B23A54">
        <w:t xml:space="preserve"> e o </w:t>
      </w:r>
      <w:r w:rsidRPr="00B23A54">
        <w:lastRenderedPageBreak/>
        <w:t>Parlamento Europeu, em particular com a Comissão das Petições, assim como com outras instituições da UE;</w:t>
      </w:r>
    </w:p>
    <w:p w14:paraId="18A3242B" w14:textId="36D52A25" w:rsidR="00484C8D" w:rsidRPr="00B23A54" w:rsidRDefault="00484C8D" w:rsidP="00484C8D">
      <w:pPr>
        <w:pStyle w:val="NormalHanging12a"/>
      </w:pPr>
      <w:r w:rsidRPr="00B23A54">
        <w:t>4.</w:t>
      </w:r>
      <w:r w:rsidRPr="00B23A54">
        <w:tab/>
        <w:t>Congratula</w:t>
      </w:r>
      <w:r w:rsidRPr="00B23A54">
        <w:noBreakHyphen/>
        <w:t>se com a publicação pel</w:t>
      </w:r>
      <w:r w:rsidR="00BC0870">
        <w:t>a</w:t>
      </w:r>
      <w:r w:rsidRPr="00B23A54">
        <w:t xml:space="preserve"> Provedor</w:t>
      </w:r>
      <w:r w:rsidR="00BC0870">
        <w:t>a</w:t>
      </w:r>
      <w:r w:rsidRPr="00B23A54">
        <w:t xml:space="preserve"> de Justiça de um guia para aceder aos documentos da UE, que visa sensibilizar os cidadãos para o seu direito de acesso a documentos e permitir</w:t>
      </w:r>
      <w:r w:rsidRPr="00B23A54">
        <w:noBreakHyphen/>
        <w:t>lhes examinar o processo decisório da União; considera que é essencial continuar a prestar informações adequadas aos cidadãos sobre o papel e o âmbito das atividades do Provedor de Justiça e a sua influência no desenvolvimento das instituições da UE;</w:t>
      </w:r>
    </w:p>
    <w:p w14:paraId="45AF4C47" w14:textId="6B8ABD47" w:rsidR="00484C8D" w:rsidRPr="00B23A54" w:rsidRDefault="00484C8D" w:rsidP="00484C8D">
      <w:pPr>
        <w:pStyle w:val="NormalHanging12a"/>
        <w:rPr>
          <w:szCs w:val="24"/>
        </w:rPr>
      </w:pPr>
      <w:r w:rsidRPr="00B23A54">
        <w:t>5.</w:t>
      </w:r>
      <w:r w:rsidRPr="00B23A54">
        <w:tab/>
        <w:t>Congratula</w:t>
      </w:r>
      <w:r w:rsidRPr="00B23A54">
        <w:noBreakHyphen/>
        <w:t>se com as recomendações formuladas na sequência do inquérito de iniciativa própria d</w:t>
      </w:r>
      <w:r w:rsidR="00BC0870">
        <w:t>a</w:t>
      </w:r>
      <w:r w:rsidRPr="00B23A54">
        <w:t xml:space="preserve"> Provedor</w:t>
      </w:r>
      <w:r w:rsidR="00BC0870">
        <w:t>a</w:t>
      </w:r>
      <w:r w:rsidRPr="00B23A54">
        <w:t xml:space="preserve"> de Justiça sobre o tempo que a Comissão Europeia demora a tratar os pedidos de acesso do público a documentos;</w:t>
      </w:r>
      <w:r w:rsidRPr="00B23A54">
        <w:rPr>
          <w:b/>
          <w:i/>
          <w:shd w:val="clear" w:color="auto" w:fill="FFFFFF"/>
        </w:rPr>
        <w:t xml:space="preserve"> </w:t>
      </w:r>
      <w:r w:rsidRPr="00B23A54">
        <w:t>insta a Comissão a melhorar a forma como trata esses pedidos, a resolver os seus atrasos sistémicos com caráter de urgência e a respeitar os prazos estabelecidos no Regulamento (CE) n.º 1049/2001 relativo ao acesso do público aos documentos do Parlamento Europeu, do Conselho e da Comissão; partilha a opinião d</w:t>
      </w:r>
      <w:r w:rsidR="00BC0870">
        <w:t>a</w:t>
      </w:r>
      <w:r w:rsidRPr="00B23A54">
        <w:t xml:space="preserve"> Provedor</w:t>
      </w:r>
      <w:r w:rsidR="00BC0870">
        <w:t>a</w:t>
      </w:r>
      <w:r w:rsidRPr="00B23A54">
        <w:t xml:space="preserve"> de Justiça de que os documentos e informações solicitados são frequentemente sensíveis ao fator tempo e podem perder relevância para os requerentes se ocorrerem atrasos; considera que a Comissão deve publicar documentos e estatísticas sobre a forma como trata os pedidos de acesso a documentos de maneira pró</w:t>
      </w:r>
      <w:r w:rsidRPr="00B23A54">
        <w:noBreakHyphen/>
        <w:t>ativa, uma vez que essas informações são fundamentais para melhorar a transparência nesta matéria e reforçar a responsabilização da Comissão perante os cidadãos; sublinha que a transparência do processo de tomada de decisões tem sido o tema central de muitos inquéritos d</w:t>
      </w:r>
      <w:r w:rsidR="00BC0870">
        <w:t>a</w:t>
      </w:r>
      <w:r w:rsidRPr="00B23A54">
        <w:t xml:space="preserve"> Provedor</w:t>
      </w:r>
      <w:r w:rsidR="00BC0870">
        <w:t>a</w:t>
      </w:r>
      <w:r w:rsidRPr="00B23A54">
        <w:t xml:space="preserve"> de Justiça, em particular no que diz respeito às atividades de lóbi;</w:t>
      </w:r>
    </w:p>
    <w:p w14:paraId="710E24A5" w14:textId="5344FD79" w:rsidR="00484C8D" w:rsidRPr="00B23A54" w:rsidRDefault="00484C8D" w:rsidP="00484C8D">
      <w:pPr>
        <w:pStyle w:val="NormalHanging12a"/>
        <w:rPr>
          <w:szCs w:val="24"/>
        </w:rPr>
      </w:pPr>
      <w:r w:rsidRPr="00B23A54">
        <w:t>6.</w:t>
      </w:r>
      <w:r w:rsidRPr="00B23A54">
        <w:rPr>
          <w:b/>
          <w:i/>
        </w:rPr>
        <w:tab/>
      </w:r>
      <w:r w:rsidRPr="00B23A54">
        <w:t>Sublinha que o acesso do público aos documentos é um direito fundamental dos cidadãos da UE e uma das bases da democracia europeia; recorda que a evolução tecnológica e social desde a adoção do Regulamento (CE) n.º 1049/2001 exige o seu alinhamento pelo novo contexto digital; reconhece, a este respeito, a necessidade de rever este regulamento e insta o Conselho a encetar negociações construtivas com o Parlamento e a Comissão sobre a sua revisão, a fim de que estas três principais instituições da UE sejam modelos de transparência e responsabilização pública para toda a União Europeia; está firmemente convicto de que quaisquer negociações sobre a revisão do Regulamento (CE) n.º 1049/2001 devem basear</w:t>
      </w:r>
      <w:r w:rsidRPr="00B23A54">
        <w:noBreakHyphen/>
        <w:t>se na posição já adotada pelo Parlamento e que o seu âmbito de aplicação deve ser alargado a todas as instituições, órgãos e organismos da UE, reforçando assim a responsabilização do processo de tomada de decisões; recorda, neste contexto, a posição do Parlamento segundo a qual por «documento» deve entender</w:t>
      </w:r>
      <w:r w:rsidRPr="00B23A54">
        <w:noBreakHyphen/>
        <w:t>se qualquer conteúdo de dados, seja qual for o seu suporte (escrito em papel ou armazenado em formato eletrónico ou sob a forma de registo sonoro, visual ou audiovisual), relativo a uma matéria da competência de uma instituição, órgão ou organismo da União</w:t>
      </w:r>
      <w:r w:rsidRPr="00B23A54">
        <w:rPr>
          <w:szCs w:val="24"/>
          <w:vertAlign w:val="superscript"/>
        </w:rPr>
        <w:footnoteReference w:id="4"/>
      </w:r>
      <w:r w:rsidRPr="00B23A54">
        <w:t xml:space="preserve">; frisa que é essencial que as instituições sejam transparentes nas suas relações com os cidadãos, tal como também reconhecido pela </w:t>
      </w:r>
      <w:r w:rsidR="00BC0870">
        <w:t>P</w:t>
      </w:r>
      <w:r w:rsidRPr="00B23A54">
        <w:t xml:space="preserve">rovedora de Justiça no seu inquérito sobre a transparência dos </w:t>
      </w:r>
      <w:r w:rsidRPr="00B23A54">
        <w:lastRenderedPageBreak/>
        <w:t>trílogos</w:t>
      </w:r>
      <w:r w:rsidRPr="00B23A54">
        <w:rPr>
          <w:rStyle w:val="FootnoteReference"/>
          <w:iCs/>
        </w:rPr>
        <w:footnoteReference w:id="5"/>
      </w:r>
      <w:r w:rsidRPr="00B23A54">
        <w:t xml:space="preserve">, no qual a </w:t>
      </w:r>
      <w:r w:rsidR="00BC0870">
        <w:t>P</w:t>
      </w:r>
      <w:r w:rsidRPr="00B23A54">
        <w:t xml:space="preserve">rovedora de Justiça manifestou a sua compreensão relativamente aos desafios e sensibilidades específicos no âmbito do sistema de negociações interinstitucionais da UE, mas convidou as instituições a envidarem esforços para superar esses desafios, por forma a permitir aos cidadãos o exercício efetivo dos seus direitos democráticos; </w:t>
      </w:r>
    </w:p>
    <w:p w14:paraId="46A0BA83" w14:textId="21B09723" w:rsidR="00484C8D" w:rsidRPr="00B23A54" w:rsidRDefault="00484C8D" w:rsidP="00484C8D">
      <w:pPr>
        <w:pStyle w:val="NormalHanging12a"/>
        <w:rPr>
          <w:szCs w:val="24"/>
        </w:rPr>
      </w:pPr>
      <w:r w:rsidRPr="00B23A54">
        <w:t>7.</w:t>
      </w:r>
      <w:r w:rsidRPr="00B23A54">
        <w:tab/>
        <w:t>Subscreve as conclusões do relatório especial d</w:t>
      </w:r>
      <w:r w:rsidR="00BC0870">
        <w:t>a</w:t>
      </w:r>
      <w:r w:rsidRPr="00B23A54">
        <w:t xml:space="preserve"> Provedor</w:t>
      </w:r>
      <w:r w:rsidR="00BC0870">
        <w:t>a</w:t>
      </w:r>
      <w:r w:rsidRPr="00B23A54">
        <w:t xml:space="preserve"> de Justiça</w:t>
      </w:r>
      <w:r w:rsidRPr="00B23A54">
        <w:rPr>
          <w:rStyle w:val="FootnoteReference"/>
        </w:rPr>
        <w:footnoteReference w:id="6"/>
      </w:r>
      <w:r w:rsidRPr="00B23A54">
        <w:t xml:space="preserve"> ao Parlamento Europeu sobre o tempo que a Comissão Europeia demora a tratar os pedidos de acesso do público a documentos e manifesta preocupação com a avaliação d</w:t>
      </w:r>
      <w:r w:rsidR="00BC0870">
        <w:t>a</w:t>
      </w:r>
      <w:r w:rsidRPr="00B23A54">
        <w:t xml:space="preserve"> Provedor</w:t>
      </w:r>
      <w:r w:rsidR="00BC0870">
        <w:t>a</w:t>
      </w:r>
      <w:r w:rsidRPr="00B23A54">
        <w:t xml:space="preserve"> de Justiça, segundo a qual estes atrasos sistémicos e significativos no tratamento dos pedidos de acesso do público a documentos pela Comissão constituem má administração; frisa a importância de a Comissão dedicar mais recursos ao processamento dos pedidos confirmativos ao abrigo do Regulamento (CE) n.º 1049/2001, bem como a necessidade de uma transparência mais pró</w:t>
      </w:r>
      <w:r w:rsidRPr="00B23A54">
        <w:noBreakHyphen/>
        <w:t xml:space="preserve">ativa e de uma abordagem mais construtiva em relação aos requerentes; </w:t>
      </w:r>
      <w:r w:rsidRPr="00B23A54">
        <w:rPr>
          <w:shd w:val="clear" w:color="auto" w:fill="FFFFFF"/>
        </w:rPr>
        <w:t>exorta a Comissão a corrigir esta situação com caráter prioritário, reformando a sua gestão do acesso do público aos documentos;</w:t>
      </w:r>
      <w:r w:rsidRPr="00B23A54">
        <w:rPr>
          <w:b/>
          <w:i/>
          <w:color w:val="000000"/>
          <w:shd w:val="clear" w:color="auto" w:fill="FFFFFF"/>
        </w:rPr>
        <w:t xml:space="preserve"> </w:t>
      </w:r>
      <w:r w:rsidRPr="00B23A54">
        <w:t xml:space="preserve">recorda o direito do Parlamento de intentar uma ação contra a Comissão junto do Tribunal de Justiça da União Europeia (TJUE) e espera um compromisso claro e inequívoco por parte do novo Colégio de Comissários para corrigir esta situação; </w:t>
      </w:r>
    </w:p>
    <w:p w14:paraId="1F201513" w14:textId="193EA49A" w:rsidR="00484C8D" w:rsidRPr="00B23A54" w:rsidRDefault="00484C8D" w:rsidP="00484C8D">
      <w:pPr>
        <w:pStyle w:val="NormalHanging12a"/>
        <w:rPr>
          <w:szCs w:val="24"/>
        </w:rPr>
      </w:pPr>
      <w:r w:rsidRPr="00B23A54">
        <w:t>8.</w:t>
      </w:r>
      <w:r w:rsidRPr="00B23A54">
        <w:tab/>
        <w:t>Regista o inquérito d</w:t>
      </w:r>
      <w:r w:rsidR="00BC0870">
        <w:t>a</w:t>
      </w:r>
      <w:r w:rsidRPr="00B23A54">
        <w:t xml:space="preserve"> Provedor</w:t>
      </w:r>
      <w:r w:rsidR="00BC0870">
        <w:t>a</w:t>
      </w:r>
      <w:r w:rsidRPr="00B23A54">
        <w:t xml:space="preserve"> de Justiça sobre a medida em que o Parlamento Europeu, o Conselho da União Europeia e a Comissão Europeia aplicam o direito da UE e as decisões do TJUE quando se trata de pedidos de acesso do público a documentos legislativos, em que </w:t>
      </w:r>
      <w:r w:rsidR="00BC0870">
        <w:t>a</w:t>
      </w:r>
      <w:r w:rsidRPr="00B23A54">
        <w:t xml:space="preserve"> Provedor</w:t>
      </w:r>
      <w:r w:rsidR="00BC0870">
        <w:t>a</w:t>
      </w:r>
      <w:r w:rsidRPr="00B23A54">
        <w:t xml:space="preserve"> de Justiça salientou a necessidade de assegurar o acesso atempado do público aos documentos legislativos e de facilitar a participação dos cidadãos da UE no processo legislativo da UE; reconhece a importância do tratamento atempado dos pedidos de acesso a documentos por todas as instituições, por forma a promover um sentimento de confiança no processo legislativo da UE, que se baseia nos princípios fundamentais da transparência e do acesso do público à informação, tal como confirmado pela jurisprudência do TJUE; recorda que, de acordo com a jurisprudência da UE, as instituições da União só podem recusar a divulgação de documentos legislativos em circunstâncias excecionais e que a sua fundamentação para o fazer se deve basear em factos específicos e tangíveis;</w:t>
      </w:r>
    </w:p>
    <w:p w14:paraId="2CD53971" w14:textId="355846C2" w:rsidR="00484C8D" w:rsidRPr="00B23A54" w:rsidRDefault="00484C8D" w:rsidP="00484C8D">
      <w:pPr>
        <w:pStyle w:val="NormalHanging12a"/>
        <w:rPr>
          <w:szCs w:val="24"/>
        </w:rPr>
      </w:pPr>
      <w:r w:rsidRPr="00B23A54">
        <w:rPr>
          <w:shd w:val="clear" w:color="auto" w:fill="FFFFFF"/>
        </w:rPr>
        <w:t>9.</w:t>
      </w:r>
      <w:r w:rsidRPr="00B23A54">
        <w:rPr>
          <w:b/>
          <w:i/>
          <w:shd w:val="clear" w:color="auto" w:fill="FFFFFF"/>
        </w:rPr>
        <w:tab/>
      </w:r>
      <w:r w:rsidRPr="00B23A54">
        <w:rPr>
          <w:shd w:val="clear" w:color="auto" w:fill="FFFFFF"/>
        </w:rPr>
        <w:t>Assinala a intenção d</w:t>
      </w:r>
      <w:r w:rsidR="00BC0870">
        <w:rPr>
          <w:shd w:val="clear" w:color="auto" w:fill="FFFFFF"/>
        </w:rPr>
        <w:t>a Provedora</w:t>
      </w:r>
      <w:r w:rsidRPr="00B23A54">
        <w:rPr>
          <w:shd w:val="clear" w:color="auto" w:fill="FFFFFF"/>
        </w:rPr>
        <w:t xml:space="preserve"> de Justiça de realizar um inquérito mais amplo sobre a forma como o âmbito das informações ambientais e das informações relacionadas com as emissões para o ambiente é interpretado pela Comissão; </w:t>
      </w:r>
      <w:r w:rsidRPr="00B23A54">
        <w:t xml:space="preserve">manifesta especial preocupação com o facto de </w:t>
      </w:r>
      <w:r w:rsidR="00BC0870">
        <w:t>a Provedora</w:t>
      </w:r>
      <w:r w:rsidRPr="00B23A54">
        <w:t xml:space="preserve"> de Justiça ter detetado má administração na recusa da Comissão em facultar o acesso a documentos relativos às emissões de gases com efeito de estufa da indústria cerâmica, comunicadas no âmbito do Sistema de Comércio de Licenças de Emissão da UE; lamenta que a Comissão tenha rejeitado a solução proposta pel</w:t>
      </w:r>
      <w:r w:rsidR="00BC0870">
        <w:t>a Provedora</w:t>
      </w:r>
      <w:r w:rsidRPr="00B23A54">
        <w:t xml:space="preserve"> de Justiça e não tenha assegurado a transparência necessária, nem dado pleno efeito ao Regulamento (CE) n.º 1367/2006 do Parlamento Europeu e do Conselho, de 6 de Setembro de 2006, relativo à aplicação das disposições da Convenção de Aarhus sobre o acesso à informação, participação do público no processo de tomada de decisão e acesso à justiça em matéria de ambiente às instituições </w:t>
      </w:r>
      <w:r w:rsidRPr="00B23A54">
        <w:lastRenderedPageBreak/>
        <w:t>e órgãos comunitários</w:t>
      </w:r>
      <w:r w:rsidRPr="00B23A54">
        <w:rPr>
          <w:rStyle w:val="FootnoteReference"/>
          <w:bCs/>
          <w:szCs w:val="24"/>
          <w:shd w:val="clear" w:color="auto" w:fill="FFFFFF"/>
        </w:rPr>
        <w:footnoteReference w:id="7"/>
      </w:r>
      <w:r w:rsidRPr="00B23A54">
        <w:t xml:space="preserve"> e à Convenção de Aarhus; insta a Comissão a garantir o acesso do público às informações sobre o ambiente, em conformidade com o direito da UE e a jurisprudência conexa do TJUE, e a promover a participação do público no processo de tomada de decisões em matéria de ambiente;</w:t>
      </w:r>
      <w:r w:rsidRPr="00B23A54">
        <w:rPr>
          <w:shd w:val="clear" w:color="auto" w:fill="FFFFFF"/>
        </w:rPr>
        <w:t xml:space="preserve"> </w:t>
      </w:r>
      <w:r w:rsidRPr="00B23A54">
        <w:t xml:space="preserve">manifesta preocupação pelo facto de a recusa da Comissão em facultar o acesso a todos os documentos solicitados relativos às emissões de gases com efeito de estufa comunicadas no âmbito do Sistema de Comércio de Licenças de Emissão da UE se estender a outras instalações industriais para além da indústria cerâmica e insta </w:t>
      </w:r>
      <w:r w:rsidR="00BC0870">
        <w:t>a Provedora</w:t>
      </w:r>
      <w:r w:rsidRPr="00B23A54">
        <w:t xml:space="preserve"> de Justiça a continuar o seu trabalho de sensibilização para as conclusões das investigações, com vista a aumentar a transparência; recorda que um número considerável de petições ao Parlamento Europeu diz respeito à falta de acesso ou ao acesso limitado à informação ambiental;</w:t>
      </w:r>
    </w:p>
    <w:p w14:paraId="0B097F18" w14:textId="169F45B7" w:rsidR="00484C8D" w:rsidRPr="00B23A54" w:rsidRDefault="00484C8D" w:rsidP="00484C8D">
      <w:pPr>
        <w:pStyle w:val="NormalHanging12a"/>
      </w:pPr>
      <w:r w:rsidRPr="00B23A54">
        <w:t>10.</w:t>
      </w:r>
      <w:r w:rsidRPr="00B23A54">
        <w:tab/>
        <w:t>Exorta o Conselho a permitir o acesso pleno do público ao parecer jurídico sobre a Diretiva (UE) 2022/2041 do Parlamento Europeu e do Conselho de 19 de outubro de 2022</w:t>
      </w:r>
      <w:r w:rsidRPr="00B23A54">
        <w:rPr>
          <w:rStyle w:val="FootnoteReference"/>
          <w:bCs/>
          <w:szCs w:val="24"/>
          <w:shd w:val="clear" w:color="auto" w:fill="FFFFFF"/>
        </w:rPr>
        <w:footnoteReference w:id="8"/>
      </w:r>
      <w:r w:rsidRPr="00B23A54">
        <w:t xml:space="preserve"> relativa a salários mínimos adequados na União Europeia, em conformidade com a recomendação d</w:t>
      </w:r>
      <w:r w:rsidR="00BC0870">
        <w:t>a Provedora</w:t>
      </w:r>
      <w:r w:rsidRPr="00B23A54">
        <w:t xml:space="preserve"> de Justiça, que identificou casos de má administração nesta matéria;</w:t>
      </w:r>
    </w:p>
    <w:p w14:paraId="065D636F" w14:textId="406B838A" w:rsidR="00484C8D" w:rsidRPr="00B23A54" w:rsidRDefault="00484C8D" w:rsidP="00484C8D">
      <w:pPr>
        <w:pStyle w:val="NormalHanging12a"/>
        <w:rPr>
          <w:szCs w:val="24"/>
        </w:rPr>
      </w:pPr>
      <w:r w:rsidRPr="00B23A54">
        <w:t>11.</w:t>
      </w:r>
      <w:r w:rsidRPr="00B23A54">
        <w:rPr>
          <w:b/>
          <w:i/>
        </w:rPr>
        <w:tab/>
      </w:r>
      <w:r w:rsidRPr="00B23A54">
        <w:t xml:space="preserve">Apoia </w:t>
      </w:r>
      <w:r w:rsidR="00BC0870">
        <w:t>a Provedora</w:t>
      </w:r>
      <w:r w:rsidRPr="00B23A54">
        <w:t xml:space="preserve"> de Justiça nos seus esforços no sentido de continuar a contribuir para a clarificação do que constitui um documento da UE e salienta que as instituições da UE devem seguir as recomendações d</w:t>
      </w:r>
      <w:r w:rsidR="00BC0870">
        <w:t>a Provedora</w:t>
      </w:r>
      <w:r w:rsidRPr="00B23A54">
        <w:t xml:space="preserve"> de Justiça, a fim de adaptar as suas práticas administrativas tendo em conta a evolução dos meios de comunicação; sublinha que o direito dos cidadãos ao acesso público à informação se aplica aos documentos escritos físicos e eletrónicos, bem como às gravações áudio e audiovisuais relacionadas com as políticas, atividades e decisões das instituições da UE, e recorda que as mensagens de texto e as mensagens instantâneas relacionadas com o trabalho são consideradas «documentos» nos termos do Regulamento </w:t>
      </w:r>
      <w:r w:rsidR="002D2C43">
        <w:t xml:space="preserve">(CE) </w:t>
      </w:r>
      <w:r w:rsidRPr="00B23A54">
        <w:t>n.º 1049/2001; lamenta os casos em que a Comissão não concedeu acesso público a documentos sob a forma de mensagens de correio eletrónico ou mensagens de texto, como os relativos aos projetos de estratégias da UE em matéria de solos, florestas e adaptação às alterações climáticas, ou aos intercâmbios entre a presidente da Comissão e o diretor executivo de uma empresa farmacêutica no que diz respeito à aquisição de vacinas contra a COVID</w:t>
      </w:r>
      <w:r w:rsidRPr="00B23A54">
        <w:noBreakHyphen/>
        <w:t xml:space="preserve">19; </w:t>
      </w:r>
    </w:p>
    <w:p w14:paraId="47BC5724" w14:textId="21A20719" w:rsidR="00484C8D" w:rsidRPr="00B23A54" w:rsidRDefault="00484C8D" w:rsidP="00484C8D">
      <w:pPr>
        <w:pStyle w:val="NormalHanging12a"/>
      </w:pPr>
      <w:r w:rsidRPr="00B23A54">
        <w:t>12.</w:t>
      </w:r>
      <w:r w:rsidRPr="00B23A54">
        <w:tab/>
        <w:t>Saúda o compromisso d</w:t>
      </w:r>
      <w:r w:rsidR="00BC0870">
        <w:t>a Provedora</w:t>
      </w:r>
      <w:r w:rsidRPr="00B23A54">
        <w:t xml:space="preserve"> de Justiça de defender os direitos fundamentais nas ações relacionadas com a migração; observa que </w:t>
      </w:r>
      <w:r w:rsidR="00BC0870">
        <w:t>a Provedora</w:t>
      </w:r>
      <w:r w:rsidRPr="00B23A54">
        <w:t xml:space="preserve"> de Justiça solicitou mais esclarecimentos à Comissão sobre a forma como tenciona garantir o respeito pelos direitos humanos no contexto do Memorando de Entendimento entre a UE e a Tunísia, num esforço para assegurar que a UE cumpre as suas obrigações em matéria de direitos humanos; salienta que todas as instituições, órgãos e organismos da UE têm a obrigação de respeitar os direitos humanos e as liberdades fundamentais, tal como previsto nos Tratados e na Carta;</w:t>
      </w:r>
    </w:p>
    <w:p w14:paraId="1F67D44D" w14:textId="2DF2522D" w:rsidR="00484C8D" w:rsidRPr="00B23A54" w:rsidRDefault="00484C8D" w:rsidP="00484C8D">
      <w:pPr>
        <w:pStyle w:val="NormalHanging12a"/>
      </w:pPr>
      <w:r w:rsidRPr="00B23A54">
        <w:t>13.</w:t>
      </w:r>
      <w:r w:rsidRPr="00B23A54">
        <w:tab/>
        <w:t>Assinala a decisão da Comissão de trabalhar com as autoridades nacionais e locais para elaborar uma avaliação de impacto em matéria de direitos fundamentais de instalações de gestão da migração financiadas pela UE, na sequência de um inquérito relevante de iniciativa própria d</w:t>
      </w:r>
      <w:r w:rsidR="00BC0870">
        <w:t>a Provedora</w:t>
      </w:r>
      <w:r w:rsidRPr="00B23A54">
        <w:t xml:space="preserve"> de Justiça; </w:t>
      </w:r>
    </w:p>
    <w:p w14:paraId="6D4847BD" w14:textId="3D3A352F" w:rsidR="00484C8D" w:rsidRPr="00B23A54" w:rsidRDefault="00484C8D" w:rsidP="00484C8D">
      <w:pPr>
        <w:pStyle w:val="NormalHanging12a"/>
        <w:rPr>
          <w:szCs w:val="24"/>
        </w:rPr>
      </w:pPr>
      <w:r w:rsidRPr="00B23A54">
        <w:t>14.</w:t>
      </w:r>
      <w:r w:rsidRPr="00B23A54">
        <w:rPr>
          <w:b/>
          <w:i/>
        </w:rPr>
        <w:tab/>
      </w:r>
      <w:r w:rsidRPr="00B23A54">
        <w:t>Congratula</w:t>
      </w:r>
      <w:r w:rsidRPr="00B23A54">
        <w:noBreakHyphen/>
        <w:t>se com os inquéritos d</w:t>
      </w:r>
      <w:r w:rsidR="00BC0870">
        <w:t>a Provedora</w:t>
      </w:r>
      <w:r w:rsidRPr="00B23A54">
        <w:t xml:space="preserve"> de Justiça na sequência do escândalo </w:t>
      </w:r>
      <w:r w:rsidRPr="00B23A54">
        <w:lastRenderedPageBreak/>
        <w:t>Qatargate no Parlamento Europeu; apoia firmemente as conclusões d</w:t>
      </w:r>
      <w:r w:rsidR="00BC0870">
        <w:t>a Provedora</w:t>
      </w:r>
      <w:r w:rsidRPr="00B23A54">
        <w:t xml:space="preserve"> de Justiça de que as normas éticas e de luta contra a corrupção da UE têm de ser respeitadas e reforçadas pelas instituições da União e de que a implementação pelo Parlamento das reformas neste domínio deve ser devidamente acompanhada e aplicada a todos os níveis; destaca a necessidade de o Parlamento e a Comissão prestarem sempre especial atenção às atividades diretas e indiretas de grupos de interesse, a fim de identificar lacunas e insuficiências que possam comprometer a transparência e a responsabilização e aumentar o risco de potenciais conflitos de interesses; congratula</w:t>
      </w:r>
      <w:r w:rsidRPr="00B23A54">
        <w:noBreakHyphen/>
        <w:t xml:space="preserve">se com os progressos significativos realizados no atual Código de Conduta dos Deputados ao Parlamento Europeu em matéria de integridade e transparência e incentiva </w:t>
      </w:r>
      <w:r w:rsidR="00BC0870">
        <w:t>a Provedora</w:t>
      </w:r>
      <w:r w:rsidRPr="00B23A54">
        <w:t xml:space="preserve"> de Justiça a continuar, se for caso disso, a acompanhar o respetivo processo de aplicação; sublinha que as normas éticas devem ser seguidas rigorosamente, a fim de reforçar a confiança dos cidadãos nas instituições europeias;</w:t>
      </w:r>
    </w:p>
    <w:p w14:paraId="08F51F97" w14:textId="77777777" w:rsidR="00484C8D" w:rsidRPr="00B23A54" w:rsidRDefault="00484C8D" w:rsidP="00484C8D">
      <w:pPr>
        <w:pStyle w:val="NormalHanging12a"/>
        <w:rPr>
          <w:szCs w:val="24"/>
        </w:rPr>
      </w:pPr>
      <w:r w:rsidRPr="00B23A54">
        <w:t>15.</w:t>
      </w:r>
      <w:r w:rsidRPr="00B23A54">
        <w:tab/>
        <w:t>Salienta o papel fundamental da transparência, da boa administração e do equilíbrio institucional dos poderes no trabalho das instituições da UE;</w:t>
      </w:r>
    </w:p>
    <w:p w14:paraId="3EC99622" w14:textId="78957C07" w:rsidR="00484C8D" w:rsidRPr="00B23A54" w:rsidRDefault="00484C8D" w:rsidP="00484C8D">
      <w:pPr>
        <w:pStyle w:val="NormalHanging12a"/>
        <w:rPr>
          <w:szCs w:val="24"/>
        </w:rPr>
      </w:pPr>
      <w:r w:rsidRPr="00B23A54">
        <w:t>16.</w:t>
      </w:r>
      <w:r w:rsidRPr="00B23A54">
        <w:tab/>
        <w:t>Toma nota das investigações d</w:t>
      </w:r>
      <w:r w:rsidR="00BC0870">
        <w:t>a Provedora</w:t>
      </w:r>
      <w:r w:rsidRPr="00B23A54">
        <w:t xml:space="preserve"> de Justiça sobre os riscos de conflitos de interesses na Comissão, especialmente no domínio do Fundo Europeu de Defesa (FED), notadamente o facto de a Comissão não ser obrigada a tornar públicos os nomes dos peritos que consulta sobre projetos relacionados com o FED; neste contexto, chama a atenção para a sugestão d</w:t>
      </w:r>
      <w:r w:rsidR="00BC0870">
        <w:t>a Provedora</w:t>
      </w:r>
      <w:r w:rsidRPr="00B23A54">
        <w:t xml:space="preserve"> de Justiça de que a Comissão deve publicar de forma pró</w:t>
      </w:r>
      <w:r w:rsidRPr="00B23A54">
        <w:noBreakHyphen/>
        <w:t xml:space="preserve">ativa as declarações de interesses dos membros do Comité de Controlo da Regulamentação e, se necessário, alterar as regras pertinentes que regem o Comité; </w:t>
      </w:r>
    </w:p>
    <w:p w14:paraId="56916B9E" w14:textId="1021C9BA" w:rsidR="00484C8D" w:rsidRPr="00B23A54" w:rsidRDefault="00484C8D" w:rsidP="00484C8D">
      <w:pPr>
        <w:pStyle w:val="NormalHanging12a"/>
      </w:pPr>
      <w:r w:rsidRPr="00B23A54">
        <w:t>17.</w:t>
      </w:r>
      <w:r w:rsidRPr="00B23A54">
        <w:tab/>
        <w:t>Toma nota do apelo d</w:t>
      </w:r>
      <w:r w:rsidR="00BC0870">
        <w:t>a Provedora</w:t>
      </w:r>
      <w:r w:rsidRPr="00B23A54">
        <w:t xml:space="preserve"> de Justiça ao Banco Europeu de Investimento (BEI) para que melhore as suas normas em matéria de conflitos de interesses e reforce o papel de supervisão do seu Comité de Ética e Conformidade, na sequência da saída de um dos seus vice</w:t>
      </w:r>
      <w:r w:rsidRPr="00B23A54">
        <w:noBreakHyphen/>
        <w:t xml:space="preserve">presidentes para assumir as funções de diretor executivo de um banco de fomento nacional; incentiva, neste contexto, </w:t>
      </w:r>
      <w:r w:rsidR="00BC0870">
        <w:t>a Provedora</w:t>
      </w:r>
      <w:r w:rsidRPr="00B23A54">
        <w:t xml:space="preserve"> de Justiça a continuar a centrar</w:t>
      </w:r>
      <w:r w:rsidRPr="00B23A54">
        <w:noBreakHyphen/>
        <w:t>se na questão dos períodos de incompatibilidade e nos «movimentos de porta giratória» por parte de quadros superiores de todas as instituições, órgãos e organismos da UE, a fim de assegurar os mais elevados padrões éticos de transparência e responsabilização pública;</w:t>
      </w:r>
    </w:p>
    <w:p w14:paraId="23DA815D" w14:textId="7B44A142" w:rsidR="00484C8D" w:rsidRPr="00B23A54" w:rsidRDefault="00484C8D" w:rsidP="00484C8D">
      <w:pPr>
        <w:pStyle w:val="NormalHanging12a"/>
        <w:rPr>
          <w:szCs w:val="24"/>
          <w:shd w:val="clear" w:color="auto" w:fill="FFFFFF"/>
        </w:rPr>
      </w:pPr>
      <w:r w:rsidRPr="00B23A54">
        <w:rPr>
          <w:shd w:val="clear" w:color="auto" w:fill="FFFFFF"/>
        </w:rPr>
        <w:t>18.</w:t>
      </w:r>
      <w:r w:rsidRPr="00B23A54">
        <w:rPr>
          <w:shd w:val="clear" w:color="auto" w:fill="FFFFFF"/>
        </w:rPr>
        <w:tab/>
        <w:t>Regozija</w:t>
      </w:r>
      <w:r w:rsidRPr="00B23A54">
        <w:rPr>
          <w:shd w:val="clear" w:color="auto" w:fill="FFFFFF"/>
        </w:rPr>
        <w:noBreakHyphen/>
        <w:t>se com as alterações da Comissão às suas orientações internas em matéria de contratos públicos, avaliadas de forma positiva pelo inquérito d</w:t>
      </w:r>
      <w:r w:rsidR="00BC0870">
        <w:rPr>
          <w:shd w:val="clear" w:color="auto" w:fill="FFFFFF"/>
        </w:rPr>
        <w:t>a Provedora</w:t>
      </w:r>
      <w:r w:rsidRPr="00B23A54">
        <w:rPr>
          <w:shd w:val="clear" w:color="auto" w:fill="FFFFFF"/>
        </w:rPr>
        <w:t xml:space="preserve"> de Justiça, que melhoram a gestão de potenciais conflitos de interesses profissionais nos concursos públicos;</w:t>
      </w:r>
    </w:p>
    <w:p w14:paraId="10A19505" w14:textId="77777777" w:rsidR="00484C8D" w:rsidRPr="00B23A54" w:rsidRDefault="00484C8D" w:rsidP="00484C8D">
      <w:pPr>
        <w:pStyle w:val="NormalHanging12a"/>
      </w:pPr>
      <w:r w:rsidRPr="00B23A54">
        <w:t>19.</w:t>
      </w:r>
      <w:r w:rsidRPr="00B23A54">
        <w:tab/>
        <w:t>Encoraja a Comissão a intensificar os esforços para aumentar a transparência no que diz respeito ao Mecanismo de Recuperação e Resiliência (MRR) e solicita à Comissão que melhore o tratamento dos pedidos de acesso do público a documentos relacionados com o MRR e continue a publicar apreciações preliminares dos pedidos de pagamento dos Estados‑Membros;</w:t>
      </w:r>
    </w:p>
    <w:p w14:paraId="21DE9831" w14:textId="12EB6621" w:rsidR="00484C8D" w:rsidRPr="00B23A54" w:rsidRDefault="00484C8D" w:rsidP="00484C8D">
      <w:pPr>
        <w:pStyle w:val="NormalHanging12a"/>
        <w:rPr>
          <w:shd w:val="clear" w:color="auto" w:fill="FFFFFF"/>
        </w:rPr>
      </w:pPr>
      <w:r w:rsidRPr="00B23A54">
        <w:t>20.</w:t>
      </w:r>
      <w:r w:rsidRPr="00B23A54">
        <w:tab/>
        <w:t>Congratula</w:t>
      </w:r>
      <w:r w:rsidRPr="00B23A54">
        <w:noBreakHyphen/>
        <w:t>se com a decisão d</w:t>
      </w:r>
      <w:r w:rsidR="00BC0870">
        <w:t>a Provedora</w:t>
      </w:r>
      <w:r w:rsidRPr="00B23A54">
        <w:t xml:space="preserve"> de Justiça de abrir um inquérito de iniciativa própria sobre os atrasos da Comissão relacionados com a gestão de riscos associados a substâncias químicas perigosas, cujo objetivo é examinar os atrasos na introdução de restrições para atenuar os riscos de substâncias químicas específicas e na colocação de substâncias químicas na lista de substâncias cuja utilização está sujeita a autorização </w:t>
      </w:r>
      <w:r w:rsidRPr="00B23A54">
        <w:lastRenderedPageBreak/>
        <w:t>prévia;</w:t>
      </w:r>
    </w:p>
    <w:p w14:paraId="73814C31" w14:textId="6BB9AAEB" w:rsidR="00484C8D" w:rsidRPr="00B23A54" w:rsidRDefault="00484C8D" w:rsidP="00484C8D">
      <w:pPr>
        <w:pStyle w:val="NormalHanging12a"/>
        <w:rPr>
          <w:spacing w:val="2"/>
          <w:szCs w:val="24"/>
          <w:shd w:val="clear" w:color="auto" w:fill="FFFFFF"/>
        </w:rPr>
      </w:pPr>
      <w:r w:rsidRPr="00B23A54">
        <w:rPr>
          <w:shd w:val="clear" w:color="auto" w:fill="FFFFFF"/>
        </w:rPr>
        <w:t>21.</w:t>
      </w:r>
      <w:r w:rsidRPr="00B23A54">
        <w:rPr>
          <w:shd w:val="clear" w:color="auto" w:fill="FFFFFF"/>
        </w:rPr>
        <w:tab/>
        <w:t xml:space="preserve">Manifesta preocupação pelo facto de </w:t>
      </w:r>
      <w:r w:rsidR="00BC0870">
        <w:rPr>
          <w:shd w:val="clear" w:color="auto" w:fill="FFFFFF"/>
        </w:rPr>
        <w:t>a Provedora</w:t>
      </w:r>
      <w:r w:rsidRPr="00B23A54">
        <w:rPr>
          <w:shd w:val="clear" w:color="auto" w:fill="FFFFFF"/>
        </w:rPr>
        <w:t xml:space="preserve"> de Justiça ter identificado vários problemas de transparência nas interações da Comissão com a indústria do tabaco; observa, no entanto, que a Comissão se comprometeu a avaliar mais aprofundadamente a exposição dos seus departamentos às atividades de grupos de interesses da indústria do tabaco;</w:t>
      </w:r>
      <w:r w:rsidRPr="00B23A54">
        <w:rPr>
          <w:color w:val="000000"/>
          <w:shd w:val="clear" w:color="auto" w:fill="FFFFFF"/>
        </w:rPr>
        <w:t xml:space="preserve"> recorda à Comissão que a UE e todos os seus Estados‑Membros são partes na Convenção‑Quadro da Organização Mundial de Saúde para a Luta Antitabaco e que, por conseguinte, ao definirem e aplicarem as suas políticas de saúde pública em matéria de luta antitabaco, são obrigados a tomar medidas para proteger essas políticas dos interesses comerciais e outros interesses particulares da indústria do tabaco;</w:t>
      </w:r>
    </w:p>
    <w:p w14:paraId="4254DD13" w14:textId="4CDEFCA5" w:rsidR="00484C8D" w:rsidRPr="00B23A54" w:rsidRDefault="00484C8D" w:rsidP="00484C8D">
      <w:pPr>
        <w:pStyle w:val="NormalHanging12a"/>
      </w:pPr>
      <w:r w:rsidRPr="00B23A54">
        <w:t>22.</w:t>
      </w:r>
      <w:r w:rsidRPr="00B23A54">
        <w:tab/>
        <w:t xml:space="preserve">Recorda a obrigação imperativa das instituições da UE de assegurar os serviços de funcionários independentes e bem qualificados recrutados de forma aberta e com o devido equilíbrio geográfico entre nacionalidades e línguas; salienta que </w:t>
      </w:r>
      <w:r w:rsidR="00BC0870">
        <w:t>a Provedora</w:t>
      </w:r>
      <w:r w:rsidRPr="00B23A54">
        <w:t xml:space="preserve"> de Justiça realizou um inquérito sobre a forma como o Serviço Europeu de Seleção do Pessoal (EPSO) realizou testes de pré‑seleção no âmbito de um procedimento de recrutamento de pessoal para a função pública da UE e identificou problemas relativos à organização de testes que são realizados exclusivamente à distância; insta o EPSO a melhorar os seus procedimentos de recrutamento, assegurando que os requisitos técnicos não prejudiquem determinados candidatos, e a fornecer informações claras aos candidatos; considera que deve ser dada aos candidatos a possibilidade, se assim o entenderem, de participar nestas provas de forma presencial num centro de testes, como era prática comum antes da pandemia de COVID</w:t>
      </w:r>
      <w:r w:rsidRPr="00B23A54">
        <w:noBreakHyphen/>
        <w:t>19;</w:t>
      </w:r>
    </w:p>
    <w:p w14:paraId="4CB203AF" w14:textId="218F28C6" w:rsidR="00484C8D" w:rsidRPr="00B23A54" w:rsidRDefault="00484C8D" w:rsidP="00484C8D">
      <w:pPr>
        <w:pStyle w:val="NormalHanging12a"/>
      </w:pPr>
      <w:r w:rsidRPr="00B23A54">
        <w:t>23.</w:t>
      </w:r>
      <w:r w:rsidRPr="00B23A54">
        <w:tab/>
        <w:t>Congratula</w:t>
      </w:r>
      <w:r w:rsidRPr="00B23A54">
        <w:noBreakHyphen/>
        <w:t>se com o facto de, em 2023, o</w:t>
      </w:r>
      <w:r w:rsidR="00BC0870">
        <w:t xml:space="preserve"> Gabinete do</w:t>
      </w:r>
      <w:r w:rsidRPr="00B23A54">
        <w:t xml:space="preserve"> Provedor de Justiça Europeu ter continuado a divulgar o seu papel e a promover o seu trabalho junto de um público tão vasto quanto possível, tendo participado no Encontro Europeu da Juventude (EYE2023); salienta a importância do debate organizado pel</w:t>
      </w:r>
      <w:r w:rsidR="00EA7321">
        <w:t>a Provedora</w:t>
      </w:r>
      <w:r w:rsidRPr="00B23A54">
        <w:t xml:space="preserve"> de Justiça, com a participação da Comissão e do Parlamento, sobre o cumprimento do quadro de integridade da administração da UE;</w:t>
      </w:r>
    </w:p>
    <w:p w14:paraId="64442BFC" w14:textId="6C6AB2D6" w:rsidR="00484C8D" w:rsidRPr="00B23A54" w:rsidRDefault="00484C8D" w:rsidP="00484C8D">
      <w:pPr>
        <w:pStyle w:val="NormalHanging12a"/>
      </w:pPr>
      <w:r w:rsidRPr="00B23A54">
        <w:t>24.</w:t>
      </w:r>
      <w:r w:rsidRPr="00B23A54">
        <w:tab/>
        <w:t>Regozija</w:t>
      </w:r>
      <w:r w:rsidRPr="00B23A54">
        <w:noBreakHyphen/>
        <w:t>se com os inquéritos conduzidos pel</w:t>
      </w:r>
      <w:r w:rsidR="00EA7321">
        <w:t>a Provedora</w:t>
      </w:r>
      <w:r w:rsidRPr="00B23A54">
        <w:t xml:space="preserve"> de Justiça na sequência de queixas apresentadas por pessoas com deficiência e encoraja o seu trabalho enquanto membro do quadro da UE no âmbito da CNUDPD; salienta a importância do compromisso d</w:t>
      </w:r>
      <w:r w:rsidR="00EA7321">
        <w:t>a Provedora</w:t>
      </w:r>
      <w:r w:rsidRPr="00B23A54">
        <w:t xml:space="preserve"> de Justiça no sentido de acompanhar a aplicação pela administração da UE da CNUDPD e insta todas as instituições da UE a prestarem a máxima atenção às recomendações d</w:t>
      </w:r>
      <w:r w:rsidR="00EA7321">
        <w:t>a Provedora</w:t>
      </w:r>
      <w:r w:rsidRPr="00B23A54">
        <w:t xml:space="preserve"> de Justiça nos inquéritos relacionados com os direitos das pessoas com deficiência; regista com apreço a presidência da Provedora de Justiça, em 2023, do quadro da UE no âmbito da CNUDPD e o seu trabalho contínuo enquanto membro desse quadro;</w:t>
      </w:r>
    </w:p>
    <w:p w14:paraId="26585377" w14:textId="545BAD42" w:rsidR="00484C8D" w:rsidRPr="00B23A54" w:rsidRDefault="00484C8D" w:rsidP="00484C8D">
      <w:pPr>
        <w:pStyle w:val="NormalHanging12a"/>
      </w:pPr>
      <w:r w:rsidRPr="00B23A54">
        <w:t>25.</w:t>
      </w:r>
      <w:r w:rsidRPr="00B23A54">
        <w:tab/>
        <w:t>Salienta que a Diretiva Acessibilidade</w:t>
      </w:r>
      <w:r w:rsidRPr="00B23A54">
        <w:rPr>
          <w:vertAlign w:val="superscript"/>
        </w:rPr>
        <w:footnoteReference w:id="9"/>
      </w:r>
      <w:r w:rsidRPr="00B23A54">
        <w:t xml:space="preserve"> foi adotada em 17 de abril de 2019 e que o prazo nela estabelecido para a sua transposição pelos Estados</w:t>
      </w:r>
      <w:r w:rsidRPr="00B23A54">
        <w:noBreakHyphen/>
        <w:t xml:space="preserve">Membros era 28 de junho de 2022; sublinha que o principal âmbito de aplicação da Diretiva Acessibilidade consistia em simplificar a vida de, pelo menos, 87 milhões de pessoas com deficiência, facilitando o seu acesso, nomeadamente, aos transportes públicos, aos serviços </w:t>
      </w:r>
      <w:r w:rsidRPr="00B23A54">
        <w:lastRenderedPageBreak/>
        <w:t>bancários, aos computadores, aos televisores, aos livros eletrónicos e às lojas em linha; lamenta profundamente que todos os Estados</w:t>
      </w:r>
      <w:r w:rsidRPr="00B23A54">
        <w:noBreakHyphen/>
        <w:t xml:space="preserve">Membros continuem a não assegurar a sua transposição plena e coerente e acumulem atrasos, tal como confirmado pelos processos por infração em curso instaurados contra todos eles pela Comissão; insta </w:t>
      </w:r>
      <w:r w:rsidR="00EA7321">
        <w:t>a Provedora</w:t>
      </w:r>
      <w:r w:rsidRPr="00B23A54">
        <w:t xml:space="preserve"> de Justiça a invocar esta violação muito grave do direito da UE, que prejudica gravemente os direitos das pessoas com deficiência, no âmbito das atividades globais realizadas no quadro da UE para a CDPD da ONU, a fim de ajudar a resolver esta questão com caráter prioritário;</w:t>
      </w:r>
    </w:p>
    <w:p w14:paraId="2586CBCE" w14:textId="5C129E02" w:rsidR="00484C8D" w:rsidRPr="00B23A54" w:rsidRDefault="00484C8D" w:rsidP="00484C8D">
      <w:pPr>
        <w:pStyle w:val="NormalHanging12a"/>
      </w:pPr>
      <w:r w:rsidRPr="00B23A54">
        <w:t>26.</w:t>
      </w:r>
      <w:r w:rsidRPr="00B23A54">
        <w:tab/>
        <w:t>Acolhe favoravelmente o inquérito d</w:t>
      </w:r>
      <w:r w:rsidR="00EA7321">
        <w:t>a Provedora</w:t>
      </w:r>
      <w:r w:rsidRPr="00B23A54">
        <w:t xml:space="preserve"> de Justiça sobre a forma como a Comissão aplica a regra do Estatuto dos Funcionários da UE relativa à duplicação do abono por filho a cargo para prestar assistência a crianças com deficiência; congratula</w:t>
      </w:r>
      <w:r w:rsidRPr="00B23A54">
        <w:noBreakHyphen/>
        <w:t>se, neste contexto, com a iniciativa da Comissão de proceder a uma revisão das regras aplicáveis por toda a administração da UE, a fim de assegurar uma avaliação individual substantiva de todos os pedidos relativos a este tipo de abono;</w:t>
      </w:r>
    </w:p>
    <w:p w14:paraId="3F4573EE" w14:textId="44475021" w:rsidR="00484C8D" w:rsidRPr="00B23A54" w:rsidRDefault="00484C8D" w:rsidP="00484C8D">
      <w:pPr>
        <w:pStyle w:val="NormalHanging12a"/>
      </w:pPr>
      <w:r w:rsidRPr="00B23A54">
        <w:t>27.</w:t>
      </w:r>
      <w:r w:rsidRPr="00B23A54">
        <w:tab/>
        <w:t xml:space="preserve">Salienta a importância da Rede Europeia de Provedores de Justiça (ENO) e das reuniões anuais organizadas com provedores de justiça nacionais e regionais através da ENO no sentido de aumentar a sensibilização no que diz respeito ao que o Provedor de Justiça Europeu pode fazer pelos cidadãos europeus; incentiva </w:t>
      </w:r>
      <w:r w:rsidR="00EA7321">
        <w:t>a Provedora</w:t>
      </w:r>
      <w:r w:rsidRPr="00B23A54">
        <w:t xml:space="preserve"> de Justiça a continuar a participar no intercâmbio de experiências e de boas práticas com os provedores de justiça nacionais através da ENO; toma nota de que a conferência anual da ENO de 2023 se centrou na proteção dos direitos humanos e abordou os benefícios e potenciais inconvenientes da utilização da IA na administração pública;</w:t>
      </w:r>
      <w:r w:rsidRPr="00B23A54">
        <w:rPr>
          <w:b/>
          <w:i/>
        </w:rPr>
        <w:t> </w:t>
      </w:r>
      <w:r w:rsidRPr="00B23A54">
        <w:t>incentiva as organizações da sociedade civil a utilizarem melhor os serviços do Provedor de Justiça Europeu para exercer o controlo das instituições da UE, garantindo a transparência e o tratamento dos casos de incumprimento do direito da União;</w:t>
      </w:r>
      <w:r w:rsidR="00990120">
        <w:t xml:space="preserve"> </w:t>
      </w:r>
      <w:r w:rsidR="00990120" w:rsidRPr="00990120">
        <w:t xml:space="preserve">congratula-se com a adesão da Instituição do Provedor dos Direitos Humanos da Bósnia-Herzegovina à ENO; insta </w:t>
      </w:r>
      <w:r w:rsidR="00990120">
        <w:t>a</w:t>
      </w:r>
      <w:r w:rsidR="00990120" w:rsidRPr="00990120">
        <w:t xml:space="preserve"> Provedor</w:t>
      </w:r>
      <w:r w:rsidR="00990120">
        <w:t>a</w:t>
      </w:r>
      <w:r w:rsidR="00990120" w:rsidRPr="00990120">
        <w:t xml:space="preserve"> de Justiça a reforçar a cooperação com os gabinetes dos provedores de justiça nacionais dos países candidatos à adesão à UE, a fim de fortalecer a capacidade das autoridades públicas desses países para se alinharem com as normas da UE em matéria de boa administração, integridade e responsabilização;</w:t>
      </w:r>
    </w:p>
    <w:p w14:paraId="667D3FFC" w14:textId="7F3E8925" w:rsidR="00484C8D" w:rsidRPr="00B23A54" w:rsidRDefault="00484C8D" w:rsidP="00484C8D">
      <w:pPr>
        <w:pStyle w:val="NormalHanging12a"/>
        <w:rPr>
          <w:szCs w:val="24"/>
        </w:rPr>
      </w:pPr>
      <w:r w:rsidRPr="00B23A54">
        <w:t>28.</w:t>
      </w:r>
      <w:r w:rsidRPr="00B23A54">
        <w:tab/>
        <w:t xml:space="preserve">Recomenda a continuação da estreita cooperação entre </w:t>
      </w:r>
      <w:r w:rsidR="00EA7321">
        <w:t>a Provedora</w:t>
      </w:r>
      <w:r w:rsidRPr="00B23A54">
        <w:t xml:space="preserve"> de Justiça e a Comissão das Petições do Parlamento Europeu, que têm a missão partilhada de aproximar as instituições da UE dos cidadãos; manifesta grande apreço pela atenção e pelo seguimento dados pel</w:t>
      </w:r>
      <w:r w:rsidR="00EA7321">
        <w:t>a Provedora</w:t>
      </w:r>
      <w:r w:rsidRPr="00B23A54">
        <w:t xml:space="preserve"> de Justiça a todas as queixas, incluindo o encaminhamento de queixas que não se enquadram no seu âmbito de competências em matéria de aplicação da legislação da UE para outra autoridade competente ou para a Comissão das Petições do Parlamento Europeu; exorta o Gabinete do Provedor de Justiça a prosseguir os seus esforços nesse sentido, uma vez que a cooperação com a Comissão das Petições, a informação atempada e o acesso a documentos nas 24 línguas oficiais da UE podem aumentar a participação efetiva dos cidadãos e da sociedade civil no processo de tomada de decisões;</w:t>
      </w:r>
    </w:p>
    <w:p w14:paraId="6E0C8E2C" w14:textId="1D2049C1" w:rsidR="00484C8D" w:rsidRPr="00B23A54" w:rsidRDefault="00484C8D" w:rsidP="00484C8D">
      <w:pPr>
        <w:pStyle w:val="NormalHanging12a"/>
      </w:pPr>
      <w:r w:rsidRPr="00B23A54">
        <w:t>29.</w:t>
      </w:r>
      <w:r w:rsidRPr="00B23A54">
        <w:tab/>
        <w:t>Congratula</w:t>
      </w:r>
      <w:r w:rsidRPr="00B23A54">
        <w:noBreakHyphen/>
        <w:t>se com o facto de a taxa de aceitação, de 2023, pelas instituições da UE, nomeadamente a percentagem de respostas positivas ao número total de propostas apresentadas pel</w:t>
      </w:r>
      <w:r w:rsidR="00C112FB">
        <w:t>a</w:t>
      </w:r>
      <w:r w:rsidRPr="00B23A54">
        <w:t xml:space="preserve"> Provedor</w:t>
      </w:r>
      <w:r w:rsidR="00C112FB">
        <w:t>a</w:t>
      </w:r>
      <w:r w:rsidRPr="00B23A54">
        <w:t xml:space="preserve"> de Justiça para corrigir ou melhorar as suas práticas administrativas, ter sido de 81 %, o que representa uma melhoria em relação ao ano anterior; considera firmemente, no entanto, que as instituições, órgãos e organismos da União devem respeitar plenamente e de forma coerente as soluções, recomendações e </w:t>
      </w:r>
      <w:r w:rsidRPr="00B23A54">
        <w:lastRenderedPageBreak/>
        <w:t>sugestões do Provedor de Justiça;</w:t>
      </w:r>
    </w:p>
    <w:p w14:paraId="72B70FD7" w14:textId="7ABA2795" w:rsidR="00484C8D" w:rsidRPr="00B23A54" w:rsidRDefault="00484C8D" w:rsidP="00484C8D">
      <w:pPr>
        <w:pStyle w:val="NormalHanging12a"/>
      </w:pPr>
      <w:r w:rsidRPr="00B23A54">
        <w:rPr>
          <w:shd w:val="clear" w:color="auto" w:fill="FFFFFF"/>
        </w:rPr>
        <w:t>30.</w:t>
      </w:r>
      <w:r w:rsidRPr="00B23A54">
        <w:rPr>
          <w:shd w:val="clear" w:color="auto" w:fill="FFFFFF"/>
        </w:rPr>
        <w:tab/>
      </w:r>
      <w:r w:rsidRPr="00B23A54">
        <w:t xml:space="preserve">Louva </w:t>
      </w:r>
      <w:r w:rsidR="00C112FB">
        <w:t>a</w:t>
      </w:r>
      <w:r w:rsidRPr="00B23A54">
        <w:t xml:space="preserve"> Provedor</w:t>
      </w:r>
      <w:r w:rsidR="00C112FB">
        <w:t>a</w:t>
      </w:r>
      <w:r w:rsidRPr="00B23A54">
        <w:t xml:space="preserve"> de Justiça pela manutenção de uma relação de trabalho construtiva com a Comissão, que é a instituição da UE afetada pela maioria dos seus inquéritos; observa que esta relação ajuda a Comissão a tornar os seus procedimentos administrativos mais eficientes e transparentes;</w:t>
      </w:r>
    </w:p>
    <w:p w14:paraId="73E78DA2" w14:textId="19A84E36" w:rsidR="00484C8D" w:rsidRPr="00B23A54" w:rsidRDefault="00484C8D" w:rsidP="00484C8D">
      <w:pPr>
        <w:pStyle w:val="NormalHanging12a"/>
      </w:pPr>
      <w:r w:rsidRPr="00B23A54">
        <w:t>31.</w:t>
      </w:r>
      <w:r w:rsidRPr="00B23A54">
        <w:tab/>
        <w:t>Preza os esforços envidados pel</w:t>
      </w:r>
      <w:r w:rsidR="00C112FB">
        <w:t>a</w:t>
      </w:r>
      <w:r w:rsidRPr="00B23A54">
        <w:t xml:space="preserve"> Provedor</w:t>
      </w:r>
      <w:r w:rsidR="00C112FB">
        <w:t>a</w:t>
      </w:r>
      <w:r w:rsidRPr="00B23A54">
        <w:t xml:space="preserve"> de Justiça no sentido de melhorar constantemente os procedimentos internos, a fim de garantir que a experiência dos queixosos seja positiva e que as queixas sejam tratadas da forma mais eficiente possível; saúda os esforços d</w:t>
      </w:r>
      <w:r w:rsidR="00C112FB">
        <w:t>a</w:t>
      </w:r>
      <w:r w:rsidRPr="00B23A54">
        <w:t xml:space="preserve"> Provedor</w:t>
      </w:r>
      <w:r w:rsidR="00C112FB">
        <w:t>a</w:t>
      </w:r>
      <w:r w:rsidRPr="00B23A54">
        <w:t xml:space="preserve"> de Justiça para continuar a melhorar a visibilidade das suas atividades e saúda as melhorias introduzidas no sistema de queixas em linha do Provedor de Justiça, que o tornaram mais fácil de utilizar; congratula‑se com o sítio Web multilingue do Provedor de Justiça, que reflete o seu compromisso de prestar assistência nas 24 línguas oficiais da UE;</w:t>
      </w:r>
      <w:r w:rsidRPr="00B23A54">
        <w:rPr>
          <w:b/>
          <w:i/>
        </w:rPr>
        <w:t> </w:t>
      </w:r>
      <w:r w:rsidRPr="00B23A54">
        <w:t>salienta a importância de garantir o acesso pleno das pessoas com deficiência a toda a gama de recursos disponibilizados pela UE aos seus cidadãos, especialmente através de serviços sistemáticos de tradução e interpretação oferecidos em todas as línguas oficiais, incluindo a língua gestual;</w:t>
      </w:r>
    </w:p>
    <w:p w14:paraId="15317AA9" w14:textId="23136985" w:rsidR="00484C8D" w:rsidRPr="00B23A54" w:rsidRDefault="00484C8D" w:rsidP="00484C8D">
      <w:pPr>
        <w:pStyle w:val="NormalHanging12a"/>
      </w:pPr>
      <w:r w:rsidRPr="00B23A54">
        <w:t>32.</w:t>
      </w:r>
      <w:r w:rsidRPr="00B23A54">
        <w:tab/>
        <w:t xml:space="preserve">Encarrega a sua Presidente de transmitir a presente resolução e o relatório da Comissão das Petições ao Conselho, à Comissão, </w:t>
      </w:r>
      <w:r w:rsidR="00C112FB">
        <w:t>à</w:t>
      </w:r>
      <w:r w:rsidRPr="00B23A54">
        <w:t xml:space="preserve"> Provedor</w:t>
      </w:r>
      <w:r w:rsidR="00C112FB">
        <w:t>a</w:t>
      </w:r>
      <w:r w:rsidRPr="00B23A54">
        <w:t xml:space="preserve"> de Justiça Europe</w:t>
      </w:r>
      <w:r w:rsidR="00C112FB">
        <w:t>ia</w:t>
      </w:r>
      <w:r w:rsidRPr="00B23A54">
        <w:t>, aos governos e parlamentos dos Estados</w:t>
      </w:r>
      <w:r w:rsidRPr="00B23A54">
        <w:noBreakHyphen/>
        <w:t>Membros e aos provedores de justiça ou órgãos homólogos dos Estados</w:t>
      </w:r>
      <w:r w:rsidRPr="00B23A54">
        <w:noBreakHyphen/>
        <w:t>Membros.</w:t>
      </w:r>
    </w:p>
    <w:sectPr w:rsidR="00484C8D" w:rsidRPr="00B23A54" w:rsidSect="00A233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5722CE" w14:textId="77777777" w:rsidR="00433068" w:rsidRPr="00A23388" w:rsidRDefault="00433068">
      <w:r w:rsidRPr="00A23388">
        <w:separator/>
      </w:r>
    </w:p>
  </w:endnote>
  <w:endnote w:type="continuationSeparator" w:id="0">
    <w:p w14:paraId="78AB3F34" w14:textId="77777777" w:rsidR="00433068" w:rsidRPr="00A23388" w:rsidRDefault="00433068">
      <w:r w:rsidRPr="00A233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9926E" w14:textId="77777777" w:rsidR="00064002" w:rsidRPr="00A2338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394D67" w14:textId="77777777" w:rsidR="00064002" w:rsidRPr="00A2338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FABFB" w14:textId="77777777" w:rsidR="00064002" w:rsidRPr="00A2338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96C0F6" w14:textId="77777777" w:rsidR="00433068" w:rsidRPr="00A23388" w:rsidRDefault="00433068">
      <w:r w:rsidRPr="00A23388">
        <w:separator/>
      </w:r>
    </w:p>
  </w:footnote>
  <w:footnote w:type="continuationSeparator" w:id="0">
    <w:p w14:paraId="4062B556" w14:textId="77777777" w:rsidR="00433068" w:rsidRPr="00A23388" w:rsidRDefault="00433068">
      <w:r w:rsidRPr="00A23388">
        <w:continuationSeparator/>
      </w:r>
    </w:p>
  </w:footnote>
  <w:footnote w:id="1">
    <w:p w14:paraId="124A30C2" w14:textId="4F94FE48" w:rsidR="00484C8D" w:rsidRPr="0053078A" w:rsidRDefault="00484C8D" w:rsidP="00A23388">
      <w:pPr>
        <w:pStyle w:val="FootnoteText"/>
        <w:ind w:left="567" w:hanging="567"/>
        <w:rPr>
          <w:sz w:val="24"/>
          <w:szCs w:val="24"/>
          <w:lang w:val="da-DK"/>
        </w:rPr>
      </w:pPr>
      <w:r w:rsidRPr="0053078A">
        <w:rPr>
          <w:rStyle w:val="FootnoteReference"/>
          <w:sz w:val="24"/>
          <w:szCs w:val="24"/>
          <w:lang w:val="pt-PT"/>
        </w:rPr>
        <w:footnoteRef/>
      </w:r>
      <w:r w:rsidR="00A23388" w:rsidRPr="0053078A">
        <w:rPr>
          <w:sz w:val="24"/>
          <w:szCs w:val="24"/>
          <w:lang w:val="da-DK"/>
        </w:rPr>
        <w:t xml:space="preserve"> </w:t>
      </w:r>
      <w:r w:rsidR="00A23388" w:rsidRPr="0053078A">
        <w:rPr>
          <w:sz w:val="24"/>
          <w:szCs w:val="24"/>
          <w:lang w:val="da-DK"/>
        </w:rPr>
        <w:tab/>
      </w:r>
      <w:r w:rsidRPr="0053078A">
        <w:rPr>
          <w:sz w:val="24"/>
          <w:szCs w:val="24"/>
          <w:lang w:val="da-DK"/>
        </w:rPr>
        <w:t xml:space="preserve">JO L 253 de 16.7.2021, p. 1, </w:t>
      </w:r>
      <w:r w:rsidRPr="0053078A">
        <w:rPr>
          <w:sz w:val="24"/>
          <w:szCs w:val="24"/>
          <w:shd w:val="clear" w:color="auto" w:fill="FFFFFF"/>
          <w:lang w:val="da-DK"/>
        </w:rPr>
        <w:t>ELI: </w:t>
      </w:r>
      <w:hyperlink r:id="rId1" w:tooltip="Confere acesso ao presente documento através do seu ELI URI." w:history="1">
        <w:r w:rsidRPr="0017662A">
          <w:rPr>
            <w:rStyle w:val="Hyperlink"/>
            <w:sz w:val="24"/>
            <w:szCs w:val="24"/>
            <w:lang w:val="da-DK"/>
          </w:rPr>
          <w:t>http://data.europa.eu/eli/reg/2021/1163/oj</w:t>
        </w:r>
      </w:hyperlink>
      <w:r w:rsidRPr="0053078A">
        <w:rPr>
          <w:sz w:val="24"/>
          <w:szCs w:val="24"/>
          <w:lang w:val="da-DK"/>
        </w:rPr>
        <w:t>.</w:t>
      </w:r>
    </w:p>
  </w:footnote>
  <w:footnote w:id="2">
    <w:p w14:paraId="433D3AD3" w14:textId="7227979C" w:rsidR="00484C8D" w:rsidRPr="0053078A" w:rsidRDefault="00484C8D" w:rsidP="00A23388">
      <w:pPr>
        <w:pStyle w:val="FootnoteText"/>
        <w:ind w:left="567" w:hanging="567"/>
        <w:rPr>
          <w:sz w:val="24"/>
          <w:szCs w:val="24"/>
          <w:lang w:val="pt-PT"/>
        </w:rPr>
      </w:pPr>
      <w:r w:rsidRPr="0053078A">
        <w:rPr>
          <w:rStyle w:val="FootnoteReference"/>
          <w:sz w:val="24"/>
          <w:szCs w:val="24"/>
          <w:lang w:val="pt-PT"/>
        </w:rPr>
        <w:footnoteRef/>
      </w:r>
      <w:r w:rsidR="00A23388" w:rsidRPr="0053078A">
        <w:rPr>
          <w:sz w:val="24"/>
          <w:szCs w:val="24"/>
          <w:lang w:val="pt-PT"/>
        </w:rPr>
        <w:t xml:space="preserve"> </w:t>
      </w:r>
      <w:r w:rsidR="00A23388" w:rsidRPr="0053078A">
        <w:rPr>
          <w:sz w:val="24"/>
          <w:szCs w:val="24"/>
          <w:lang w:val="pt-PT"/>
        </w:rPr>
        <w:tab/>
      </w:r>
      <w:r w:rsidRPr="0053078A">
        <w:rPr>
          <w:sz w:val="24"/>
          <w:szCs w:val="24"/>
          <w:lang w:val="pt-PT"/>
        </w:rPr>
        <w:t>Regulamento (CE) n.º 1049/2001 do Parlamento Europeu e do Conselho, de 30 de maio de 2001, relativo ao acesso do público aos documentos do Parlamento Europeu, do Conselho e da Comissão (JO L 145 de 31.5.2001, p. 43</w:t>
      </w:r>
      <w:r w:rsidR="0075731C" w:rsidRPr="0053078A">
        <w:rPr>
          <w:sz w:val="24"/>
          <w:szCs w:val="24"/>
          <w:lang w:val="pt-PT"/>
        </w:rPr>
        <w:t>,</w:t>
      </w:r>
      <w:r w:rsidRPr="0053078A">
        <w:rPr>
          <w:sz w:val="24"/>
          <w:szCs w:val="24"/>
          <w:lang w:val="pt-PT"/>
        </w:rPr>
        <w:t xml:space="preserve"> </w:t>
      </w:r>
      <w:r w:rsidRPr="0053078A">
        <w:rPr>
          <w:sz w:val="24"/>
          <w:szCs w:val="24"/>
          <w:shd w:val="clear" w:color="auto" w:fill="FFFFFF"/>
          <w:lang w:val="pt-PT"/>
        </w:rPr>
        <w:t>ELI: </w:t>
      </w:r>
      <w:hyperlink r:id="rId2" w:tooltip="Confere acesso ao presente documento através do seu ELI URI." w:history="1">
        <w:r w:rsidRPr="0053078A">
          <w:rPr>
            <w:rStyle w:val="Hyperlink"/>
            <w:sz w:val="24"/>
            <w:szCs w:val="24"/>
            <w:lang w:val="pt-PT"/>
          </w:rPr>
          <w:t>http://data.europa.eu/eli/reg/2001/1049/oj</w:t>
        </w:r>
      </w:hyperlink>
      <w:r w:rsidR="0075731C" w:rsidRPr="0053078A">
        <w:rPr>
          <w:sz w:val="24"/>
          <w:szCs w:val="24"/>
          <w:shd w:val="clear" w:color="auto" w:fill="FFFFFF"/>
          <w:lang w:val="pt-PT"/>
        </w:rPr>
        <w:t>)</w:t>
      </w:r>
    </w:p>
  </w:footnote>
  <w:footnote w:id="3">
    <w:p w14:paraId="1F067AE9" w14:textId="5F1F559C" w:rsidR="00484C8D" w:rsidRPr="0053078A" w:rsidRDefault="00484C8D" w:rsidP="00A23388">
      <w:pPr>
        <w:pStyle w:val="FootnoteText"/>
        <w:ind w:left="567" w:hanging="567"/>
        <w:rPr>
          <w:sz w:val="24"/>
          <w:szCs w:val="24"/>
          <w:lang w:val="fi-FI"/>
        </w:rPr>
      </w:pPr>
      <w:r w:rsidRPr="0053078A">
        <w:rPr>
          <w:rStyle w:val="FootnoteReference"/>
          <w:sz w:val="24"/>
          <w:szCs w:val="24"/>
          <w:lang w:val="pt-PT"/>
        </w:rPr>
        <w:footnoteRef/>
      </w:r>
      <w:r w:rsidR="00A23388" w:rsidRPr="0053078A">
        <w:rPr>
          <w:sz w:val="24"/>
          <w:szCs w:val="24"/>
          <w:shd w:val="clear" w:color="auto" w:fill="FFFFFF"/>
          <w:lang w:val="fi-FI"/>
        </w:rPr>
        <w:t xml:space="preserve"> </w:t>
      </w:r>
      <w:r w:rsidR="00A23388" w:rsidRPr="0053078A">
        <w:rPr>
          <w:sz w:val="24"/>
          <w:szCs w:val="24"/>
          <w:shd w:val="clear" w:color="auto" w:fill="FFFFFF"/>
          <w:lang w:val="fi-FI"/>
        </w:rPr>
        <w:tab/>
      </w:r>
      <w:r w:rsidRPr="0053078A">
        <w:rPr>
          <w:sz w:val="24"/>
          <w:szCs w:val="24"/>
          <w:shd w:val="clear" w:color="auto" w:fill="FFFFFF"/>
          <w:lang w:val="fi-FI"/>
        </w:rPr>
        <w:t>JO C, C/2024/6560, 12.11.2024, ELI: </w:t>
      </w:r>
      <w:hyperlink r:id="rId3" w:tgtFrame="_blank" w:tooltip="Confere acesso ao presente documento através do seu ELI URI." w:history="1">
        <w:r w:rsidRPr="0017662A">
          <w:rPr>
            <w:rStyle w:val="Hyperlink"/>
            <w:sz w:val="24"/>
            <w:szCs w:val="24"/>
            <w:lang w:val="fi-FI"/>
          </w:rPr>
          <w:t>http://data.europa.eu/eli/C/2024/6560/oj</w:t>
        </w:r>
      </w:hyperlink>
      <w:r w:rsidRPr="0053078A">
        <w:rPr>
          <w:sz w:val="24"/>
          <w:szCs w:val="24"/>
          <w:lang w:val="fi-FI"/>
        </w:rPr>
        <w:t>.</w:t>
      </w:r>
    </w:p>
  </w:footnote>
  <w:footnote w:id="4">
    <w:p w14:paraId="56A5F058" w14:textId="77777777" w:rsidR="00484C8D" w:rsidRPr="0053078A" w:rsidRDefault="00484C8D" w:rsidP="00A23388">
      <w:pPr>
        <w:pStyle w:val="FootnoteText"/>
        <w:ind w:left="567" w:hanging="567"/>
        <w:rPr>
          <w:sz w:val="24"/>
          <w:szCs w:val="24"/>
          <w:lang w:val="pt-PT"/>
        </w:rPr>
      </w:pPr>
      <w:r w:rsidRPr="0053078A">
        <w:rPr>
          <w:rStyle w:val="FootnoteReference"/>
          <w:sz w:val="24"/>
          <w:szCs w:val="24"/>
          <w:lang w:val="pt-PT"/>
        </w:rPr>
        <w:footnoteRef/>
      </w:r>
      <w:r w:rsidR="00A23388" w:rsidRPr="0053078A">
        <w:rPr>
          <w:sz w:val="24"/>
          <w:szCs w:val="24"/>
          <w:lang w:val="pt-PT"/>
        </w:rPr>
        <w:t xml:space="preserve"> </w:t>
      </w:r>
      <w:r w:rsidR="00A23388" w:rsidRPr="0053078A">
        <w:rPr>
          <w:sz w:val="24"/>
          <w:szCs w:val="24"/>
          <w:lang w:val="pt-PT"/>
        </w:rPr>
        <w:tab/>
      </w:r>
      <w:r w:rsidRPr="0053078A">
        <w:rPr>
          <w:sz w:val="24"/>
          <w:szCs w:val="24"/>
          <w:lang w:val="pt-PT"/>
        </w:rPr>
        <w:t xml:space="preserve">Resolução legislativa do Parlamento Europeu, de 15 de Dezembro de 2011, sobre uma proposta de regulamento do Parlamento Europeu e do Conselho relativo ao acesso do público aos documentos do Parlamento Europeu, do Conselho e da Comissão (reformulação), artigo 3.º: </w:t>
      </w:r>
      <w:hyperlink r:id="rId4" w:history="1">
        <w:r w:rsidRPr="0053078A">
          <w:rPr>
            <w:rStyle w:val="Hyperlink"/>
            <w:sz w:val="24"/>
            <w:szCs w:val="24"/>
            <w:lang w:val="pt-PT"/>
          </w:rPr>
          <w:t>https://www.europarl.europa.eu/doceo/document/TA</w:t>
        </w:r>
        <w:r w:rsidRPr="0053078A">
          <w:rPr>
            <w:rStyle w:val="Hyperlink"/>
            <w:sz w:val="24"/>
            <w:szCs w:val="24"/>
            <w:lang w:val="pt-PT"/>
          </w:rPr>
          <w:noBreakHyphen/>
          <w:t>7</w:t>
        </w:r>
        <w:r w:rsidRPr="0053078A">
          <w:rPr>
            <w:rStyle w:val="Hyperlink"/>
            <w:sz w:val="24"/>
            <w:szCs w:val="24"/>
            <w:lang w:val="pt-PT"/>
          </w:rPr>
          <w:noBreakHyphen/>
          <w:t>2011</w:t>
        </w:r>
        <w:r w:rsidRPr="0053078A">
          <w:rPr>
            <w:rStyle w:val="Hyperlink"/>
            <w:sz w:val="24"/>
            <w:szCs w:val="24"/>
            <w:lang w:val="pt-PT"/>
          </w:rPr>
          <w:noBreakHyphen/>
          <w:t>0580_PT.pdf</w:t>
        </w:r>
      </w:hyperlink>
      <w:r w:rsidRPr="0053078A">
        <w:rPr>
          <w:sz w:val="24"/>
          <w:szCs w:val="24"/>
          <w:lang w:val="pt-PT"/>
        </w:rPr>
        <w:t>.</w:t>
      </w:r>
    </w:p>
  </w:footnote>
  <w:footnote w:id="5">
    <w:p w14:paraId="3702468C" w14:textId="77777777" w:rsidR="00484C8D" w:rsidRPr="0053078A" w:rsidRDefault="00484C8D" w:rsidP="00A23388">
      <w:pPr>
        <w:pStyle w:val="FootnoteText"/>
        <w:ind w:left="567" w:hanging="567"/>
        <w:rPr>
          <w:sz w:val="24"/>
          <w:szCs w:val="24"/>
          <w:lang w:val="pt-PT"/>
        </w:rPr>
      </w:pPr>
      <w:r w:rsidRPr="0053078A">
        <w:rPr>
          <w:rStyle w:val="FootnoteReference"/>
          <w:sz w:val="24"/>
          <w:szCs w:val="24"/>
          <w:lang w:val="pt-PT"/>
        </w:rPr>
        <w:footnoteRef/>
      </w:r>
      <w:r w:rsidR="00A23388" w:rsidRPr="0053078A">
        <w:rPr>
          <w:sz w:val="24"/>
          <w:szCs w:val="24"/>
          <w:lang w:val="pt-PT"/>
        </w:rPr>
        <w:t xml:space="preserve"> </w:t>
      </w:r>
      <w:r w:rsidR="00A23388" w:rsidRPr="0053078A">
        <w:rPr>
          <w:sz w:val="24"/>
          <w:szCs w:val="24"/>
          <w:lang w:val="pt-PT"/>
        </w:rPr>
        <w:tab/>
      </w:r>
      <w:hyperlink r:id="rId5" w:history="1">
        <w:r w:rsidRPr="0053078A">
          <w:rPr>
            <w:rStyle w:val="Hyperlink"/>
            <w:sz w:val="24"/>
            <w:szCs w:val="24"/>
            <w:lang w:val="pt-PT"/>
          </w:rPr>
          <w:t>https://www.ombudsman.europa.eu/en/decision/pt/69206</w:t>
        </w:r>
      </w:hyperlink>
      <w:r w:rsidRPr="0053078A">
        <w:rPr>
          <w:sz w:val="24"/>
          <w:szCs w:val="24"/>
          <w:lang w:val="pt-PT"/>
        </w:rPr>
        <w:t>.</w:t>
      </w:r>
    </w:p>
  </w:footnote>
  <w:footnote w:id="6">
    <w:p w14:paraId="6D5935E2" w14:textId="77777777" w:rsidR="00484C8D" w:rsidRPr="0053078A" w:rsidRDefault="00484C8D" w:rsidP="00A23388">
      <w:pPr>
        <w:pStyle w:val="FootnoteText"/>
        <w:ind w:left="567" w:hanging="567"/>
        <w:rPr>
          <w:sz w:val="24"/>
          <w:szCs w:val="24"/>
          <w:lang w:val="pt-PT"/>
        </w:rPr>
      </w:pPr>
      <w:r w:rsidRPr="0053078A">
        <w:rPr>
          <w:rStyle w:val="FootnoteReference"/>
          <w:sz w:val="24"/>
          <w:szCs w:val="24"/>
          <w:lang w:val="pt-PT"/>
        </w:rPr>
        <w:footnoteRef/>
      </w:r>
      <w:r w:rsidR="00A23388" w:rsidRPr="0053078A">
        <w:rPr>
          <w:sz w:val="24"/>
          <w:szCs w:val="24"/>
          <w:lang w:val="pt-PT"/>
        </w:rPr>
        <w:t xml:space="preserve"> </w:t>
      </w:r>
      <w:r w:rsidR="00A23388" w:rsidRPr="0053078A">
        <w:rPr>
          <w:sz w:val="24"/>
          <w:szCs w:val="24"/>
          <w:lang w:val="pt-PT"/>
        </w:rPr>
        <w:tab/>
      </w:r>
      <w:r w:rsidRPr="0053078A">
        <w:rPr>
          <w:sz w:val="24"/>
          <w:szCs w:val="24"/>
          <w:lang w:val="pt-PT"/>
        </w:rPr>
        <w:t>Relatório especial da Provedora de Justiça Europeia no seu inquérito estratégico sobre o tempo que a Comissão Europeia demora a tratar os pedidos de acesso do público a documentos (OI/2/2022/OAM).</w:t>
      </w:r>
    </w:p>
  </w:footnote>
  <w:footnote w:id="7">
    <w:p w14:paraId="127514D1" w14:textId="50242FE4" w:rsidR="00484C8D" w:rsidRPr="0053078A" w:rsidRDefault="00484C8D" w:rsidP="00A23388">
      <w:pPr>
        <w:pStyle w:val="FootnoteText"/>
        <w:ind w:left="567" w:hanging="567"/>
        <w:rPr>
          <w:sz w:val="24"/>
          <w:szCs w:val="24"/>
          <w:lang w:val="da-DK"/>
        </w:rPr>
      </w:pPr>
      <w:r w:rsidRPr="0053078A">
        <w:rPr>
          <w:rStyle w:val="FootnoteReference"/>
          <w:sz w:val="24"/>
          <w:szCs w:val="24"/>
          <w:lang w:val="pt-PT"/>
        </w:rPr>
        <w:footnoteRef/>
      </w:r>
      <w:r w:rsidR="00A23388" w:rsidRPr="0053078A">
        <w:rPr>
          <w:rStyle w:val="Emphasis"/>
          <w:sz w:val="24"/>
          <w:szCs w:val="24"/>
          <w:shd w:val="clear" w:color="auto" w:fill="FFFFFF"/>
          <w:lang w:val="da-DK"/>
        </w:rPr>
        <w:t xml:space="preserve"> </w:t>
      </w:r>
      <w:r w:rsidR="00A23388" w:rsidRPr="0053078A">
        <w:rPr>
          <w:rStyle w:val="Emphasis"/>
          <w:sz w:val="24"/>
          <w:szCs w:val="24"/>
          <w:shd w:val="clear" w:color="auto" w:fill="FFFFFF"/>
          <w:lang w:val="da-DK"/>
        </w:rPr>
        <w:tab/>
      </w:r>
      <w:r w:rsidRPr="0053078A">
        <w:rPr>
          <w:rStyle w:val="Emphasis"/>
          <w:i w:val="0"/>
          <w:sz w:val="24"/>
          <w:szCs w:val="24"/>
          <w:shd w:val="clear" w:color="auto" w:fill="FFFFFF"/>
          <w:lang w:val="da-DK"/>
        </w:rPr>
        <w:t>JO L 264 de 25.9.2006, p. 13, ELI:</w:t>
      </w:r>
      <w:r w:rsidRPr="0053078A">
        <w:rPr>
          <w:i/>
          <w:sz w:val="24"/>
          <w:szCs w:val="24"/>
          <w:shd w:val="clear" w:color="auto" w:fill="FFFFFF"/>
          <w:lang w:val="da-DK"/>
        </w:rPr>
        <w:t> </w:t>
      </w:r>
      <w:hyperlink r:id="rId6" w:tooltip="Confere acesso ao presente documento através do seu ELI URI." w:history="1">
        <w:r w:rsidRPr="0053078A">
          <w:rPr>
            <w:sz w:val="24"/>
            <w:szCs w:val="24"/>
            <w:shd w:val="clear" w:color="auto" w:fill="FFFFFF"/>
            <w:lang w:val="da-DK"/>
          </w:rPr>
          <w:t>http://data.europa.eu/eli/reg/2006/1367/oj</w:t>
        </w:r>
      </w:hyperlink>
      <w:r w:rsidRPr="0053078A">
        <w:rPr>
          <w:sz w:val="24"/>
          <w:szCs w:val="24"/>
          <w:lang w:val="da-DK"/>
        </w:rPr>
        <w:t>.</w:t>
      </w:r>
    </w:p>
  </w:footnote>
  <w:footnote w:id="8">
    <w:p w14:paraId="30AC5731" w14:textId="174E1F16" w:rsidR="00484C8D" w:rsidRPr="0053078A" w:rsidRDefault="00484C8D" w:rsidP="00A23388">
      <w:pPr>
        <w:pStyle w:val="FootnoteText"/>
        <w:ind w:left="567" w:hanging="567"/>
        <w:rPr>
          <w:sz w:val="24"/>
          <w:szCs w:val="24"/>
          <w:lang w:val="da-DK"/>
        </w:rPr>
      </w:pPr>
      <w:r w:rsidRPr="0053078A">
        <w:rPr>
          <w:rStyle w:val="FootnoteReference"/>
          <w:sz w:val="24"/>
          <w:szCs w:val="24"/>
          <w:lang w:val="pt-PT"/>
        </w:rPr>
        <w:footnoteRef/>
      </w:r>
      <w:r w:rsidR="00A23388" w:rsidRPr="0053078A">
        <w:rPr>
          <w:rStyle w:val="Emphasis"/>
          <w:sz w:val="24"/>
          <w:szCs w:val="24"/>
          <w:shd w:val="clear" w:color="auto" w:fill="FFFFFF"/>
          <w:lang w:val="da-DK"/>
        </w:rPr>
        <w:t xml:space="preserve"> </w:t>
      </w:r>
      <w:r w:rsidR="00A23388" w:rsidRPr="0053078A">
        <w:rPr>
          <w:rStyle w:val="Emphasis"/>
          <w:sz w:val="24"/>
          <w:szCs w:val="24"/>
          <w:shd w:val="clear" w:color="auto" w:fill="FFFFFF"/>
          <w:lang w:val="da-DK"/>
        </w:rPr>
        <w:tab/>
      </w:r>
      <w:r w:rsidRPr="0053078A">
        <w:rPr>
          <w:rStyle w:val="Emphasis"/>
          <w:i w:val="0"/>
          <w:sz w:val="24"/>
          <w:szCs w:val="24"/>
          <w:shd w:val="clear" w:color="auto" w:fill="FFFFFF"/>
          <w:lang w:val="da-DK"/>
        </w:rPr>
        <w:t>JO L 275 de 25.10.2022, p. 33, ELI:</w:t>
      </w:r>
      <w:r w:rsidRPr="0053078A">
        <w:rPr>
          <w:sz w:val="24"/>
          <w:szCs w:val="24"/>
          <w:shd w:val="clear" w:color="auto" w:fill="FFFFFF"/>
          <w:lang w:val="da-DK"/>
        </w:rPr>
        <w:t> </w:t>
      </w:r>
      <w:hyperlink r:id="rId7" w:tooltip="Confere acesso ao presente documento através do seu ELI URI." w:history="1">
        <w:r w:rsidRPr="0053078A">
          <w:rPr>
            <w:sz w:val="24"/>
            <w:szCs w:val="24"/>
            <w:shd w:val="clear" w:color="auto" w:fill="FFFFFF"/>
            <w:lang w:val="da-DK"/>
          </w:rPr>
          <w:t>http://data.europa.eu/eli/dir/2022/2041/oj</w:t>
        </w:r>
      </w:hyperlink>
      <w:r w:rsidRPr="0053078A">
        <w:rPr>
          <w:sz w:val="24"/>
          <w:szCs w:val="24"/>
          <w:lang w:val="da-DK"/>
        </w:rPr>
        <w:t>.</w:t>
      </w:r>
    </w:p>
  </w:footnote>
  <w:footnote w:id="9">
    <w:p w14:paraId="5E99AE4B" w14:textId="6E6E544F" w:rsidR="00484C8D" w:rsidRPr="0053078A" w:rsidRDefault="00484C8D" w:rsidP="00A23388">
      <w:pPr>
        <w:pStyle w:val="FootnoteText"/>
        <w:ind w:left="567" w:hanging="567"/>
        <w:rPr>
          <w:sz w:val="24"/>
          <w:szCs w:val="24"/>
          <w:lang w:val="pt-PT"/>
        </w:rPr>
      </w:pPr>
      <w:r w:rsidRPr="0053078A">
        <w:rPr>
          <w:rStyle w:val="FootnoteReference"/>
          <w:sz w:val="24"/>
          <w:szCs w:val="24"/>
          <w:lang w:val="pt-PT"/>
        </w:rPr>
        <w:footnoteRef/>
      </w:r>
      <w:r w:rsidR="00A23388" w:rsidRPr="0053078A">
        <w:rPr>
          <w:sz w:val="24"/>
          <w:szCs w:val="24"/>
          <w:lang w:val="pt-PT"/>
        </w:rPr>
        <w:t xml:space="preserve"> </w:t>
      </w:r>
      <w:r w:rsidR="00A23388" w:rsidRPr="0053078A">
        <w:rPr>
          <w:sz w:val="24"/>
          <w:szCs w:val="24"/>
          <w:lang w:val="pt-PT"/>
        </w:rPr>
        <w:tab/>
      </w:r>
      <w:r w:rsidRPr="0053078A">
        <w:rPr>
          <w:sz w:val="24"/>
          <w:szCs w:val="24"/>
          <w:lang w:val="pt-PT"/>
        </w:rPr>
        <w:t xml:space="preserve">Diretiva (UE) 2019/882 do Parlamento Europeu e do Conselho, de 17 de abril de 2019, relativa aos requisitos de acessibilidade dos produtos e serviços </w:t>
      </w:r>
      <w:r w:rsidR="00401910" w:rsidRPr="0053078A">
        <w:rPr>
          <w:sz w:val="24"/>
          <w:szCs w:val="24"/>
          <w:lang w:val="pt-PT"/>
        </w:rPr>
        <w:t>(</w:t>
      </w:r>
      <w:r w:rsidRPr="0053078A">
        <w:rPr>
          <w:rStyle w:val="Emphasis"/>
          <w:i w:val="0"/>
          <w:sz w:val="24"/>
          <w:szCs w:val="24"/>
          <w:shd w:val="clear" w:color="auto" w:fill="FFFFFF"/>
          <w:lang w:val="pt-PT"/>
        </w:rPr>
        <w:t>JO L 151 de 7.6.2019, p. 70,</w:t>
      </w:r>
      <w:r w:rsidRPr="0053078A">
        <w:rPr>
          <w:rStyle w:val="Emphasis"/>
          <w:sz w:val="24"/>
          <w:szCs w:val="24"/>
          <w:shd w:val="clear" w:color="auto" w:fill="FFFFFF"/>
          <w:lang w:val="pt-PT"/>
        </w:rPr>
        <w:t xml:space="preserve"> </w:t>
      </w:r>
      <w:r w:rsidRPr="0053078A">
        <w:rPr>
          <w:sz w:val="24"/>
          <w:szCs w:val="24"/>
          <w:shd w:val="clear" w:color="auto" w:fill="FFFFFF"/>
          <w:lang w:val="pt-PT"/>
        </w:rPr>
        <w:t>ELI: </w:t>
      </w:r>
      <w:hyperlink r:id="rId8" w:tooltip="Confere acesso ao presente documento através do seu ELI URI." w:history="1">
        <w:r w:rsidRPr="0053078A">
          <w:rPr>
            <w:sz w:val="24"/>
            <w:szCs w:val="24"/>
            <w:shd w:val="clear" w:color="auto" w:fill="FFFFFF"/>
            <w:lang w:val="pt-PT"/>
          </w:rPr>
          <w:t>http://data.europa.eu/eli/dir/2019/882/oj</w:t>
        </w:r>
      </w:hyperlink>
      <w:r w:rsidR="00401910" w:rsidRPr="0053078A">
        <w:rPr>
          <w:sz w:val="24"/>
          <w:szCs w:val="24"/>
          <w:shd w:val="clear" w:color="auto" w:fill="FFFFFF"/>
          <w:lang w:val="pt-PT"/>
        </w:rPr>
        <w:t>)</w:t>
      </w:r>
      <w:r w:rsidRPr="0053078A">
        <w:rPr>
          <w:sz w:val="24"/>
          <w:szCs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D4FA7" w14:textId="77777777" w:rsidR="00064002" w:rsidRPr="00A2338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368653" w14:textId="77777777" w:rsidR="00064002" w:rsidRPr="00A2338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4A232" w14:textId="77777777" w:rsidR="00064002" w:rsidRPr="00A2338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6/2024"/>
    <w:docVar w:name="dvlangue" w:val="PT"/>
    <w:docVar w:name="dvnumam" w:val="0"/>
    <w:docVar w:name="dvpe" w:val="763.122"/>
    <w:docVar w:name="dvrapporteur" w:val="Relator: "/>
    <w:docVar w:name="dvtitre" w:val="Resolução do Parlamento Europeu, de ... de ... de 2024, sobre o relatório anual de atividades do Provedor de Justiça Europeu relativo a 2023(2024/2056(INI))"/>
  </w:docVars>
  <w:rsids>
    <w:rsidRoot w:val="00433068"/>
    <w:rsid w:val="00002272"/>
    <w:rsid w:val="00064002"/>
    <w:rsid w:val="000677B9"/>
    <w:rsid w:val="000831BA"/>
    <w:rsid w:val="000A42CC"/>
    <w:rsid w:val="000B22F5"/>
    <w:rsid w:val="000E7DD9"/>
    <w:rsid w:val="0010095E"/>
    <w:rsid w:val="00125B37"/>
    <w:rsid w:val="0017662A"/>
    <w:rsid w:val="00187494"/>
    <w:rsid w:val="001F32AE"/>
    <w:rsid w:val="00220370"/>
    <w:rsid w:val="002767FF"/>
    <w:rsid w:val="002B18FE"/>
    <w:rsid w:val="002B5493"/>
    <w:rsid w:val="002D2C43"/>
    <w:rsid w:val="00343214"/>
    <w:rsid w:val="00361C00"/>
    <w:rsid w:val="00395FA1"/>
    <w:rsid w:val="003E15D4"/>
    <w:rsid w:val="00401910"/>
    <w:rsid w:val="00411CCE"/>
    <w:rsid w:val="0041666E"/>
    <w:rsid w:val="00421060"/>
    <w:rsid w:val="00433068"/>
    <w:rsid w:val="00471C19"/>
    <w:rsid w:val="00484C8D"/>
    <w:rsid w:val="004867E3"/>
    <w:rsid w:val="00494A28"/>
    <w:rsid w:val="004C0004"/>
    <w:rsid w:val="004C5D52"/>
    <w:rsid w:val="0050519A"/>
    <w:rsid w:val="005072A1"/>
    <w:rsid w:val="00514517"/>
    <w:rsid w:val="0053078A"/>
    <w:rsid w:val="00545827"/>
    <w:rsid w:val="00560270"/>
    <w:rsid w:val="005C2568"/>
    <w:rsid w:val="005F1B17"/>
    <w:rsid w:val="005F1BC1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5731C"/>
    <w:rsid w:val="00762C74"/>
    <w:rsid w:val="00774B9B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28CA"/>
    <w:rsid w:val="00930C23"/>
    <w:rsid w:val="0093193B"/>
    <w:rsid w:val="009509D8"/>
    <w:rsid w:val="00950B64"/>
    <w:rsid w:val="00981893"/>
    <w:rsid w:val="00990120"/>
    <w:rsid w:val="00A1687D"/>
    <w:rsid w:val="00A2338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3A54"/>
    <w:rsid w:val="00B558F0"/>
    <w:rsid w:val="00BC0870"/>
    <w:rsid w:val="00BD48FE"/>
    <w:rsid w:val="00BD7BD8"/>
    <w:rsid w:val="00BE6ADC"/>
    <w:rsid w:val="00C05BFE"/>
    <w:rsid w:val="00C112FB"/>
    <w:rsid w:val="00C23CD4"/>
    <w:rsid w:val="00C61C0C"/>
    <w:rsid w:val="00C941CB"/>
    <w:rsid w:val="00CC2357"/>
    <w:rsid w:val="00CF071A"/>
    <w:rsid w:val="00CF5708"/>
    <w:rsid w:val="00D058B8"/>
    <w:rsid w:val="00D56C11"/>
    <w:rsid w:val="00D834A0"/>
    <w:rsid w:val="00D872DF"/>
    <w:rsid w:val="00D91E21"/>
    <w:rsid w:val="00DA7FCD"/>
    <w:rsid w:val="00E365E1"/>
    <w:rsid w:val="00E820A4"/>
    <w:rsid w:val="00EA732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E15C45"/>
  <w15:chartTrackingRefBased/>
  <w15:docId w15:val="{62B39130-3999-4A3C-AEFA-17C08E6C7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uiPriority w:val="99"/>
    <w:rsid w:val="00484C8D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484C8D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484C8D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484C8D"/>
    <w:rPr>
      <w:sz w:val="24"/>
      <w:lang w:val="pt-PT"/>
    </w:rPr>
  </w:style>
  <w:style w:type="character" w:customStyle="1" w:styleId="graphbold">
    <w:name w:val="graph bold"/>
    <w:basedOn w:val="DefaultParagraphFont"/>
    <w:uiPriority w:val="1"/>
    <w:qFormat/>
    <w:rsid w:val="00484C8D"/>
    <w:rPr>
      <w:rFonts w:ascii="Arial" w:hAnsi="Arial" w:cs="Arial" w:hint="default"/>
      <w:b/>
      <w:bCs w:val="0"/>
      <w:sz w:val="16"/>
    </w:rPr>
  </w:style>
  <w:style w:type="character" w:styleId="Emphasis">
    <w:name w:val="Emphasis"/>
    <w:basedOn w:val="DefaultParagraphFont"/>
    <w:uiPriority w:val="20"/>
    <w:qFormat/>
    <w:rsid w:val="00484C8D"/>
    <w:rPr>
      <w:i/>
      <w:iCs/>
    </w:rPr>
  </w:style>
  <w:style w:type="paragraph" w:styleId="BalloonText">
    <w:name w:val="Balloon Text"/>
    <w:basedOn w:val="Normal"/>
    <w:link w:val="BalloonTextChar"/>
    <w:rsid w:val="00CF57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F5708"/>
    <w:rPr>
      <w:rFonts w:ascii="Segoe UI" w:hAnsi="Segoe UI" w:cs="Segoe UI"/>
      <w:sz w:val="18"/>
      <w:szCs w:val="18"/>
      <w:lang w:val="pt-PT"/>
    </w:rPr>
  </w:style>
  <w:style w:type="character" w:styleId="FollowedHyperlink">
    <w:name w:val="FollowedHyperlink"/>
    <w:basedOn w:val="DefaultParagraphFont"/>
    <w:rsid w:val="002D2C43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0B22F5"/>
    <w:rPr>
      <w:sz w:val="16"/>
      <w:szCs w:val="16"/>
    </w:rPr>
  </w:style>
  <w:style w:type="paragraph" w:styleId="CommentText">
    <w:name w:val="annotation text"/>
    <w:basedOn w:val="Normal"/>
    <w:link w:val="CommentTextChar"/>
    <w:rsid w:val="000B22F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B22F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0B22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B22F5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19/882/oj" TargetMode="External"/><Relationship Id="rId3" Type="http://schemas.openxmlformats.org/officeDocument/2006/relationships/hyperlink" Target="http://data.europa.eu/eli/C/2024/6560/oj" TargetMode="External"/><Relationship Id="rId7" Type="http://schemas.openxmlformats.org/officeDocument/2006/relationships/hyperlink" Target="http://data.europa.eu/eli/dir/2022/2041/oj" TargetMode="External"/><Relationship Id="rId2" Type="http://schemas.openxmlformats.org/officeDocument/2006/relationships/hyperlink" Target="http://data.europa.eu/eli/reg/2001/1049/oj" TargetMode="External"/><Relationship Id="rId1" Type="http://schemas.openxmlformats.org/officeDocument/2006/relationships/hyperlink" Target="http://data.europa.eu/eli/reg/2021/1163/oj" TargetMode="External"/><Relationship Id="rId6" Type="http://schemas.openxmlformats.org/officeDocument/2006/relationships/hyperlink" Target="http://data.europa.eu/eli/reg/2006/1367/oj" TargetMode="External"/><Relationship Id="rId5" Type="http://schemas.openxmlformats.org/officeDocument/2006/relationships/hyperlink" Target="https://www.ombudsman.europa.eu/en/decision/en/69206" TargetMode="External"/><Relationship Id="rId4" Type="http://schemas.openxmlformats.org/officeDocument/2006/relationships/hyperlink" Target="https://www.europarl.europa.eu/doceo/document/TA-7-2011-0580_P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A761E-F5EC-4EE4-BF06-214BBA410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5247</Words>
  <Characters>28103</Characters>
  <Application>Microsoft Office Word</Application>
  <DocSecurity>0</DocSecurity>
  <Lines>234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2024-12-17T13:25:00Z</dcterms:created>
  <dcterms:modified xsi:type="dcterms:W3CDTF">2024-12-17T13:25:00Z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A10-0016/2024</vt:lpwstr>
  </property>
  <property fmtid="{D5CDD505-2E9C-101B-9397-08002B2CF9AE}" pid="4" name="&lt;Type&gt;">
    <vt:lpwstr>RR</vt:lpwstr>
  </property>
</Properties>
</file>