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2C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2CB3" w:rsidRDefault="00EA201B" w:rsidP="0010095E">
            <w:pPr>
              <w:pStyle w:val="EPName"/>
            </w:pPr>
            <w:r w:rsidRPr="00042CB3">
              <w:t>Parlament Europejski</w:t>
            </w:r>
          </w:p>
          <w:p w:rsidR="00751A4A" w:rsidRPr="00042C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2CB3">
              <w:t>2024</w:t>
            </w:r>
            <w:r w:rsidR="00817416" w:rsidRPr="00042CB3">
              <w:t>-202</w:t>
            </w:r>
            <w:r w:rsidRPr="00042C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2CB3" w:rsidRDefault="00187494" w:rsidP="0010095E">
            <w:pPr>
              <w:pStyle w:val="EPLogo"/>
            </w:pPr>
            <w:r w:rsidRPr="00042C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2CB3" w:rsidRDefault="00D058B8" w:rsidP="004C5D52">
      <w:pPr>
        <w:pStyle w:val="LineTop"/>
      </w:pPr>
    </w:p>
    <w:p w:rsidR="00680577" w:rsidRPr="00042CB3" w:rsidRDefault="00EA201B" w:rsidP="00680577">
      <w:pPr>
        <w:pStyle w:val="EPBodyTA1"/>
      </w:pPr>
      <w:r w:rsidRPr="00042CB3">
        <w:t>TEKSTY PRZYJĘTE</w:t>
      </w:r>
    </w:p>
    <w:p w:rsidR="00D058B8" w:rsidRPr="00042CB3" w:rsidRDefault="00D058B8" w:rsidP="00D058B8">
      <w:pPr>
        <w:pStyle w:val="LineBottom"/>
      </w:pPr>
    </w:p>
    <w:p w:rsidR="00EA201B" w:rsidRPr="00042CB3" w:rsidRDefault="00EA201B" w:rsidP="00EA201B">
      <w:pPr>
        <w:pStyle w:val="ATHeading1"/>
      </w:pPr>
      <w:bookmarkStart w:id="0" w:name="TANumber"/>
      <w:r w:rsidRPr="00042CB3">
        <w:t>P10_TA(2024)00</w:t>
      </w:r>
      <w:bookmarkEnd w:id="0"/>
      <w:r w:rsidR="00317C41">
        <w:t>69</w:t>
      </w:r>
      <w:bookmarkStart w:id="1" w:name="_GoBack"/>
      <w:bookmarkEnd w:id="1"/>
    </w:p>
    <w:p w:rsidR="00EA201B" w:rsidRPr="00C00140" w:rsidRDefault="00C00140" w:rsidP="00C00140">
      <w:pPr>
        <w:pStyle w:val="ATHeading2"/>
      </w:pPr>
      <w:r w:rsidRPr="00C00140">
        <w:t>Zawarcie, w imieniu Unii Europejskiej, Konwencji Narodów Zjednoczonych dotyczącej przejrzystości w</w:t>
      </w:r>
      <w:r>
        <w:t xml:space="preserve"> </w:t>
      </w:r>
      <w:r w:rsidRPr="00C00140">
        <w:t>umownych postępowaniach arbitrażowych między inwestorem a państwem</w:t>
      </w:r>
    </w:p>
    <w:p w:rsidR="00EA201B" w:rsidRPr="00042CB3" w:rsidRDefault="00EA201B" w:rsidP="00EA201B">
      <w:pPr>
        <w:rPr>
          <w:i/>
          <w:vanish/>
        </w:rPr>
      </w:pPr>
      <w:r w:rsidRPr="00042CB3">
        <w:rPr>
          <w:i/>
        </w:rPr>
        <w:fldChar w:fldCharType="begin"/>
      </w:r>
      <w:r w:rsidRPr="00042CB3">
        <w:rPr>
          <w:i/>
        </w:rPr>
        <w:instrText xml:space="preserve"> TC"(</w:instrText>
      </w:r>
      <w:bookmarkStart w:id="2" w:name="DocNumber"/>
      <w:r w:rsidRPr="00042CB3">
        <w:rPr>
          <w:i/>
        </w:rPr>
        <w:instrText>A10-0021/2024</w:instrText>
      </w:r>
      <w:bookmarkEnd w:id="2"/>
      <w:r w:rsidRPr="00042CB3">
        <w:rPr>
          <w:i/>
        </w:rPr>
        <w:instrText xml:space="preserve"> - Sprawozdawca: Anna </w:instrText>
      </w:r>
      <w:proofErr w:type="spellStart"/>
      <w:r w:rsidRPr="00042CB3">
        <w:rPr>
          <w:i/>
        </w:rPr>
        <w:instrText>Cavazzini</w:instrText>
      </w:r>
      <w:proofErr w:type="spellEnd"/>
      <w:proofErr w:type="gramStart"/>
      <w:r w:rsidRPr="00042CB3">
        <w:rPr>
          <w:i/>
        </w:rPr>
        <w:instrText>)"\l</w:instrText>
      </w:r>
      <w:proofErr w:type="gramEnd"/>
      <w:r w:rsidRPr="00042CB3">
        <w:rPr>
          <w:i/>
        </w:rPr>
        <w:instrText xml:space="preserve">3 \n&gt; \* MERGEFORMAT </w:instrText>
      </w:r>
      <w:r w:rsidRPr="00042CB3">
        <w:rPr>
          <w:i/>
        </w:rPr>
        <w:fldChar w:fldCharType="end"/>
      </w:r>
    </w:p>
    <w:p w:rsidR="00EA201B" w:rsidRPr="00042CB3" w:rsidRDefault="00EA201B" w:rsidP="00EA201B">
      <w:pPr>
        <w:rPr>
          <w:vanish/>
        </w:rPr>
      </w:pPr>
      <w:bookmarkStart w:id="3" w:name="Commission"/>
      <w:r w:rsidRPr="00042CB3">
        <w:rPr>
          <w:vanish/>
        </w:rPr>
        <w:t>Komisja Handlu Międzynarodowego</w:t>
      </w:r>
      <w:bookmarkEnd w:id="3"/>
    </w:p>
    <w:p w:rsidR="00EA201B" w:rsidRPr="00042CB3" w:rsidRDefault="00EA201B" w:rsidP="00EA201B">
      <w:pPr>
        <w:rPr>
          <w:vanish/>
        </w:rPr>
      </w:pPr>
      <w:bookmarkStart w:id="4" w:name="PE"/>
      <w:r w:rsidRPr="00042CB3">
        <w:rPr>
          <w:vanish/>
        </w:rPr>
        <w:t>PE765.122</w:t>
      </w:r>
      <w:bookmarkEnd w:id="4"/>
    </w:p>
    <w:p w:rsidR="00EA201B" w:rsidRPr="00042CB3" w:rsidRDefault="00EA201B" w:rsidP="00EA201B">
      <w:pPr>
        <w:pStyle w:val="ATHeading3"/>
      </w:pPr>
      <w:bookmarkStart w:id="5" w:name="Sujet"/>
      <w:r w:rsidRPr="00042CB3">
        <w:t xml:space="preserve">Rezolucja ustawodawcza Parlamentu Europejskiego z dnia </w:t>
      </w:r>
      <w:r w:rsidR="00C00140">
        <w:t>18 grudnia</w:t>
      </w:r>
      <w:r w:rsidRPr="00042CB3">
        <w:t xml:space="preserve"> 2024 r. w sprawie decyzji Rady w sprawie zawarcia, w imieniu Unii Europejskiej, konwencji Narodów Zjednoczonych dotyczącej przejrzystości w umownych postępowaniach arbitrażowych między inwestorem a państwem</w:t>
      </w:r>
      <w:bookmarkEnd w:id="5"/>
      <w:r w:rsidRPr="00042CB3">
        <w:t xml:space="preserve"> </w:t>
      </w:r>
      <w:bookmarkStart w:id="6" w:name="References"/>
      <w:r w:rsidRPr="00042CB3">
        <w:t>(07011/2024 – C10-0080/2024 – 2015/0012(NLE))</w:t>
      </w:r>
      <w:bookmarkEnd w:id="6"/>
    </w:p>
    <w:p w:rsidR="004B52B8" w:rsidRPr="00042CB3" w:rsidRDefault="004B52B8" w:rsidP="004B52B8">
      <w:pPr>
        <w:pStyle w:val="NormalBold"/>
      </w:pPr>
      <w:r w:rsidRPr="00042CB3">
        <w:t>(Zgoda)</w:t>
      </w:r>
    </w:p>
    <w:p w:rsidR="004B52B8" w:rsidRPr="00042CB3" w:rsidRDefault="004B52B8" w:rsidP="004B52B8">
      <w:pPr>
        <w:pStyle w:val="EPComma"/>
      </w:pPr>
      <w:r w:rsidRPr="00042CB3">
        <w:rPr>
          <w:i/>
        </w:rPr>
        <w:t>Parlament Europejski</w:t>
      </w:r>
      <w:r w:rsidRPr="00042CB3">
        <w:t>,</w:t>
      </w:r>
    </w:p>
    <w:p w:rsidR="004B52B8" w:rsidRPr="00042CB3" w:rsidRDefault="004B52B8" w:rsidP="004B52B8">
      <w:pPr>
        <w:pStyle w:val="NormalHanging12a"/>
      </w:pPr>
      <w:r w:rsidRPr="00042CB3">
        <w:t>–</w:t>
      </w:r>
      <w:r w:rsidRPr="00042CB3">
        <w:tab/>
        <w:t>uwzględniając projekt decyzji Rady (07011/2024),</w:t>
      </w:r>
    </w:p>
    <w:p w:rsidR="004B52B8" w:rsidRPr="00042CB3" w:rsidRDefault="004B52B8" w:rsidP="004B52B8">
      <w:pPr>
        <w:pStyle w:val="NormalHanging12a"/>
      </w:pPr>
      <w:r w:rsidRPr="00042CB3">
        <w:t>–</w:t>
      </w:r>
      <w:r w:rsidRPr="00042CB3">
        <w:tab/>
        <w:t>uwzględniając konwencję Narodów Zjednoczonych dotyczącą przejrzystości w umownych postępowaniach arbitrażowych między inwestorem a państwem (07012/2024),</w:t>
      </w:r>
    </w:p>
    <w:p w:rsidR="004B52B8" w:rsidRPr="00042CB3" w:rsidRDefault="004B52B8" w:rsidP="004B52B8">
      <w:pPr>
        <w:pStyle w:val="NormalHanging12a"/>
      </w:pPr>
      <w:r w:rsidRPr="00042CB3">
        <w:t>–</w:t>
      </w:r>
      <w:r w:rsidRPr="00042CB3">
        <w:tab/>
        <w:t>uwzględniając wniosek o wyrażenie zgody przedstawiony przez Radę na mocy art. 207 ust. 4 akapit pierwszy i art. 218 ust. 6 akapit drugi lit. a) Traktatu o funkcjonowaniu Unii Europejskiej (C10</w:t>
      </w:r>
      <w:r w:rsidRPr="00042CB3">
        <w:noBreakHyphen/>
        <w:t>0080/2024),</w:t>
      </w:r>
    </w:p>
    <w:p w:rsidR="004B52B8" w:rsidRPr="00042CB3" w:rsidRDefault="004B52B8" w:rsidP="004B52B8">
      <w:pPr>
        <w:pStyle w:val="NormalHanging12a"/>
      </w:pPr>
      <w:r w:rsidRPr="00042CB3">
        <w:t>–</w:t>
      </w:r>
      <w:r w:rsidRPr="00042CB3">
        <w:tab/>
        <w:t>uwzględniając art. 107 ust. 1 i 4 oraz art. 117 ust. 7 Regulaminu,</w:t>
      </w:r>
    </w:p>
    <w:p w:rsidR="004B52B8" w:rsidRPr="00042CB3" w:rsidRDefault="004B52B8" w:rsidP="004B52B8">
      <w:pPr>
        <w:pStyle w:val="NormalHanging12a"/>
      </w:pPr>
      <w:r w:rsidRPr="00042CB3">
        <w:t>–</w:t>
      </w:r>
      <w:r w:rsidRPr="00042CB3">
        <w:tab/>
        <w:t>uwzględniając zalecenie Komisji Handlu Międzynarodowego (A10-0021/2024),</w:t>
      </w:r>
    </w:p>
    <w:p w:rsidR="004B52B8" w:rsidRPr="00042CB3" w:rsidRDefault="004B52B8" w:rsidP="004B52B8">
      <w:pPr>
        <w:pStyle w:val="NormalHanging12a"/>
      </w:pPr>
      <w:r w:rsidRPr="00042CB3">
        <w:t>1.</w:t>
      </w:r>
      <w:r w:rsidRPr="00042CB3">
        <w:tab/>
      </w:r>
      <w:proofErr w:type="gramStart"/>
      <w:r w:rsidRPr="00042CB3">
        <w:t>wyraża</w:t>
      </w:r>
      <w:proofErr w:type="gramEnd"/>
      <w:r w:rsidRPr="00042CB3">
        <w:t xml:space="preserve"> zgodę na zawarcie umowy;</w:t>
      </w:r>
    </w:p>
    <w:p w:rsidR="004B52B8" w:rsidRPr="00042CB3" w:rsidRDefault="004B52B8" w:rsidP="004B52B8">
      <w:pPr>
        <w:pStyle w:val="NormalHanging12a"/>
      </w:pPr>
      <w:r w:rsidRPr="00042CB3">
        <w:t>2.</w:t>
      </w:r>
      <w:r w:rsidRPr="00042CB3">
        <w:tab/>
      </w:r>
      <w:proofErr w:type="gramStart"/>
      <w:r w:rsidRPr="00042CB3">
        <w:t>zobowiązuje</w:t>
      </w:r>
      <w:proofErr w:type="gramEnd"/>
      <w:r w:rsidRPr="00042CB3">
        <w:t xml:space="preserve"> swoją przewodniczącą do przekazania stanowiska Parlamentu Radzie i Komisji, jak również rządom i parlamentom państw członkowskich oraz sekretariatowi UNCITRAL.</w:t>
      </w:r>
    </w:p>
    <w:sectPr w:rsidR="004B52B8" w:rsidRPr="00042CB3" w:rsidSect="00042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01B" w:rsidRPr="00042CB3" w:rsidRDefault="00EA201B">
      <w:r w:rsidRPr="00042CB3">
        <w:separator/>
      </w:r>
    </w:p>
  </w:endnote>
  <w:endnote w:type="continuationSeparator" w:id="0">
    <w:p w:rsidR="00EA201B" w:rsidRPr="00042CB3" w:rsidRDefault="00EA201B">
      <w:r w:rsidRPr="00042C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01B" w:rsidRPr="00042CB3" w:rsidRDefault="00EA201B">
      <w:r w:rsidRPr="00042CB3">
        <w:separator/>
      </w:r>
    </w:p>
  </w:footnote>
  <w:footnote w:type="continuationSeparator" w:id="0">
    <w:p w:rsidR="00EA201B" w:rsidRPr="00042CB3" w:rsidRDefault="00EA201B">
      <w:r w:rsidRPr="00042C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2C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PL"/>
    <w:docVar w:name="dvnumam" w:val="0"/>
    <w:docVar w:name="dvpe" w:val="765.122"/>
    <w:docVar w:name="dvrapporteur" w:val="Sprawozdawca: "/>
    <w:docVar w:name="dvstar" w:val="***"/>
    <w:docVar w:name="dvtitre" w:val="Rezolucja ustawodawcza Parlamentu Europejskiego z dnia  2024 r. w sprawie decyzji Rady w sprawie zawarcia, w imieniu Unii Europejskiej, konwencji Narodów Zjednoczonych dotyczącej przejrzystości w umownych postępowaniach arbitrażowych między inwestorem a państwem(07011/2024 – C10-0080/2024 – 2015/0012(NLE))"/>
  </w:docVars>
  <w:rsids>
    <w:rsidRoot w:val="00EA201B"/>
    <w:rsid w:val="00002272"/>
    <w:rsid w:val="00042CB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C4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2B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14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01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18525"/>
  <w15:chartTrackingRefBased/>
  <w15:docId w15:val="{05661F9E-3D5C-4EF6-AFC4-0E983CFB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52B8"/>
    <w:pPr>
      <w:spacing w:before="480" w:after="240"/>
    </w:pPr>
  </w:style>
  <w:style w:type="paragraph" w:customStyle="1" w:styleId="NormalBold">
    <w:name w:val="NormalBold"/>
    <w:basedOn w:val="Normal"/>
    <w:rsid w:val="004B52B8"/>
    <w:rPr>
      <w:b/>
    </w:rPr>
  </w:style>
  <w:style w:type="paragraph" w:customStyle="1" w:styleId="NormalHanging12a">
    <w:name w:val="NormalHanging12a"/>
    <w:basedOn w:val="Normal"/>
    <w:rsid w:val="004B52B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8F097-B29A-4FB2-AEBB-BAE7F6CB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2024-12-18T12:19:00Z</dcterms:created>
  <dcterms:modified xsi:type="dcterms:W3CDTF">2024-12-18T12:19:00Z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