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5511" w:rsidTr="0010095E">
        <w:trPr>
          <w:trHeight w:hRule="exact" w:val="1418"/>
        </w:trPr>
        <w:tc>
          <w:tcPr>
            <w:tcW w:w="6804" w:type="dxa"/>
            <w:shd w:val="clear" w:color="auto" w:fill="auto"/>
            <w:vAlign w:val="center"/>
          </w:tcPr>
          <w:p w:rsidR="00751A4A" w:rsidRPr="007A5511" w:rsidRDefault="00E170B5" w:rsidP="0010095E">
            <w:pPr>
              <w:pStyle w:val="EPName"/>
            </w:pPr>
            <w:r w:rsidRPr="007A5511">
              <w:t>Parlamento Europeu</w:t>
            </w:r>
          </w:p>
          <w:p w:rsidR="00751A4A" w:rsidRPr="007A5511" w:rsidRDefault="005F1B17" w:rsidP="005F1B17">
            <w:pPr>
              <w:pStyle w:val="EPTerm"/>
              <w:rPr>
                <w:rStyle w:val="HideTWBExt"/>
                <w:noProof w:val="0"/>
                <w:vanish w:val="0"/>
                <w:color w:val="auto"/>
              </w:rPr>
            </w:pPr>
            <w:r w:rsidRPr="007A5511">
              <w:t>2024</w:t>
            </w:r>
            <w:r w:rsidR="00817416" w:rsidRPr="007A5511">
              <w:t>-202</w:t>
            </w:r>
            <w:r w:rsidRPr="007A5511">
              <w:t>9</w:t>
            </w:r>
          </w:p>
        </w:tc>
        <w:tc>
          <w:tcPr>
            <w:tcW w:w="2268" w:type="dxa"/>
            <w:shd w:val="clear" w:color="auto" w:fill="auto"/>
          </w:tcPr>
          <w:p w:rsidR="00751A4A" w:rsidRPr="007A5511" w:rsidRDefault="00187494" w:rsidP="0010095E">
            <w:pPr>
              <w:pStyle w:val="EPLogo"/>
            </w:pPr>
            <w:r w:rsidRPr="007A55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5511" w:rsidRDefault="00D058B8" w:rsidP="004C5D52">
      <w:pPr>
        <w:pStyle w:val="LineTop"/>
      </w:pPr>
    </w:p>
    <w:p w:rsidR="00680577" w:rsidRPr="007A5511" w:rsidRDefault="00E170B5" w:rsidP="00680577">
      <w:pPr>
        <w:pStyle w:val="EPBodyTA1"/>
      </w:pPr>
      <w:r w:rsidRPr="007A5511">
        <w:t>TEXTOS APROVADOS</w:t>
      </w:r>
    </w:p>
    <w:p w:rsidR="00D058B8" w:rsidRPr="007A5511" w:rsidRDefault="00D058B8" w:rsidP="00D058B8">
      <w:pPr>
        <w:pStyle w:val="LineBottom"/>
      </w:pPr>
    </w:p>
    <w:p w:rsidR="00E170B5" w:rsidRPr="007A5511" w:rsidRDefault="00E170B5" w:rsidP="00E170B5">
      <w:pPr>
        <w:pStyle w:val="ATHeading1"/>
      </w:pPr>
      <w:bookmarkStart w:id="0" w:name="TANumber"/>
      <w:r w:rsidRPr="007A5511">
        <w:t>P10_</w:t>
      </w:r>
      <w:proofErr w:type="gramStart"/>
      <w:r w:rsidRPr="007A5511">
        <w:t>TA(</w:t>
      </w:r>
      <w:proofErr w:type="gramEnd"/>
      <w:r w:rsidRPr="007A5511">
        <w:t>2024)00</w:t>
      </w:r>
      <w:r w:rsidR="00E25F27">
        <w:t>72</w:t>
      </w:r>
      <w:bookmarkStart w:id="1" w:name="_GoBack"/>
      <w:bookmarkEnd w:id="0"/>
      <w:bookmarkEnd w:id="1"/>
    </w:p>
    <w:p w:rsidR="00E170B5" w:rsidRPr="007A5511" w:rsidRDefault="00E170B5" w:rsidP="00E170B5">
      <w:pPr>
        <w:pStyle w:val="ATHeading2"/>
      </w:pPr>
      <w:bookmarkStart w:id="2" w:name="title"/>
      <w:r w:rsidRPr="007A5511">
        <w:t>Onze anos da ocupação da República Autónoma da Crimeia e da cidade de Sebastopol pela Federação</w:t>
      </w:r>
      <w:r w:rsidR="007A5511">
        <w:t xml:space="preserve"> </w:t>
      </w:r>
      <w:r w:rsidRPr="007A5511">
        <w:t xml:space="preserve">da Rússia e a deterioração da situação dos direitos humanos na Crimeia ocupada, nomeadamente os casos de </w:t>
      </w:r>
      <w:proofErr w:type="spellStart"/>
      <w:r w:rsidRPr="007A5511">
        <w:t>Iryna</w:t>
      </w:r>
      <w:proofErr w:type="spellEnd"/>
      <w:r w:rsidRPr="007A5511">
        <w:t xml:space="preserve"> </w:t>
      </w:r>
      <w:proofErr w:type="spellStart"/>
      <w:r w:rsidRPr="007A5511">
        <w:t>Danylovych</w:t>
      </w:r>
      <w:proofErr w:type="spellEnd"/>
      <w:r w:rsidRPr="007A5511">
        <w:t xml:space="preserve">, </w:t>
      </w:r>
      <w:proofErr w:type="spellStart"/>
      <w:r w:rsidRPr="007A5511">
        <w:t>Tofik</w:t>
      </w:r>
      <w:proofErr w:type="spellEnd"/>
      <w:r w:rsidRPr="007A5511">
        <w:t xml:space="preserve"> </w:t>
      </w:r>
      <w:proofErr w:type="spellStart"/>
      <w:r w:rsidRPr="007A5511">
        <w:t>Abdulhaziiev</w:t>
      </w:r>
      <w:proofErr w:type="spellEnd"/>
      <w:r w:rsidRPr="007A5511">
        <w:t xml:space="preserve"> e </w:t>
      </w:r>
      <w:proofErr w:type="spellStart"/>
      <w:r w:rsidRPr="007A5511">
        <w:t>Amet</w:t>
      </w:r>
      <w:proofErr w:type="spellEnd"/>
      <w:r w:rsidRPr="007A5511">
        <w:t xml:space="preserve"> </w:t>
      </w:r>
      <w:proofErr w:type="spellStart"/>
      <w:r w:rsidRPr="007A5511">
        <w:t>Suleymanov</w:t>
      </w:r>
      <w:bookmarkEnd w:id="2"/>
      <w:proofErr w:type="spellEnd"/>
    </w:p>
    <w:p w:rsidR="00E170B5" w:rsidRPr="007A5511" w:rsidRDefault="00E170B5" w:rsidP="00E170B5">
      <w:pPr>
        <w:rPr>
          <w:i/>
          <w:vanish/>
        </w:rPr>
      </w:pPr>
      <w:r w:rsidRPr="007A5511">
        <w:rPr>
          <w:i/>
        </w:rPr>
        <w:fldChar w:fldCharType="begin"/>
      </w:r>
      <w:r w:rsidRPr="007A5511">
        <w:rPr>
          <w:i/>
        </w:rPr>
        <w:instrText xml:space="preserve"> TC"(</w:instrText>
      </w:r>
      <w:bookmarkStart w:id="3" w:name="DocNumber"/>
      <w:r w:rsidRPr="007A5511">
        <w:rPr>
          <w:i/>
        </w:rPr>
        <w:instrText>B10-0219, 0229, 0232, 0233 e 0235/2024</w:instrText>
      </w:r>
      <w:bookmarkEnd w:id="3"/>
      <w:r w:rsidRPr="007A5511">
        <w:rPr>
          <w:i/>
        </w:rPr>
        <w:instrText xml:space="preserve">)"\l3 \n&gt; \* MERGEFORMAT </w:instrText>
      </w:r>
      <w:r w:rsidRPr="007A5511">
        <w:rPr>
          <w:i/>
        </w:rPr>
        <w:fldChar w:fldCharType="end"/>
      </w:r>
    </w:p>
    <w:p w:rsidR="00E170B5" w:rsidRPr="007A5511" w:rsidRDefault="00E170B5" w:rsidP="00E170B5">
      <w:pPr>
        <w:rPr>
          <w:vanish/>
        </w:rPr>
      </w:pPr>
      <w:bookmarkStart w:id="4" w:name="PE"/>
      <w:r w:rsidRPr="007A5511">
        <w:rPr>
          <w:vanish/>
        </w:rPr>
        <w:t>PE767.565</w:t>
      </w:r>
      <w:bookmarkEnd w:id="4"/>
    </w:p>
    <w:p w:rsidR="00E170B5" w:rsidRPr="007A5511" w:rsidRDefault="00E170B5" w:rsidP="00E170B5">
      <w:pPr>
        <w:pStyle w:val="ATHeading3"/>
      </w:pPr>
      <w:bookmarkStart w:id="5" w:name="Sujet"/>
      <w:r w:rsidRPr="007A5511">
        <w:t xml:space="preserve">Resolução do Parlamento Europeu, de </w:t>
      </w:r>
      <w:r w:rsidR="007A5511">
        <w:t>19</w:t>
      </w:r>
      <w:r w:rsidRPr="007A5511">
        <w:t xml:space="preserve"> de </w:t>
      </w:r>
      <w:r w:rsidR="007A5511">
        <w:t>dezembro</w:t>
      </w:r>
      <w:r w:rsidR="007A5511" w:rsidRPr="007A5511">
        <w:t xml:space="preserve"> </w:t>
      </w:r>
      <w:r w:rsidRPr="007A5511">
        <w:t xml:space="preserve">de 2024, sobre o 11.º ano de ocupação da República Autónoma da Crimeia e da cidade de Sebastopol pela Federação da Rússia e a deterioração da situação dos direitos humanos na Crimeia ocupada, nomeadamente os casos de </w:t>
      </w:r>
      <w:proofErr w:type="spellStart"/>
      <w:r w:rsidRPr="007A5511">
        <w:t>Iryna</w:t>
      </w:r>
      <w:proofErr w:type="spellEnd"/>
      <w:r w:rsidRPr="007A5511">
        <w:t xml:space="preserve"> </w:t>
      </w:r>
      <w:proofErr w:type="spellStart"/>
      <w:r w:rsidRPr="007A5511">
        <w:t>Danylovych</w:t>
      </w:r>
      <w:proofErr w:type="spellEnd"/>
      <w:r w:rsidRPr="007A5511">
        <w:t xml:space="preserve">, </w:t>
      </w:r>
      <w:proofErr w:type="spellStart"/>
      <w:r w:rsidRPr="007A5511">
        <w:t>Tofik</w:t>
      </w:r>
      <w:proofErr w:type="spellEnd"/>
      <w:r w:rsidRPr="007A5511">
        <w:t xml:space="preserve"> </w:t>
      </w:r>
      <w:proofErr w:type="spellStart"/>
      <w:r w:rsidRPr="007A5511">
        <w:t>Abdulhaziiev</w:t>
      </w:r>
      <w:proofErr w:type="spellEnd"/>
      <w:r w:rsidRPr="007A5511">
        <w:t xml:space="preserve"> e </w:t>
      </w:r>
      <w:proofErr w:type="spellStart"/>
      <w:r w:rsidRPr="007A5511">
        <w:t>Amet</w:t>
      </w:r>
      <w:proofErr w:type="spellEnd"/>
      <w:r w:rsidRPr="007A5511">
        <w:t xml:space="preserve"> </w:t>
      </w:r>
      <w:proofErr w:type="spellStart"/>
      <w:r w:rsidRPr="007A5511">
        <w:t>Suleymanov</w:t>
      </w:r>
      <w:bookmarkEnd w:id="5"/>
      <w:proofErr w:type="spellEnd"/>
      <w:r w:rsidRPr="007A5511">
        <w:t xml:space="preserve"> </w:t>
      </w:r>
      <w:bookmarkStart w:id="6" w:name="References"/>
      <w:r w:rsidRPr="007A5511">
        <w:t>(2024/2992(RSP))</w:t>
      </w:r>
      <w:bookmarkEnd w:id="6"/>
    </w:p>
    <w:p w:rsidR="00E170B5" w:rsidRPr="007A5511" w:rsidRDefault="00E170B5" w:rsidP="00E170B5"/>
    <w:p w:rsidR="009D4C4A" w:rsidRPr="007A5511" w:rsidRDefault="009D4C4A" w:rsidP="009D4C4A">
      <w:pPr>
        <w:pStyle w:val="Normal12"/>
      </w:pPr>
      <w:bookmarkStart w:id="7" w:name="TextBodyBegin"/>
      <w:bookmarkEnd w:id="7"/>
      <w:r w:rsidRPr="007A5511">
        <w:rPr>
          <w:i/>
          <w:iCs/>
        </w:rPr>
        <w:t>O Parlamento Europeu</w:t>
      </w:r>
      <w:r w:rsidRPr="007A5511">
        <w:t>,</w:t>
      </w:r>
    </w:p>
    <w:p w:rsidR="009D4C4A" w:rsidRPr="007A5511" w:rsidRDefault="009D4C4A" w:rsidP="009D4C4A">
      <w:pPr>
        <w:pStyle w:val="NormalHanging12a"/>
      </w:pPr>
      <w:r w:rsidRPr="007A5511">
        <w:t>–</w:t>
      </w:r>
      <w:r w:rsidRPr="007A5511">
        <w:tab/>
        <w:t>Tendo em conta o artigo 150.º, n.º 5, e o artigo 136.º, n.º 4, do seu Regimento,</w:t>
      </w:r>
    </w:p>
    <w:p w:rsidR="009D4C4A" w:rsidRPr="007A5511" w:rsidRDefault="009D4C4A" w:rsidP="009D4C4A">
      <w:pPr>
        <w:pStyle w:val="NormalHanging12a"/>
      </w:pPr>
      <w:r w:rsidRPr="007A5511">
        <w:t>A.</w:t>
      </w:r>
      <w:r w:rsidRPr="007A5511">
        <w:tab/>
        <w:t>Considerando que, desde fevereiro de 2014, a Crimeia encontra-se temporariamente ocupada pela Rússia, que a anexou ilegalmente, na sequência de um referendo ilegal e não reconhecido a nível internacional;</w:t>
      </w:r>
    </w:p>
    <w:p w:rsidR="009D4C4A" w:rsidRPr="007A5511" w:rsidRDefault="009D4C4A" w:rsidP="009D4C4A">
      <w:pPr>
        <w:pStyle w:val="NormalHanging12a"/>
      </w:pPr>
      <w:proofErr w:type="gramStart"/>
      <w:r w:rsidRPr="007A5511">
        <w:t>B.</w:t>
      </w:r>
      <w:r w:rsidRPr="007A5511">
        <w:tab/>
        <w:t>Considerando</w:t>
      </w:r>
      <w:proofErr w:type="gramEnd"/>
      <w:r w:rsidRPr="007A5511">
        <w:t xml:space="preserve"> que o povo da Crimeia continua a ser vítima de graves violações dos direitos humanos, de mobilização ilegal para o exército russo, de práticas coercivas de atribuição de passaportes russos e de russificação, de detenções arbitrárias, muitas vezes com base em falsas acusações de terrorismo, de desaparecimentos forçados, de atos de tortura, de execuções extrajudiciais, bem como da inexistência de liberdade de opinião, de reunião, de associação e de religião;</w:t>
      </w:r>
    </w:p>
    <w:p w:rsidR="009D4C4A" w:rsidRPr="007A5511" w:rsidRDefault="009D4C4A" w:rsidP="009D4C4A">
      <w:pPr>
        <w:pStyle w:val="NormalHanging12a"/>
      </w:pPr>
      <w:proofErr w:type="gramStart"/>
      <w:r w:rsidRPr="007A5511">
        <w:t>C.</w:t>
      </w:r>
      <w:r w:rsidRPr="007A5511">
        <w:tab/>
        <w:t>Considerando</w:t>
      </w:r>
      <w:proofErr w:type="gramEnd"/>
      <w:r w:rsidRPr="007A5511">
        <w:t xml:space="preserve"> que as autoridades ocupantes russas têm como alvo específico os tártaros da Crimeia, os cidadãos de etnia ucraniana e as minorias étnicas e reinstalaram até 800 000 russos, alterando à força e de forma neocolonial a composição demográfica da Crimeia a nível da etnia, o que constitui um crime de guerra por força do direito internacional;</w:t>
      </w:r>
    </w:p>
    <w:p w:rsidR="009D4C4A" w:rsidRPr="007A5511" w:rsidRDefault="009D4C4A" w:rsidP="009D4C4A">
      <w:pPr>
        <w:pStyle w:val="NormalHanging12a"/>
      </w:pPr>
      <w:r w:rsidRPr="007A5511">
        <w:t>D.</w:t>
      </w:r>
      <w:r w:rsidRPr="007A5511">
        <w:tab/>
        <w:t>Considerando que há mais de 200 presos políticos da Crimeia em centros de detenção russos, incluindo 133 tártaros da Crimeia e 67 presos políticos que padecem de graves problemas de saúde e que necessitam de assistência;</w:t>
      </w:r>
    </w:p>
    <w:p w:rsidR="009D4C4A" w:rsidRPr="007A5511" w:rsidRDefault="009D4C4A" w:rsidP="009D4C4A">
      <w:pPr>
        <w:pStyle w:val="NormalHanging12a"/>
      </w:pPr>
      <w:r w:rsidRPr="007A5511">
        <w:t>E.</w:t>
      </w:r>
      <w:r w:rsidRPr="007A5511">
        <w:tab/>
        <w:t xml:space="preserve">Considerando que </w:t>
      </w:r>
      <w:proofErr w:type="spellStart"/>
      <w:r w:rsidRPr="007A5511">
        <w:t>Iryna</w:t>
      </w:r>
      <w:proofErr w:type="spellEnd"/>
      <w:r w:rsidRPr="007A5511">
        <w:t xml:space="preserve"> </w:t>
      </w:r>
      <w:proofErr w:type="spellStart"/>
      <w:r w:rsidRPr="007A5511">
        <w:t>Danylovych</w:t>
      </w:r>
      <w:proofErr w:type="spellEnd"/>
      <w:r w:rsidRPr="007A5511">
        <w:t xml:space="preserve">, jornalista e defensora dos direitos humanos da </w:t>
      </w:r>
      <w:r w:rsidRPr="007A5511">
        <w:lastRenderedPageBreak/>
        <w:t xml:space="preserve">Crimeia, foi sequestrada em 2022, acusada de posse de explosivos e condenada a </w:t>
      </w:r>
      <w:r w:rsidR="007A5511">
        <w:t>seis</w:t>
      </w:r>
      <w:r w:rsidRPr="007A5511">
        <w:t xml:space="preserve"> anos e 11 meses de prisão; </w:t>
      </w:r>
      <w:r w:rsidR="007A5511">
        <w:t>c</w:t>
      </w:r>
      <w:r w:rsidR="007A5511" w:rsidRPr="007A5511">
        <w:t xml:space="preserve">onsiderando </w:t>
      </w:r>
      <w:r w:rsidRPr="007A5511">
        <w:t xml:space="preserve">que </w:t>
      </w:r>
      <w:proofErr w:type="spellStart"/>
      <w:r w:rsidRPr="007A5511">
        <w:t>Tofik</w:t>
      </w:r>
      <w:proofErr w:type="spellEnd"/>
      <w:r w:rsidRPr="007A5511">
        <w:t xml:space="preserve"> </w:t>
      </w:r>
      <w:proofErr w:type="spellStart"/>
      <w:r w:rsidRPr="007A5511">
        <w:t>Abdulhaziiev</w:t>
      </w:r>
      <w:proofErr w:type="spellEnd"/>
      <w:r w:rsidRPr="007A5511">
        <w:t xml:space="preserve">, ativista de uma ONG, foi detido em 2019 e condenado a 12 anos de prisão de máxima segurança, sob acusações falsas, e que, desde 2023, está detido numa prisão a cerca de 2 700 km da Crimeia; </w:t>
      </w:r>
      <w:r w:rsidR="007A5511">
        <w:t>c</w:t>
      </w:r>
      <w:r w:rsidR="007A5511" w:rsidRPr="007A5511">
        <w:t xml:space="preserve">onsiderando </w:t>
      </w:r>
      <w:r w:rsidRPr="007A5511">
        <w:t xml:space="preserve">que o jornalista cidadão </w:t>
      </w:r>
      <w:proofErr w:type="spellStart"/>
      <w:r w:rsidRPr="007A5511">
        <w:t>Amet</w:t>
      </w:r>
      <w:proofErr w:type="spellEnd"/>
      <w:r w:rsidRPr="007A5511">
        <w:t xml:space="preserve"> </w:t>
      </w:r>
      <w:proofErr w:type="spellStart"/>
      <w:r w:rsidRPr="007A5511">
        <w:t>Suleymanov</w:t>
      </w:r>
      <w:proofErr w:type="spellEnd"/>
      <w:r w:rsidRPr="007A5511">
        <w:t xml:space="preserve"> foi condenado a 12 anos de prisão em 2021;</w:t>
      </w:r>
    </w:p>
    <w:p w:rsidR="009D4C4A" w:rsidRPr="007A5511" w:rsidRDefault="009D4C4A" w:rsidP="009D4C4A">
      <w:pPr>
        <w:pStyle w:val="NormalHanging12a"/>
      </w:pPr>
      <w:proofErr w:type="gramStart"/>
      <w:r w:rsidRPr="007A5511">
        <w:t>F.</w:t>
      </w:r>
      <w:r w:rsidRPr="007A5511">
        <w:tab/>
        <w:t>Considerando</w:t>
      </w:r>
      <w:proofErr w:type="gramEnd"/>
      <w:r w:rsidRPr="007A5511">
        <w:t xml:space="preserve"> que muitos habitantes da Crimeia continuam a ser perseguidos, nomeadamente: Emil </w:t>
      </w:r>
      <w:proofErr w:type="spellStart"/>
      <w:r w:rsidRPr="007A5511">
        <w:t>Kurbedinov</w:t>
      </w:r>
      <w:proofErr w:type="spellEnd"/>
      <w:r w:rsidRPr="007A5511">
        <w:t xml:space="preserve">, Server </w:t>
      </w:r>
      <w:proofErr w:type="spellStart"/>
      <w:r w:rsidRPr="007A5511">
        <w:t>Mustafayev</w:t>
      </w:r>
      <w:proofErr w:type="spellEnd"/>
      <w:r w:rsidRPr="007A5511">
        <w:t>, Emir-</w:t>
      </w:r>
      <w:proofErr w:type="spellStart"/>
      <w:r w:rsidRPr="007A5511">
        <w:t>Usein</w:t>
      </w:r>
      <w:proofErr w:type="spellEnd"/>
      <w:r w:rsidRPr="007A5511">
        <w:t xml:space="preserve"> </w:t>
      </w:r>
      <w:proofErr w:type="spellStart"/>
      <w:r w:rsidRPr="007A5511">
        <w:t>Kuku</w:t>
      </w:r>
      <w:proofErr w:type="spellEnd"/>
      <w:r w:rsidRPr="007A5511">
        <w:t xml:space="preserve">, </w:t>
      </w:r>
      <w:proofErr w:type="spellStart"/>
      <w:r w:rsidRPr="007A5511">
        <w:t>Lutfiye</w:t>
      </w:r>
      <w:proofErr w:type="spellEnd"/>
      <w:r w:rsidRPr="007A5511">
        <w:t xml:space="preserve"> </w:t>
      </w:r>
      <w:proofErr w:type="spellStart"/>
      <w:r w:rsidRPr="007A5511">
        <w:t>Zudiyeva</w:t>
      </w:r>
      <w:proofErr w:type="spellEnd"/>
      <w:r w:rsidRPr="007A5511">
        <w:t xml:space="preserve">, </w:t>
      </w:r>
      <w:proofErr w:type="spellStart"/>
      <w:r w:rsidRPr="007A5511">
        <w:t>Kulamet</w:t>
      </w:r>
      <w:proofErr w:type="spellEnd"/>
      <w:r w:rsidRPr="007A5511">
        <w:t xml:space="preserve"> </w:t>
      </w:r>
      <w:proofErr w:type="spellStart"/>
      <w:r w:rsidRPr="007A5511">
        <w:t>Ibraimov</w:t>
      </w:r>
      <w:proofErr w:type="spellEnd"/>
      <w:r w:rsidRPr="007A5511">
        <w:t xml:space="preserve">, </w:t>
      </w:r>
      <w:proofErr w:type="spellStart"/>
      <w:r w:rsidRPr="007A5511">
        <w:t>Abdureshit</w:t>
      </w:r>
      <w:proofErr w:type="spellEnd"/>
      <w:r w:rsidRPr="007A5511">
        <w:t xml:space="preserve"> </w:t>
      </w:r>
      <w:proofErr w:type="spellStart"/>
      <w:r w:rsidRPr="007A5511">
        <w:t>Dzhepparov</w:t>
      </w:r>
      <w:proofErr w:type="spellEnd"/>
      <w:r w:rsidRPr="007A5511">
        <w:t xml:space="preserve">, Edem </w:t>
      </w:r>
      <w:proofErr w:type="spellStart"/>
      <w:r w:rsidRPr="007A5511">
        <w:t>Semedlyaev</w:t>
      </w:r>
      <w:proofErr w:type="spellEnd"/>
      <w:r w:rsidRPr="007A5511">
        <w:t xml:space="preserve">, Rustem </w:t>
      </w:r>
      <w:proofErr w:type="spellStart"/>
      <w:r w:rsidRPr="007A5511">
        <w:t>Kyamilev</w:t>
      </w:r>
      <w:proofErr w:type="spellEnd"/>
      <w:r w:rsidRPr="007A5511">
        <w:t xml:space="preserve">, </w:t>
      </w:r>
      <w:proofErr w:type="spellStart"/>
      <w:r w:rsidRPr="007A5511">
        <w:t>Oleksandr</w:t>
      </w:r>
      <w:proofErr w:type="spellEnd"/>
      <w:r w:rsidRPr="007A5511">
        <w:t xml:space="preserve"> </w:t>
      </w:r>
      <w:proofErr w:type="spellStart"/>
      <w:r w:rsidRPr="007A5511">
        <w:t>Sizikov</w:t>
      </w:r>
      <w:proofErr w:type="spellEnd"/>
      <w:r w:rsidRPr="007A5511">
        <w:t xml:space="preserve">, </w:t>
      </w:r>
      <w:proofErr w:type="spellStart"/>
      <w:r w:rsidRPr="007A5511">
        <w:t>Halyna</w:t>
      </w:r>
      <w:proofErr w:type="spellEnd"/>
      <w:r w:rsidRPr="007A5511">
        <w:t xml:space="preserve"> </w:t>
      </w:r>
      <w:proofErr w:type="spellStart"/>
      <w:r w:rsidRPr="007A5511">
        <w:t>Dovhopola</w:t>
      </w:r>
      <w:proofErr w:type="spellEnd"/>
      <w:r w:rsidRPr="007A5511">
        <w:t xml:space="preserve">, </w:t>
      </w:r>
      <w:proofErr w:type="spellStart"/>
      <w:r w:rsidRPr="007A5511">
        <w:t>Ruslan</w:t>
      </w:r>
      <w:proofErr w:type="spellEnd"/>
      <w:r w:rsidRPr="007A5511">
        <w:t xml:space="preserve"> </w:t>
      </w:r>
      <w:proofErr w:type="spellStart"/>
      <w:r w:rsidRPr="007A5511">
        <w:t>Abdurakhmanov</w:t>
      </w:r>
      <w:proofErr w:type="spellEnd"/>
      <w:r w:rsidRPr="007A5511">
        <w:t xml:space="preserve">, Rustem </w:t>
      </w:r>
      <w:proofErr w:type="spellStart"/>
      <w:r w:rsidRPr="007A5511">
        <w:t>Huhuryk</w:t>
      </w:r>
      <w:proofErr w:type="spellEnd"/>
      <w:r w:rsidRPr="007A5511">
        <w:t xml:space="preserve"> e </w:t>
      </w:r>
      <w:proofErr w:type="spellStart"/>
      <w:r w:rsidRPr="007A5511">
        <w:t>Lilia</w:t>
      </w:r>
      <w:proofErr w:type="spellEnd"/>
      <w:r w:rsidRPr="007A5511">
        <w:t xml:space="preserve"> </w:t>
      </w:r>
      <w:proofErr w:type="spellStart"/>
      <w:r w:rsidRPr="007A5511">
        <w:t>Hemedzhy</w:t>
      </w:r>
      <w:proofErr w:type="spellEnd"/>
      <w:r w:rsidRPr="007A5511">
        <w:t>;</w:t>
      </w:r>
    </w:p>
    <w:p w:rsidR="009D4C4A" w:rsidRPr="007A5511" w:rsidRDefault="009D4C4A" w:rsidP="009D4C4A">
      <w:pPr>
        <w:pStyle w:val="NormalHanging12a"/>
      </w:pPr>
      <w:proofErr w:type="gramStart"/>
      <w:r w:rsidRPr="007A5511">
        <w:t>1.</w:t>
      </w:r>
      <w:r w:rsidRPr="007A5511">
        <w:tab/>
        <w:t>Reitera</w:t>
      </w:r>
      <w:proofErr w:type="gramEnd"/>
      <w:r w:rsidRPr="007A5511">
        <w:t xml:space="preserve"> a sua condenação da ocupação ilegal, pela Rússia, da República Autónoma da Crimeia e da cidade de Sebastopol;</w:t>
      </w:r>
    </w:p>
    <w:p w:rsidR="009D4C4A" w:rsidRPr="007A5511" w:rsidRDefault="009D4C4A" w:rsidP="009D4C4A">
      <w:pPr>
        <w:pStyle w:val="NormalHanging12a"/>
      </w:pPr>
      <w:proofErr w:type="gramStart"/>
      <w:r w:rsidRPr="007A5511">
        <w:t>2.</w:t>
      </w:r>
      <w:r w:rsidRPr="007A5511">
        <w:tab/>
        <w:t>Condena</w:t>
      </w:r>
      <w:proofErr w:type="gramEnd"/>
      <w:r w:rsidRPr="007A5511">
        <w:t xml:space="preserve"> os constantes ataques da Rússia contra cidadãos de etnia ucraniana e a perseguição sistemática da população autóctone dos tártaros da Crimeia, com o objetivo de apagar a sua identidade, o seu património e a sua cultura, algo que, para os tártaros da Crimeia, evoca as deportações genocidas de 1944; considera que o futuro da Crimeia é indissociável do seu reconhecimento como pátria histórica dos tártaros da Crimeia;</w:t>
      </w:r>
    </w:p>
    <w:p w:rsidR="009D4C4A" w:rsidRPr="007A5511" w:rsidRDefault="009D4C4A" w:rsidP="009D4C4A">
      <w:pPr>
        <w:pStyle w:val="NormalHanging12a"/>
      </w:pPr>
      <w:proofErr w:type="gramStart"/>
      <w:r w:rsidRPr="007A5511">
        <w:t>3.</w:t>
      </w:r>
      <w:r w:rsidRPr="007A5511">
        <w:tab/>
        <w:t>Condena</w:t>
      </w:r>
      <w:proofErr w:type="gramEnd"/>
      <w:r w:rsidRPr="007A5511">
        <w:t xml:space="preserve"> a perseguição de jornalistas, ativistas da sociedade civil e defensores dos direitos humanos e a deportação de civis, em particular de presos políticos, da Crimeia para instituições penitenciárias em toda a Rússia, ao arrepio do direito internacional;</w:t>
      </w:r>
    </w:p>
    <w:p w:rsidR="009D4C4A" w:rsidRPr="007A5511" w:rsidRDefault="009D4C4A" w:rsidP="009D4C4A">
      <w:pPr>
        <w:pStyle w:val="NormalHanging12a"/>
      </w:pPr>
      <w:r w:rsidRPr="007A5511">
        <w:t>4.</w:t>
      </w:r>
      <w:r w:rsidRPr="007A5511">
        <w:tab/>
        <w:t xml:space="preserve">Exige a libertação imediata e incondicional de </w:t>
      </w:r>
      <w:proofErr w:type="spellStart"/>
      <w:r w:rsidRPr="007A5511">
        <w:t>Iryna</w:t>
      </w:r>
      <w:proofErr w:type="spellEnd"/>
      <w:r w:rsidRPr="007A5511">
        <w:t xml:space="preserve"> </w:t>
      </w:r>
      <w:proofErr w:type="spellStart"/>
      <w:r w:rsidRPr="007A5511">
        <w:t>Danylovych</w:t>
      </w:r>
      <w:proofErr w:type="spellEnd"/>
      <w:r w:rsidRPr="007A5511">
        <w:t xml:space="preserve">, </w:t>
      </w:r>
      <w:proofErr w:type="spellStart"/>
      <w:r w:rsidRPr="007A5511">
        <w:t>Tofik</w:t>
      </w:r>
      <w:proofErr w:type="spellEnd"/>
      <w:r w:rsidRPr="007A5511">
        <w:t xml:space="preserve"> </w:t>
      </w:r>
      <w:proofErr w:type="spellStart"/>
      <w:r w:rsidRPr="007A5511">
        <w:t>Abdulhaziiev</w:t>
      </w:r>
      <w:proofErr w:type="spellEnd"/>
      <w:r w:rsidRPr="007A5511">
        <w:t xml:space="preserve"> e </w:t>
      </w:r>
      <w:proofErr w:type="spellStart"/>
      <w:r w:rsidRPr="007A5511">
        <w:t>Amet</w:t>
      </w:r>
      <w:proofErr w:type="spellEnd"/>
      <w:r w:rsidRPr="007A5511">
        <w:t xml:space="preserve"> </w:t>
      </w:r>
      <w:proofErr w:type="spellStart"/>
      <w:r w:rsidRPr="007A5511">
        <w:t>Suleymanov</w:t>
      </w:r>
      <w:proofErr w:type="spellEnd"/>
      <w:r w:rsidRPr="007A5511">
        <w:t xml:space="preserve"> e de outros presos políticos; solicita que lhes sejam prestados cuidados médicos imediatos; denuncia a manutenção de penas contra pessoas gravemente doentes, o que constitui uma violação flagrante das normas internacionais em matéria de direitos humanos; exorta o Comité Internacional da Cruz Vermelha e as Nações Unidas a determinarem o paradeiro dos civis da Crimeia que se encontram detidos;</w:t>
      </w:r>
    </w:p>
    <w:p w:rsidR="009D4C4A" w:rsidRPr="007A5511" w:rsidRDefault="009D4C4A" w:rsidP="009D4C4A">
      <w:pPr>
        <w:pStyle w:val="NormalHanging12a"/>
      </w:pPr>
      <w:proofErr w:type="gramStart"/>
      <w:r w:rsidRPr="007A5511">
        <w:t>5.</w:t>
      </w:r>
      <w:r w:rsidRPr="007A5511">
        <w:tab/>
        <w:t>Exorta</w:t>
      </w:r>
      <w:proofErr w:type="gramEnd"/>
      <w:r w:rsidRPr="007A5511">
        <w:t xml:space="preserve"> a comunidade internacional a prosseguir a sua política de não reconhecimento da anexação ilegal da Crimeia; apoia os esforços destinados a pôr fim à ocupação, como os envidados pela Plataforma da Crimeia; preconiza o reforço das sanções contra as pessoas singulares e coletivas implicadas na anexação ilegal;</w:t>
      </w:r>
    </w:p>
    <w:p w:rsidR="00E365E1" w:rsidRPr="007A5511" w:rsidRDefault="009D4C4A" w:rsidP="007A5511">
      <w:pPr>
        <w:pStyle w:val="NormalHanging12a"/>
      </w:pPr>
      <w:proofErr w:type="gramStart"/>
      <w:r w:rsidRPr="007A5511">
        <w:t>6.</w:t>
      </w:r>
      <w:r w:rsidRPr="007A5511">
        <w:tab/>
        <w:t>Encarrega</w:t>
      </w:r>
      <w:proofErr w:type="gramEnd"/>
      <w:r w:rsidRPr="007A5511">
        <w:t xml:space="preserve"> a sua Presidente de transmitir a presente resolução à VP/AR, às instituições competentes da União Europeia e às autoridades russas e ucranianas.</w:t>
      </w:r>
    </w:p>
    <w:sectPr w:rsidR="00E365E1" w:rsidRPr="007A5511" w:rsidSect="006D6F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0B5" w:rsidRPr="006D6FB6" w:rsidRDefault="00E170B5">
      <w:r w:rsidRPr="006D6FB6">
        <w:separator/>
      </w:r>
    </w:p>
  </w:endnote>
  <w:endnote w:type="continuationSeparator" w:id="0">
    <w:p w:rsidR="00E170B5" w:rsidRPr="006D6FB6" w:rsidRDefault="00E170B5">
      <w:r w:rsidRPr="006D6F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F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F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F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0B5" w:rsidRPr="006D6FB6" w:rsidRDefault="00E170B5">
      <w:r w:rsidRPr="006D6FB6">
        <w:separator/>
      </w:r>
    </w:p>
  </w:footnote>
  <w:footnote w:type="continuationSeparator" w:id="0">
    <w:p w:rsidR="00E170B5" w:rsidRPr="006D6FB6" w:rsidRDefault="00E170B5">
      <w:r w:rsidRPr="006D6F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F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F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F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 0229, 0232, 0233 e 0235/2024"/>
    <w:docVar w:name="dvlangue" w:val="PT"/>
    <w:docVar w:name="dvnumam" w:val="0"/>
    <w:docVar w:name="dvpe" w:val="767.565"/>
    <w:docVar w:name="dvtitre" w:val="Resolução do Parlamento Europeu, de ... de ... de 2024, sobre o 11.º ano de ocupação da República Autónoma da Crimeia e da cidade de Sebastopol pela Federação da Rússia e a deterioração da situação dos direitos humanos na Crimeia ocupada, nomeadamente os casos de Iryna Danylovych, Tofik Abdulhaziiev e Amet Suleymanov(2024/2992(RSP))"/>
  </w:docVars>
  <w:rsids>
    <w:rsidRoot w:val="00E170B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6FB6"/>
    <w:rsid w:val="006F74FA"/>
    <w:rsid w:val="00731ADD"/>
    <w:rsid w:val="00734777"/>
    <w:rsid w:val="00747932"/>
    <w:rsid w:val="00751A4A"/>
    <w:rsid w:val="00756632"/>
    <w:rsid w:val="00762C74"/>
    <w:rsid w:val="00786EC0"/>
    <w:rsid w:val="007A551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C4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70B5"/>
    <w:rsid w:val="00E25F2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CFCB4"/>
  <w15:chartTrackingRefBased/>
  <w15:docId w15:val="{4BD590AE-4CEE-4DAA-82BB-A9F326653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D4C4A"/>
    <w:pPr>
      <w:spacing w:after="240"/>
      <w:ind w:left="567" w:hanging="567"/>
    </w:pPr>
  </w:style>
  <w:style w:type="paragraph" w:customStyle="1" w:styleId="Normal12">
    <w:name w:val="Normal12"/>
    <w:basedOn w:val="Normal"/>
    <w:link w:val="Normal12Char"/>
    <w:rsid w:val="009D4C4A"/>
    <w:pPr>
      <w:spacing w:after="240"/>
    </w:pPr>
  </w:style>
  <w:style w:type="character" w:customStyle="1" w:styleId="Normal12Char">
    <w:name w:val="Normal12 Char"/>
    <w:basedOn w:val="DefaultParagraphFont"/>
    <w:link w:val="Normal12"/>
    <w:rsid w:val="009D4C4A"/>
    <w:rPr>
      <w:sz w:val="24"/>
      <w:lang w:val="pt-PT"/>
    </w:rPr>
  </w:style>
  <w:style w:type="character" w:customStyle="1" w:styleId="NormalHanging12aChar">
    <w:name w:val="NormalHanging12a Char"/>
    <w:basedOn w:val="DefaultParagraphFont"/>
    <w:link w:val="NormalHanging12a"/>
    <w:locked/>
    <w:rsid w:val="009D4C4A"/>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782B4-ED84-48BE-8BB4-E54EC96F8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719</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2024-12-19T11:41:00Z</dcterms:created>
  <dcterms:modified xsi:type="dcterms:W3CDTF">2024-12-19T11:41:00Z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B10-0219, 0229, 0232, 0233 e 0235/2024</vt:lpwstr>
  </property>
  <property fmtid="{D5CDD505-2E9C-101B-9397-08002B2CF9AE}" pid="4" name="&lt;Type&gt;">
    <vt:lpwstr>RR</vt:lpwstr>
  </property>
</Properties>
</file>