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D6B42" w:rsidTr="0010095E">
        <w:trPr>
          <w:trHeight w:hRule="exact" w:val="1418"/>
        </w:trPr>
        <w:tc>
          <w:tcPr>
            <w:tcW w:w="6804" w:type="dxa"/>
            <w:shd w:val="clear" w:color="auto" w:fill="auto"/>
            <w:vAlign w:val="center"/>
          </w:tcPr>
          <w:p w:rsidR="00751A4A" w:rsidRPr="004D6B42" w:rsidRDefault="00A12419" w:rsidP="0010095E">
            <w:pPr>
              <w:pStyle w:val="EPName"/>
            </w:pPr>
            <w:r w:rsidRPr="004D6B42">
              <w:t>European Parliament</w:t>
            </w:r>
          </w:p>
          <w:p w:rsidR="00751A4A" w:rsidRPr="004D6B42" w:rsidRDefault="005F1B17" w:rsidP="005F1B17">
            <w:pPr>
              <w:pStyle w:val="EPTerm"/>
              <w:rPr>
                <w:rStyle w:val="HideTWBExt"/>
                <w:noProof w:val="0"/>
                <w:vanish w:val="0"/>
                <w:color w:val="auto"/>
              </w:rPr>
            </w:pPr>
            <w:r w:rsidRPr="004D6B42">
              <w:t>2024</w:t>
            </w:r>
            <w:r w:rsidR="00817416" w:rsidRPr="004D6B42">
              <w:t>-202</w:t>
            </w:r>
            <w:r w:rsidRPr="004D6B42">
              <w:t>9</w:t>
            </w:r>
          </w:p>
        </w:tc>
        <w:tc>
          <w:tcPr>
            <w:tcW w:w="2268" w:type="dxa"/>
            <w:shd w:val="clear" w:color="auto" w:fill="auto"/>
          </w:tcPr>
          <w:p w:rsidR="00751A4A" w:rsidRPr="004D6B42" w:rsidRDefault="00187494" w:rsidP="0010095E">
            <w:pPr>
              <w:pStyle w:val="EPLogo"/>
            </w:pPr>
            <w:r w:rsidRPr="004D6B42">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D6B42" w:rsidRDefault="00D058B8" w:rsidP="004C5D52">
      <w:pPr>
        <w:pStyle w:val="LineTop"/>
      </w:pPr>
    </w:p>
    <w:p w:rsidR="00680577" w:rsidRPr="004D6B42" w:rsidRDefault="00A12419" w:rsidP="00680577">
      <w:pPr>
        <w:pStyle w:val="EPBodyTA1"/>
      </w:pPr>
      <w:r w:rsidRPr="004D6B42">
        <w:t>TEXTS ADOPTED</w:t>
      </w:r>
    </w:p>
    <w:p w:rsidR="00D058B8" w:rsidRPr="004D6B42" w:rsidRDefault="00D058B8" w:rsidP="00D058B8">
      <w:pPr>
        <w:pStyle w:val="LineBottom"/>
      </w:pPr>
    </w:p>
    <w:p w:rsidR="00A12419" w:rsidRPr="004D6B42" w:rsidRDefault="00A12419" w:rsidP="00A12419">
      <w:pPr>
        <w:pStyle w:val="ATHeading1"/>
      </w:pPr>
      <w:bookmarkStart w:id="0" w:name="TANumber"/>
      <w:r w:rsidRPr="004D6B42">
        <w:t>P10_TA(2024)00</w:t>
      </w:r>
      <w:bookmarkEnd w:id="0"/>
      <w:r w:rsidR="00622438">
        <w:t>73</w:t>
      </w:r>
      <w:bookmarkStart w:id="1" w:name="_GoBack"/>
      <w:bookmarkEnd w:id="1"/>
    </w:p>
    <w:p w:rsidR="00A12419" w:rsidRPr="004D6B42" w:rsidRDefault="00A12419" w:rsidP="00A12419">
      <w:pPr>
        <w:pStyle w:val="ATHeading2"/>
      </w:pPr>
      <w:bookmarkStart w:id="2" w:name="title"/>
      <w:r w:rsidRPr="004D6B42">
        <w:t>Human rights situation in Kyrgyzstan, in particular the case of Temirlan Sultanbekov</w:t>
      </w:r>
      <w:bookmarkEnd w:id="2"/>
    </w:p>
    <w:p w:rsidR="00A12419" w:rsidRPr="004D6B42" w:rsidRDefault="00A12419" w:rsidP="00A12419">
      <w:pPr>
        <w:rPr>
          <w:i/>
          <w:vanish/>
        </w:rPr>
      </w:pPr>
      <w:r w:rsidRPr="004D6B42">
        <w:rPr>
          <w:i/>
        </w:rPr>
        <w:fldChar w:fldCharType="begin"/>
      </w:r>
      <w:r w:rsidRPr="004D6B42">
        <w:rPr>
          <w:i/>
        </w:rPr>
        <w:instrText xml:space="preserve"> TC"(</w:instrText>
      </w:r>
      <w:bookmarkStart w:id="3" w:name="DocNumber"/>
      <w:r w:rsidRPr="004D6B42">
        <w:rPr>
          <w:i/>
        </w:rPr>
        <w:instrText>B10-0222</w:instrText>
      </w:r>
      <w:r w:rsidR="00D14029">
        <w:rPr>
          <w:i/>
        </w:rPr>
        <w:instrText>, 0224, 0227, 0228 and 0230</w:instrText>
      </w:r>
      <w:r w:rsidRPr="004D6B42">
        <w:rPr>
          <w:i/>
        </w:rPr>
        <w:instrText>/2024</w:instrText>
      </w:r>
      <w:bookmarkEnd w:id="3"/>
      <w:r w:rsidRPr="004D6B42">
        <w:rPr>
          <w:i/>
        </w:rPr>
        <w:instrText xml:space="preserve">)"\l3 \n&gt; \* MERGEFORMAT </w:instrText>
      </w:r>
      <w:r w:rsidRPr="004D6B42">
        <w:rPr>
          <w:i/>
        </w:rPr>
        <w:fldChar w:fldCharType="end"/>
      </w:r>
    </w:p>
    <w:p w:rsidR="00A12419" w:rsidRPr="004D6B42" w:rsidRDefault="00A12419" w:rsidP="00A12419">
      <w:pPr>
        <w:rPr>
          <w:vanish/>
        </w:rPr>
      </w:pPr>
      <w:bookmarkStart w:id="4" w:name="PE"/>
      <w:r w:rsidRPr="004D6B42">
        <w:rPr>
          <w:vanish/>
        </w:rPr>
        <w:t>PE767.568</w:t>
      </w:r>
      <w:bookmarkEnd w:id="4"/>
    </w:p>
    <w:p w:rsidR="00A12419" w:rsidRPr="004D6B42" w:rsidRDefault="00A12419" w:rsidP="00A12419">
      <w:pPr>
        <w:pStyle w:val="ATHeading3"/>
      </w:pPr>
      <w:bookmarkStart w:id="5" w:name="Sujet"/>
      <w:r w:rsidRPr="004D6B42">
        <w:t>European Parliament resolution of 19 December 2024 on the human rights situation in Kyrgyzstan, in particular the case of Temirlan Sultanbekov</w:t>
      </w:r>
      <w:bookmarkEnd w:id="5"/>
      <w:r w:rsidRPr="004D6B42">
        <w:t xml:space="preserve"> </w:t>
      </w:r>
      <w:bookmarkStart w:id="6" w:name="References"/>
      <w:r w:rsidRPr="004D6B42">
        <w:t>(2024/2993(RSP))</w:t>
      </w:r>
      <w:bookmarkEnd w:id="6"/>
    </w:p>
    <w:p w:rsidR="003E04C7" w:rsidRPr="004D6B42" w:rsidRDefault="003E04C7" w:rsidP="003E04C7">
      <w:pPr>
        <w:pStyle w:val="EPComma"/>
      </w:pPr>
      <w:bookmarkStart w:id="7" w:name="TextBodyBegin"/>
      <w:bookmarkEnd w:id="7"/>
      <w:r w:rsidRPr="004D6B42">
        <w:rPr>
          <w:i/>
        </w:rPr>
        <w:t>The European Parliament</w:t>
      </w:r>
      <w:r w:rsidRPr="004D6B42">
        <w:t>,</w:t>
      </w:r>
    </w:p>
    <w:p w:rsidR="003E04C7" w:rsidRPr="004D6B42" w:rsidRDefault="003E04C7" w:rsidP="00D14029">
      <w:pPr>
        <w:pStyle w:val="NormalHanging12a"/>
        <w:widowControl/>
      </w:pPr>
      <w:r w:rsidRPr="004D6B42">
        <w:t>–</w:t>
      </w:r>
      <w:r w:rsidRPr="004D6B42">
        <w:tab/>
        <w:t>having regard to its previous resolutions on Kyrgyzstan,</w:t>
      </w:r>
    </w:p>
    <w:p w:rsidR="003E04C7" w:rsidRPr="004D6B42" w:rsidRDefault="003E04C7" w:rsidP="00D14029">
      <w:pPr>
        <w:pStyle w:val="NormalHanging12a"/>
        <w:widowControl/>
      </w:pPr>
      <w:r w:rsidRPr="004D6B42">
        <w:t>–</w:t>
      </w:r>
      <w:r w:rsidRPr="004D6B42">
        <w:tab/>
        <w:t>having regard to Rule 150(5) and 136(4) of its Rules of Procedure,</w:t>
      </w:r>
    </w:p>
    <w:p w:rsidR="003E04C7" w:rsidRPr="004D6B42" w:rsidRDefault="003E04C7" w:rsidP="00D14029">
      <w:pPr>
        <w:pStyle w:val="NormalHanging12a"/>
        <w:widowControl/>
      </w:pPr>
      <w:r w:rsidRPr="004D6B42">
        <w:t>A.</w:t>
      </w:r>
      <w:r w:rsidRPr="004D6B42">
        <w:tab/>
        <w:t>whereas searches were recently conducted at the headquarters of the Kyrgyzstan Social Democrats party (SDK); whereas ahead of the November 2024 municipal elections, a Bishkek district court ordered the pre-trial detention of SDK leader Temirlan Sultanbekov and other party officials until 13 January 2025; whereas they were arrested on vote-buying allegations, with an audiotape of unknown origin serving as the primary evidence, for which the judicial authorisation is unclear and its connection with the detainees unknown; whereas the SDK demonstrated that payments to campaign staff, as referred to in the recording, were transparent; whereas Mr Sultanbekov began a hunger strike in protest on the day of his arrest and his physical condition has since been seriously deteriorating; whereas the Bishkek Election Commission disqualified the party’s municipal candidates in Bishkek;</w:t>
      </w:r>
    </w:p>
    <w:p w:rsidR="003E04C7" w:rsidRPr="004D6B42" w:rsidRDefault="003E04C7" w:rsidP="00D14029">
      <w:pPr>
        <w:pStyle w:val="NormalHanging12a"/>
        <w:widowControl/>
      </w:pPr>
      <w:r w:rsidRPr="004D6B42">
        <w:t>B.</w:t>
      </w:r>
      <w:r w:rsidRPr="004D6B42">
        <w:tab/>
        <w:t>whereas in recent years, democratic standards and human rights in Kyrgyzstan have deteriorated alarmingly;</w:t>
      </w:r>
    </w:p>
    <w:p w:rsidR="003E04C7" w:rsidRPr="004D6B42" w:rsidRDefault="003E04C7" w:rsidP="00D14029">
      <w:pPr>
        <w:pStyle w:val="NormalHanging12a"/>
        <w:widowControl/>
      </w:pPr>
      <w:r w:rsidRPr="004D6B42">
        <w:t>C.</w:t>
      </w:r>
      <w:r w:rsidRPr="004D6B42">
        <w:tab/>
        <w:t>whereas independent media, such as Kloop, Temirov Live, Ait Ait Dese and Azattyk, journalists and bloggers continue to face repression; whereas both the judiciary and vigilante violence are increasingly being used to suppress political opponents and civil society critics;</w:t>
      </w:r>
    </w:p>
    <w:p w:rsidR="003E04C7" w:rsidRPr="004D6B42" w:rsidRDefault="003E04C7" w:rsidP="00D14029">
      <w:pPr>
        <w:pStyle w:val="NormalHanging12a"/>
        <w:widowControl/>
      </w:pPr>
      <w:r w:rsidRPr="004D6B42">
        <w:t>D.</w:t>
      </w:r>
      <w:r w:rsidRPr="004D6B42">
        <w:tab/>
        <w:t>whereas the Enhanced Partnership and Cooperation Agreement (EPCA) between Kyrgyzstan and the EU is subject to the Parliament consent procedure and requires Kyrgyzstan’s full compliance with its duty to protect human rights and uphold democratic standards;</w:t>
      </w:r>
    </w:p>
    <w:p w:rsidR="003E04C7" w:rsidRPr="004D6B42" w:rsidRDefault="003E04C7" w:rsidP="00D14029">
      <w:pPr>
        <w:pStyle w:val="NormalHanging12a"/>
        <w:widowControl/>
      </w:pPr>
      <w:r w:rsidRPr="004D6B42">
        <w:t>1.</w:t>
      </w:r>
      <w:r w:rsidRPr="004D6B42">
        <w:tab/>
        <w:t>Is concerned by the dubious reasons for the detention of Temirlan Sultanbekov and other pro-democracy activists in Kyrgyzstan and the possible political motivation behind the criminal case against them;</w:t>
      </w:r>
    </w:p>
    <w:p w:rsidR="003E04C7" w:rsidRPr="004D6B42" w:rsidRDefault="003E04C7" w:rsidP="00D14029">
      <w:pPr>
        <w:pStyle w:val="NormalHanging12a"/>
        <w:widowControl/>
      </w:pPr>
      <w:r w:rsidRPr="004D6B42">
        <w:lastRenderedPageBreak/>
        <w:t>2.</w:t>
      </w:r>
      <w:r w:rsidRPr="004D6B42">
        <w:tab/>
        <w:t>Urges the Kyrgyz authorities to immediately release Mr Sultanbekov and other party officials and adopt alternative measures to detention, while respecting their right to due process in line with the civil and political rights guaranteed under the Kyrgyz constitution and international obligations; calls on the authorities to ensure his safety and well-being;</w:t>
      </w:r>
    </w:p>
    <w:p w:rsidR="003E04C7" w:rsidRPr="004D6B42" w:rsidRDefault="003E04C7" w:rsidP="00D14029">
      <w:pPr>
        <w:pStyle w:val="NormalHanging12a"/>
        <w:widowControl/>
      </w:pPr>
      <w:r w:rsidRPr="004D6B42">
        <w:t>3.</w:t>
      </w:r>
      <w:r w:rsidRPr="004D6B42">
        <w:tab/>
        <w:t>Urges the Kyrgyz government to halt its campaign of intimidation and legal persecution against opposition parties, independent media outlets and journalists; is concerned by the adoption of the Russian-style ‘foreign agents’ law; urges the Kyrgyz authorities to drop all charges against human rights defenders, including Makhabat Tazhibek Kyzy, Azamat Ishenbekov, Aktilek Kaparov and Ayke Beishekeeva, journalists from the Temirov Live and Ait Ait Dese channels;</w:t>
      </w:r>
    </w:p>
    <w:p w:rsidR="003E04C7" w:rsidRPr="004D6B42" w:rsidRDefault="003E04C7" w:rsidP="00D14029">
      <w:pPr>
        <w:pStyle w:val="NormalHanging12a"/>
        <w:widowControl/>
      </w:pPr>
      <w:r w:rsidRPr="004D6B42">
        <w:t>4.</w:t>
      </w:r>
      <w:r w:rsidRPr="004D6B42">
        <w:tab/>
        <w:t>Calls on the Kyrgyz authorities to respect human rights and uphold democratic standards and fundamental freedoms in line with the EPCA and the Generalised Scheme of Preferences Plus;</w:t>
      </w:r>
    </w:p>
    <w:p w:rsidR="003E04C7" w:rsidRPr="004D6B42" w:rsidRDefault="003E04C7" w:rsidP="00D14029">
      <w:pPr>
        <w:pStyle w:val="NormalHanging12a"/>
        <w:widowControl/>
      </w:pPr>
      <w:r w:rsidRPr="004D6B42">
        <w:t>5.</w:t>
      </w:r>
      <w:r w:rsidRPr="004D6B42">
        <w:tab/>
        <w:t>Calls for all EU institutions and bodies, in particular the EU Delegation to Kyrgyzstan, to continue to voice their grave concern over the deterioration of human rights with the Kyrgyz authorities, and to consider other action should the situation deteriorate further;</w:t>
      </w:r>
    </w:p>
    <w:p w:rsidR="004D6B42" w:rsidRPr="004D6B42" w:rsidRDefault="003E04C7" w:rsidP="00D14029">
      <w:pPr>
        <w:pStyle w:val="NormalHanging12a"/>
        <w:widowControl/>
      </w:pPr>
      <w:r w:rsidRPr="004D6B42">
        <w:t>6.</w:t>
      </w:r>
      <w:r w:rsidRPr="004D6B42">
        <w:tab/>
        <w:t>Instructs its President to forward this resolution to the Council, the Commission, the VP/HR, the EU Special Representative for Central Asia, the Member States, the UN Human Rights Council and the Kyrgyz authorities.</w:t>
      </w:r>
    </w:p>
    <w:p w:rsidR="00E365E1" w:rsidRPr="004D6B42" w:rsidRDefault="00E365E1" w:rsidP="00D14029">
      <w:pPr>
        <w:widowControl/>
        <w:spacing w:after="240"/>
        <w:ind w:left="567" w:hanging="567"/>
      </w:pPr>
    </w:p>
    <w:sectPr w:rsidR="00E365E1" w:rsidRPr="004D6B42" w:rsidSect="004D6B4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419" w:rsidRPr="004D6B42" w:rsidRDefault="00A12419">
      <w:r w:rsidRPr="004D6B42">
        <w:separator/>
      </w:r>
    </w:p>
  </w:endnote>
  <w:endnote w:type="continuationSeparator" w:id="0">
    <w:p w:rsidR="00A12419" w:rsidRPr="004D6B42" w:rsidRDefault="00A12419">
      <w:r w:rsidRPr="004D6B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D6B4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D6B4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D6B4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419" w:rsidRPr="004D6B42" w:rsidRDefault="00A12419">
      <w:r w:rsidRPr="004D6B42">
        <w:separator/>
      </w:r>
    </w:p>
  </w:footnote>
  <w:footnote w:type="continuationSeparator" w:id="0">
    <w:p w:rsidR="00A12419" w:rsidRPr="004D6B42" w:rsidRDefault="00A12419">
      <w:r w:rsidRPr="004D6B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D6B4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D6B4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D6B4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222/2024"/>
    <w:docVar w:name="dvlangue" w:val="EN"/>
    <w:docVar w:name="dvnumam" w:val="0"/>
    <w:docVar w:name="dvpe" w:val="767.568"/>
    <w:docVar w:name="dvtitre" w:val="European Parliament resolution of 19 December 2024 on the human rights situation in Kyrgyzstan, in particular the case of Temirlan Sultanbekov(2024/2993(RSP))"/>
  </w:docVars>
  <w:rsids>
    <w:rsidRoot w:val="00A12419"/>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04C7"/>
    <w:rsid w:val="003E15D4"/>
    <w:rsid w:val="00411CCE"/>
    <w:rsid w:val="0041666E"/>
    <w:rsid w:val="00421060"/>
    <w:rsid w:val="00471C19"/>
    <w:rsid w:val="004867E3"/>
    <w:rsid w:val="00494A28"/>
    <w:rsid w:val="004C0004"/>
    <w:rsid w:val="004C5D52"/>
    <w:rsid w:val="004D6B42"/>
    <w:rsid w:val="0050519A"/>
    <w:rsid w:val="005072A1"/>
    <w:rsid w:val="00514517"/>
    <w:rsid w:val="00545827"/>
    <w:rsid w:val="00560270"/>
    <w:rsid w:val="005C2568"/>
    <w:rsid w:val="005F1B17"/>
    <w:rsid w:val="006037C0"/>
    <w:rsid w:val="00622438"/>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2419"/>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14029"/>
    <w:rsid w:val="00D56C11"/>
    <w:rsid w:val="00D834A0"/>
    <w:rsid w:val="00D872DF"/>
    <w:rsid w:val="00D91E21"/>
    <w:rsid w:val="00D96648"/>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8F6AC"/>
  <w15:chartTrackingRefBased/>
  <w15:docId w15:val="{8C79F1AE-8F03-4F7A-AD34-9B52EE73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3E04C7"/>
    <w:pPr>
      <w:spacing w:after="240"/>
      <w:ind w:left="567" w:hanging="567"/>
    </w:pPr>
  </w:style>
  <w:style w:type="paragraph" w:customStyle="1" w:styleId="EPComma">
    <w:name w:val="EPComma"/>
    <w:basedOn w:val="Normal"/>
    <w:rsid w:val="003E04C7"/>
    <w:pPr>
      <w:spacing w:before="480" w:after="240"/>
    </w:pPr>
  </w:style>
  <w:style w:type="character" w:customStyle="1" w:styleId="NormalHanging12aChar">
    <w:name w:val="NormalHanging12a Char"/>
    <w:basedOn w:val="DefaultParagraphFont"/>
    <w:link w:val="NormalHanging12a"/>
    <w:locked/>
    <w:rsid w:val="003E04C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6A984-BDA3-47EB-863A-E4BD43A6F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538</Words>
  <Characters>3255</Characters>
  <Application>Microsoft Office Word</Application>
  <DocSecurity>0</DocSecurity>
  <Lines>59</Lines>
  <Paragraphs>21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2024-12-19T11:43:00Z</dcterms:created>
  <dcterms:modified xsi:type="dcterms:W3CDTF">2024-12-19T11:43:00Z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B10-0222/2024</vt:lpwstr>
  </property>
  <property fmtid="{D5CDD505-2E9C-101B-9397-08002B2CF9AE}" pid="4" name="&lt;Type&gt;">
    <vt:lpwstr>RR</vt:lpwstr>
  </property>
</Properties>
</file>