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0D04" w:rsidTr="0010095E">
        <w:trPr>
          <w:trHeight w:hRule="exact" w:val="1418"/>
        </w:trPr>
        <w:tc>
          <w:tcPr>
            <w:tcW w:w="6804" w:type="dxa"/>
            <w:shd w:val="clear" w:color="auto" w:fill="auto"/>
            <w:vAlign w:val="center"/>
          </w:tcPr>
          <w:p w:rsidR="00751A4A" w:rsidRPr="009C0D04" w:rsidRDefault="00500619" w:rsidP="0010095E">
            <w:pPr>
              <w:pStyle w:val="EPName"/>
            </w:pPr>
            <w:r w:rsidRPr="009C0D04">
              <w:t>Europos Parlamentas</w:t>
            </w:r>
          </w:p>
          <w:p w:rsidR="00751A4A" w:rsidRPr="009C0D04" w:rsidRDefault="005F1B17" w:rsidP="005F1B17">
            <w:pPr>
              <w:pStyle w:val="EPTerm"/>
              <w:rPr>
                <w:rStyle w:val="HideTWBExt"/>
                <w:noProof w:val="0"/>
                <w:vanish w:val="0"/>
                <w:color w:val="auto"/>
              </w:rPr>
            </w:pPr>
            <w:r w:rsidRPr="009C0D04">
              <w:t>2024</w:t>
            </w:r>
            <w:r w:rsidR="00817416" w:rsidRPr="009C0D04">
              <w:t>-202</w:t>
            </w:r>
            <w:r w:rsidRPr="009C0D04">
              <w:t>9</w:t>
            </w:r>
          </w:p>
        </w:tc>
        <w:tc>
          <w:tcPr>
            <w:tcW w:w="2268" w:type="dxa"/>
            <w:shd w:val="clear" w:color="auto" w:fill="auto"/>
          </w:tcPr>
          <w:p w:rsidR="00751A4A" w:rsidRPr="009C0D04" w:rsidRDefault="00187494" w:rsidP="0010095E">
            <w:pPr>
              <w:pStyle w:val="EPLogo"/>
            </w:pPr>
            <w:r w:rsidRPr="009C0D0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0D04" w:rsidRDefault="00D058B8" w:rsidP="004C5D52">
      <w:pPr>
        <w:pStyle w:val="LineTop"/>
      </w:pPr>
    </w:p>
    <w:p w:rsidR="00680577" w:rsidRPr="009C0D04" w:rsidRDefault="00500619" w:rsidP="00680577">
      <w:pPr>
        <w:pStyle w:val="EPBodyTA1"/>
      </w:pPr>
      <w:r w:rsidRPr="009C0D04">
        <w:t>PRIIMTI TEKSTAI</w:t>
      </w:r>
    </w:p>
    <w:p w:rsidR="00D058B8" w:rsidRPr="009C0D04" w:rsidRDefault="00D058B8" w:rsidP="00D058B8">
      <w:pPr>
        <w:pStyle w:val="LineBottom"/>
      </w:pPr>
    </w:p>
    <w:p w:rsidR="00500619" w:rsidRPr="009C0D04" w:rsidRDefault="00500619" w:rsidP="00500619">
      <w:pPr>
        <w:pStyle w:val="ATHeading1"/>
      </w:pPr>
      <w:bookmarkStart w:id="0" w:name="TANumber"/>
      <w:r w:rsidRPr="009C0D04">
        <w:t>P10_TA(2024)00</w:t>
      </w:r>
      <w:r w:rsidR="00147B64">
        <w:t>73</w:t>
      </w:r>
      <w:bookmarkStart w:id="1" w:name="_GoBack"/>
      <w:bookmarkEnd w:id="0"/>
      <w:bookmarkEnd w:id="1"/>
    </w:p>
    <w:p w:rsidR="00500619" w:rsidRPr="009C0D04" w:rsidRDefault="00500619" w:rsidP="00500619">
      <w:pPr>
        <w:pStyle w:val="ATHeading2"/>
      </w:pPr>
      <w:bookmarkStart w:id="2" w:name="title"/>
      <w:r w:rsidRPr="009C0D04">
        <w:t xml:space="preserve">Žmogaus teisių padėtis Kirgizijoje, visų pirma </w:t>
      </w:r>
      <w:proofErr w:type="spellStart"/>
      <w:r w:rsidRPr="009C0D04">
        <w:t>Temirlano</w:t>
      </w:r>
      <w:proofErr w:type="spellEnd"/>
      <w:r w:rsidRPr="009C0D04">
        <w:t xml:space="preserve"> </w:t>
      </w:r>
      <w:proofErr w:type="spellStart"/>
      <w:r w:rsidRPr="009C0D04">
        <w:t>Sultanbekovo</w:t>
      </w:r>
      <w:proofErr w:type="spellEnd"/>
      <w:r w:rsidRPr="009C0D04">
        <w:t xml:space="preserve"> atvejis</w:t>
      </w:r>
      <w:bookmarkEnd w:id="2"/>
    </w:p>
    <w:p w:rsidR="00500619" w:rsidRPr="009C0D04" w:rsidRDefault="00500619" w:rsidP="00500619">
      <w:pPr>
        <w:rPr>
          <w:i/>
          <w:vanish/>
        </w:rPr>
      </w:pPr>
      <w:r w:rsidRPr="009C0D04">
        <w:rPr>
          <w:i/>
        </w:rPr>
        <w:fldChar w:fldCharType="begin"/>
      </w:r>
      <w:r w:rsidRPr="009C0D04">
        <w:rPr>
          <w:i/>
        </w:rPr>
        <w:instrText xml:space="preserve"> TC"(</w:instrText>
      </w:r>
      <w:bookmarkStart w:id="3" w:name="DocNumber"/>
      <w:r w:rsidRPr="009C0D04">
        <w:rPr>
          <w:i/>
        </w:rPr>
        <w:instrText>B10-0222, 0224, 0227, 0228 ir 0230/2024</w:instrText>
      </w:r>
      <w:bookmarkEnd w:id="3"/>
      <w:r w:rsidRPr="009C0D04">
        <w:rPr>
          <w:i/>
        </w:rPr>
        <w:instrText xml:space="preserve">)"\l3 \n&gt; \* MERGEFORMAT </w:instrText>
      </w:r>
      <w:r w:rsidRPr="009C0D04">
        <w:rPr>
          <w:i/>
        </w:rPr>
        <w:fldChar w:fldCharType="end"/>
      </w:r>
    </w:p>
    <w:p w:rsidR="00500619" w:rsidRPr="009C0D04" w:rsidRDefault="00500619" w:rsidP="00500619">
      <w:pPr>
        <w:rPr>
          <w:vanish/>
        </w:rPr>
      </w:pPr>
      <w:bookmarkStart w:id="4" w:name="PE"/>
      <w:r w:rsidRPr="009C0D04">
        <w:rPr>
          <w:vanish/>
        </w:rPr>
        <w:t>PE767.568</w:t>
      </w:r>
      <w:bookmarkEnd w:id="4"/>
    </w:p>
    <w:p w:rsidR="00500619" w:rsidRPr="009C0D04" w:rsidRDefault="0043690A" w:rsidP="0043690A">
      <w:pPr>
        <w:pStyle w:val="ATHeading3"/>
      </w:pPr>
      <w:bookmarkStart w:id="5" w:name="Sujet"/>
      <w:r>
        <w:t xml:space="preserve">2024 m. gruodžio 19 d. </w:t>
      </w:r>
      <w:r w:rsidR="00500619" w:rsidRPr="009C0D04">
        <w:t xml:space="preserve">Europos Parlamento rezoliucija dėl žmogaus teisių padėties Kirgizijoje, visų pirma </w:t>
      </w:r>
      <w:proofErr w:type="spellStart"/>
      <w:r w:rsidR="00500619" w:rsidRPr="009C0D04">
        <w:t>Temirlano</w:t>
      </w:r>
      <w:proofErr w:type="spellEnd"/>
      <w:r w:rsidR="00500619" w:rsidRPr="009C0D04">
        <w:t xml:space="preserve"> </w:t>
      </w:r>
      <w:proofErr w:type="spellStart"/>
      <w:r w:rsidR="00500619" w:rsidRPr="009C0D04">
        <w:t>Sultanbekovo</w:t>
      </w:r>
      <w:proofErr w:type="spellEnd"/>
      <w:r w:rsidR="00500619" w:rsidRPr="009C0D04">
        <w:t xml:space="preserve"> atvejo</w:t>
      </w:r>
      <w:bookmarkEnd w:id="5"/>
      <w:r w:rsidR="00500619" w:rsidRPr="009C0D04">
        <w:t xml:space="preserve"> </w:t>
      </w:r>
      <w:bookmarkStart w:id="6" w:name="References"/>
      <w:r w:rsidR="00500619" w:rsidRPr="009C0D04">
        <w:t>(2024/2993(RSP))</w:t>
      </w:r>
      <w:bookmarkEnd w:id="6"/>
    </w:p>
    <w:p w:rsidR="004C2F19" w:rsidRPr="009C0D04" w:rsidRDefault="004C2F19" w:rsidP="004C2F19">
      <w:pPr>
        <w:pStyle w:val="EPComma"/>
      </w:pPr>
      <w:bookmarkStart w:id="7" w:name="TextBodyBegin"/>
      <w:bookmarkEnd w:id="7"/>
      <w:r w:rsidRPr="009C0D04">
        <w:rPr>
          <w:i/>
        </w:rPr>
        <w:t>Europos Parlamentas</w:t>
      </w:r>
      <w:r w:rsidRPr="009C0D04">
        <w:t>,</w:t>
      </w:r>
    </w:p>
    <w:p w:rsidR="004C2F19" w:rsidRPr="009C0D04" w:rsidRDefault="004C2F19" w:rsidP="004C2F19">
      <w:pPr>
        <w:pStyle w:val="NormalHanging12a"/>
      </w:pPr>
      <w:r w:rsidRPr="009C0D04">
        <w:t>–</w:t>
      </w:r>
      <w:r w:rsidRPr="009C0D04">
        <w:tab/>
        <w:t>atsižvelgdamas į ankstesnes rezoliucijas dėl Kirgizijos,</w:t>
      </w:r>
    </w:p>
    <w:p w:rsidR="004C2F19" w:rsidRPr="009C0D04" w:rsidRDefault="004C2F19" w:rsidP="004C2F19">
      <w:pPr>
        <w:pStyle w:val="NormalHanging12a"/>
      </w:pPr>
      <w:r w:rsidRPr="009C0D04">
        <w:t>–</w:t>
      </w:r>
      <w:r w:rsidRPr="009C0D04">
        <w:tab/>
        <w:t>atsižvelgdamas į Darbo tvarkos taisyklių 150 straipsnio 5 dalį ir 136 straipsnio 4 dalį,</w:t>
      </w:r>
    </w:p>
    <w:p w:rsidR="004C2F19" w:rsidRPr="009C0D04" w:rsidRDefault="004C2F19" w:rsidP="004C2F19">
      <w:pPr>
        <w:pStyle w:val="NormalHanging12a"/>
      </w:pPr>
      <w:r w:rsidRPr="009C0D04">
        <w:t>A.</w:t>
      </w:r>
      <w:r w:rsidRPr="009C0D04">
        <w:tab/>
        <w:t xml:space="preserve">kadangi neseniai buvo atliktos kratos Kirgizijos socialinių demokratų partijos (SDK) būstinėje; kadangi prieš 2024 m. lapkričio mėn. vietos savivaldos rinkimus Biškeko apylinkės teismas nurodė iki 2025 m. sausio 13 d. suimti SDK lyderį </w:t>
      </w:r>
      <w:proofErr w:type="spellStart"/>
      <w:r w:rsidRPr="009C0D04">
        <w:t>Temirlaną</w:t>
      </w:r>
      <w:proofErr w:type="spellEnd"/>
      <w:r w:rsidRPr="009C0D04">
        <w:t xml:space="preserve"> </w:t>
      </w:r>
      <w:proofErr w:type="spellStart"/>
      <w:r w:rsidRPr="009C0D04">
        <w:t>Sultanbekovą</w:t>
      </w:r>
      <w:proofErr w:type="spellEnd"/>
      <w:r w:rsidRPr="009C0D04">
        <w:t xml:space="preserve"> ir kitus partijos pareigūnus; kadangi jie buvo suimti remiantis įtarimais dėl rinkėjų papirkimo, o pagrindinis įrodymas buvo nežinomos kilmės garso įrašas, kuriam neaišku ar buvo gautas teismo leidimas, o jo ryšys su sulaikytaisiais nežinomas; kadangi SDK įrodė, jog mokėjimai kampanijos darbuotojams, kaip nurodyta įrašuose, buvo skaidrūs; kadangi T. </w:t>
      </w:r>
      <w:proofErr w:type="spellStart"/>
      <w:r w:rsidRPr="009C0D04">
        <w:t>Sultanbekov</w:t>
      </w:r>
      <w:proofErr w:type="spellEnd"/>
      <w:r w:rsidRPr="009C0D04">
        <w:t xml:space="preserve"> kaip protesto ženklą savo sulaikymo dieną pradėjo bado streiką, ir jo fizinė būklė nuo to laiko labai pablogėjo; kadangi Biškeko rinkimų komisija diskvalifikavo partijos kandidatus iš savivaldos rinkimų Biškeke;</w:t>
      </w:r>
    </w:p>
    <w:p w:rsidR="004C2F19" w:rsidRPr="009C0D04" w:rsidRDefault="004C2F19" w:rsidP="004C2F19">
      <w:pPr>
        <w:pStyle w:val="NormalHanging12a"/>
      </w:pPr>
      <w:r w:rsidRPr="009C0D04">
        <w:t>B.</w:t>
      </w:r>
      <w:r w:rsidRPr="009C0D04">
        <w:tab/>
        <w:t>kadangi pastaraisiais metais demokratijos standartai ir žmogaus teisių padėtis Kirgizijoje labai suprastėjo;</w:t>
      </w:r>
    </w:p>
    <w:p w:rsidR="004C2F19" w:rsidRPr="009C0D04" w:rsidRDefault="004C2F19" w:rsidP="004C2F19">
      <w:pPr>
        <w:pStyle w:val="NormalHanging12a"/>
      </w:pPr>
      <w:r w:rsidRPr="009C0D04">
        <w:t>C.</w:t>
      </w:r>
      <w:r w:rsidRPr="009C0D04">
        <w:tab/>
        <w:t>kadangi nepriklausoma žiniasklaida, pvz., „</w:t>
      </w:r>
      <w:proofErr w:type="spellStart"/>
      <w:r w:rsidRPr="009C0D04">
        <w:t>Kloop</w:t>
      </w:r>
      <w:proofErr w:type="spellEnd"/>
      <w:r w:rsidRPr="009C0D04">
        <w:t>“, „</w:t>
      </w:r>
      <w:proofErr w:type="spellStart"/>
      <w:r w:rsidRPr="009C0D04">
        <w:t>Temirov</w:t>
      </w:r>
      <w:proofErr w:type="spellEnd"/>
      <w:r w:rsidRPr="009C0D04">
        <w:t xml:space="preserve"> </w:t>
      </w:r>
      <w:proofErr w:type="spellStart"/>
      <w:r w:rsidRPr="009C0D04">
        <w:t>Live</w:t>
      </w:r>
      <w:proofErr w:type="spellEnd"/>
      <w:r w:rsidRPr="009C0D04">
        <w:t>“, „</w:t>
      </w:r>
      <w:proofErr w:type="spellStart"/>
      <w:r w:rsidRPr="009C0D04">
        <w:t>Ait</w:t>
      </w:r>
      <w:proofErr w:type="spellEnd"/>
      <w:r w:rsidRPr="009C0D04">
        <w:t xml:space="preserve"> </w:t>
      </w:r>
      <w:proofErr w:type="spellStart"/>
      <w:r w:rsidRPr="009C0D04">
        <w:t>Ait</w:t>
      </w:r>
      <w:proofErr w:type="spellEnd"/>
      <w:r w:rsidRPr="009C0D04">
        <w:t xml:space="preserve"> </w:t>
      </w:r>
      <w:proofErr w:type="spellStart"/>
      <w:r w:rsidRPr="009C0D04">
        <w:t>Dese</w:t>
      </w:r>
      <w:proofErr w:type="spellEnd"/>
      <w:r w:rsidRPr="009C0D04">
        <w:t>“ ir „</w:t>
      </w:r>
      <w:proofErr w:type="spellStart"/>
      <w:r w:rsidRPr="009C0D04">
        <w:t>Azattyk</w:t>
      </w:r>
      <w:proofErr w:type="spellEnd"/>
      <w:r w:rsidRPr="009C0D04">
        <w:t xml:space="preserve">“, žurnalistai ir </w:t>
      </w:r>
      <w:proofErr w:type="spellStart"/>
      <w:r w:rsidRPr="009C0D04">
        <w:t>tinklaraštininkai</w:t>
      </w:r>
      <w:proofErr w:type="spellEnd"/>
      <w:r w:rsidRPr="009C0D04">
        <w:t xml:space="preserve"> ir toliau patiria represijas; kadangi politiniams oponentams ir pilietinės visuomenės kritikams slopinti vis dažniau naudojamasi tiek teisminių institucijų, tiek tvarkos prižiūrėtojų vykdomais smurtiniais veiksmais;</w:t>
      </w:r>
    </w:p>
    <w:p w:rsidR="004C2F19" w:rsidRPr="009C0D04" w:rsidRDefault="004C2F19" w:rsidP="004C2F19">
      <w:pPr>
        <w:pStyle w:val="NormalHanging12a"/>
      </w:pPr>
      <w:r w:rsidRPr="009C0D04">
        <w:t>D.</w:t>
      </w:r>
      <w:r w:rsidRPr="009C0D04">
        <w:tab/>
        <w:t>kadangi ES ir Kirgizijos tvirtesnės partnerystės ir bendradarbiavimo susitarimui taikoma Parlamento pritarimo procedūra ir reikalaujama, kad Kirgizija visapusiškai laikytųsi savo pareigos apsaugoti žmogaus teises ir laikytis demokratinių standartų;</w:t>
      </w:r>
    </w:p>
    <w:p w:rsidR="004C2F19" w:rsidRPr="009C0D04" w:rsidRDefault="004C2F19" w:rsidP="004C2F19">
      <w:pPr>
        <w:pStyle w:val="NormalHanging12a"/>
      </w:pPr>
      <w:r w:rsidRPr="009C0D04">
        <w:t>1.</w:t>
      </w:r>
      <w:r w:rsidRPr="009C0D04">
        <w:tab/>
        <w:t xml:space="preserve">yra susirūpinęs dėl abejotinų </w:t>
      </w:r>
      <w:proofErr w:type="spellStart"/>
      <w:r w:rsidRPr="009C0D04">
        <w:t>Temirlano</w:t>
      </w:r>
      <w:proofErr w:type="spellEnd"/>
      <w:r w:rsidRPr="009C0D04">
        <w:t xml:space="preserve"> </w:t>
      </w:r>
      <w:proofErr w:type="spellStart"/>
      <w:r w:rsidRPr="009C0D04">
        <w:t>Sultanbekovo</w:t>
      </w:r>
      <w:proofErr w:type="spellEnd"/>
      <w:r w:rsidRPr="009C0D04">
        <w:t xml:space="preserve"> ir kitų demokratiją remiančių aktyvistų Kirgizijoje sulaikymo priežasčių ir galimų politinių motyvų, dėl kurių jiems </w:t>
      </w:r>
      <w:r w:rsidRPr="009C0D04">
        <w:lastRenderedPageBreak/>
        <w:t>iškelta baudžiamoji byla;</w:t>
      </w:r>
    </w:p>
    <w:p w:rsidR="004C2F19" w:rsidRPr="009C0D04" w:rsidRDefault="004C2F19" w:rsidP="004C2F19">
      <w:pPr>
        <w:pStyle w:val="NormalHanging12a"/>
      </w:pPr>
      <w:r w:rsidRPr="009C0D04">
        <w:t>2.</w:t>
      </w:r>
      <w:r w:rsidRPr="009C0D04">
        <w:tab/>
        <w:t>primygtinai ragina Kirgizijos valdžios institucijas nedelsiant paleisti T. </w:t>
      </w:r>
      <w:proofErr w:type="spellStart"/>
      <w:r w:rsidRPr="009C0D04">
        <w:t>Sultanbekovą</w:t>
      </w:r>
      <w:proofErr w:type="spellEnd"/>
      <w:r w:rsidRPr="009C0D04">
        <w:t xml:space="preserve"> ir kitus partijos pareigūnus ir vietoj sulaikymo taikyti alternatyvias priemones, gerbiant jų teisę į tinkamą procesą ir užtikrinant pilietines ir politines teises, garantuojamas pagal Kirgizijos konstituciją ir tarptautinius įsipareigojimus; ragina valdžios institucijas užtikrinti jo saugumą ir gerovę;</w:t>
      </w:r>
    </w:p>
    <w:p w:rsidR="004C2F19" w:rsidRPr="009C0D04" w:rsidRDefault="004C2F19" w:rsidP="004C2F19">
      <w:pPr>
        <w:pStyle w:val="NormalHanging12a"/>
      </w:pPr>
      <w:r w:rsidRPr="009C0D04">
        <w:t>3.</w:t>
      </w:r>
      <w:r w:rsidRPr="009C0D04">
        <w:tab/>
        <w:t xml:space="preserve">primygtinai ragina Kirgizijos vyriausybę nutraukti opozicijos partijų, nepriklausomų žiniasklaidos priemonių ir žurnalistų bauginimo ir teisinio persekiojimo kampaniją; yra susirūpinęs dėl to, kad pagal Rusijos pavyzdį buvo priimtas „užsienio agentų“ įstatymas; primygtinai ragina Kirgizijos valdžios institucijas panaikinti visus </w:t>
      </w:r>
      <w:proofErr w:type="spellStart"/>
      <w:r w:rsidRPr="009C0D04">
        <w:t>kaltinimus</w:t>
      </w:r>
      <w:proofErr w:type="spellEnd"/>
      <w:r w:rsidRPr="009C0D04">
        <w:t xml:space="preserve"> žmogaus teisių gynėjams, be kita ko, kanalų „</w:t>
      </w:r>
      <w:proofErr w:type="spellStart"/>
      <w:r w:rsidRPr="009C0D04">
        <w:t>Temirov</w:t>
      </w:r>
      <w:proofErr w:type="spellEnd"/>
      <w:r w:rsidRPr="009C0D04">
        <w:t xml:space="preserve"> </w:t>
      </w:r>
      <w:proofErr w:type="spellStart"/>
      <w:r w:rsidRPr="009C0D04">
        <w:t>Live</w:t>
      </w:r>
      <w:proofErr w:type="spellEnd"/>
      <w:r w:rsidRPr="009C0D04">
        <w:t>“ ir „</w:t>
      </w:r>
      <w:proofErr w:type="spellStart"/>
      <w:r w:rsidRPr="009C0D04">
        <w:t>Ait</w:t>
      </w:r>
      <w:proofErr w:type="spellEnd"/>
      <w:r w:rsidRPr="009C0D04">
        <w:t xml:space="preserve"> </w:t>
      </w:r>
      <w:proofErr w:type="spellStart"/>
      <w:r w:rsidRPr="009C0D04">
        <w:t>Ait</w:t>
      </w:r>
      <w:proofErr w:type="spellEnd"/>
      <w:r w:rsidRPr="009C0D04">
        <w:t xml:space="preserve"> </w:t>
      </w:r>
      <w:proofErr w:type="spellStart"/>
      <w:r w:rsidRPr="009C0D04">
        <w:t>Dese</w:t>
      </w:r>
      <w:proofErr w:type="spellEnd"/>
      <w:r w:rsidRPr="009C0D04">
        <w:t xml:space="preserve">“ žurnalistams </w:t>
      </w:r>
      <w:proofErr w:type="spellStart"/>
      <w:r w:rsidRPr="009C0D04">
        <w:t>Makhabatui</w:t>
      </w:r>
      <w:proofErr w:type="spellEnd"/>
      <w:r w:rsidRPr="009C0D04">
        <w:t xml:space="preserve"> </w:t>
      </w:r>
      <w:proofErr w:type="spellStart"/>
      <w:r w:rsidRPr="009C0D04">
        <w:t>Tazhibekui</w:t>
      </w:r>
      <w:proofErr w:type="spellEnd"/>
      <w:r w:rsidRPr="009C0D04">
        <w:t xml:space="preserve"> </w:t>
      </w:r>
      <w:proofErr w:type="spellStart"/>
      <w:r w:rsidRPr="009C0D04">
        <w:t>Kyzy</w:t>
      </w:r>
      <w:proofErr w:type="spellEnd"/>
      <w:r w:rsidRPr="009C0D04">
        <w:t xml:space="preserve">, </w:t>
      </w:r>
      <w:proofErr w:type="spellStart"/>
      <w:r w:rsidRPr="009C0D04">
        <w:t>Azamatui</w:t>
      </w:r>
      <w:proofErr w:type="spellEnd"/>
      <w:r w:rsidRPr="009C0D04">
        <w:t xml:space="preserve"> </w:t>
      </w:r>
      <w:proofErr w:type="spellStart"/>
      <w:r w:rsidRPr="009C0D04">
        <w:t>Ishenbekovui</w:t>
      </w:r>
      <w:proofErr w:type="spellEnd"/>
      <w:r w:rsidRPr="009C0D04">
        <w:t xml:space="preserve">, </w:t>
      </w:r>
      <w:proofErr w:type="spellStart"/>
      <w:r w:rsidRPr="009C0D04">
        <w:t>Aktilekui</w:t>
      </w:r>
      <w:proofErr w:type="spellEnd"/>
      <w:r w:rsidRPr="009C0D04">
        <w:t xml:space="preserve"> </w:t>
      </w:r>
      <w:proofErr w:type="spellStart"/>
      <w:r w:rsidRPr="009C0D04">
        <w:t>Kaparovui</w:t>
      </w:r>
      <w:proofErr w:type="spellEnd"/>
      <w:r w:rsidRPr="009C0D04">
        <w:t xml:space="preserve"> ir </w:t>
      </w:r>
      <w:proofErr w:type="spellStart"/>
      <w:r w:rsidRPr="009C0D04">
        <w:t>Ayke</w:t>
      </w:r>
      <w:proofErr w:type="spellEnd"/>
      <w:r w:rsidRPr="009C0D04">
        <w:t xml:space="preserve"> </w:t>
      </w:r>
      <w:proofErr w:type="spellStart"/>
      <w:r w:rsidRPr="009C0D04">
        <w:t>Beishekeevai</w:t>
      </w:r>
      <w:proofErr w:type="spellEnd"/>
      <w:r w:rsidRPr="009C0D04">
        <w:t>;</w:t>
      </w:r>
    </w:p>
    <w:p w:rsidR="004C2F19" w:rsidRPr="009C0D04" w:rsidRDefault="004C2F19" w:rsidP="004C2F19">
      <w:pPr>
        <w:pStyle w:val="NormalHanging12a"/>
      </w:pPr>
      <w:r w:rsidRPr="009C0D04">
        <w:t>4.</w:t>
      </w:r>
      <w:r w:rsidRPr="009C0D04">
        <w:tab/>
        <w:t>ragina Kirgizijos valdžios institucijas paisyti žmogaus teisių ir laikytis demokratinių standartų bei užtikrinti pagrindines laisves, vadovaujantis partnerystės ir bendradarbiavimo susitarimo bei Bendrosios lengvatų sistemos nuostatomis;</w:t>
      </w:r>
    </w:p>
    <w:p w:rsidR="004C2F19" w:rsidRPr="009C0D04" w:rsidRDefault="004C2F19" w:rsidP="004C2F19">
      <w:pPr>
        <w:pStyle w:val="NormalHanging12a"/>
      </w:pPr>
      <w:r w:rsidRPr="009C0D04">
        <w:t>5.</w:t>
      </w:r>
      <w:r w:rsidRPr="009C0D04">
        <w:tab/>
        <w:t>ragina visas ES institucijas ir įstaigas, visų pirma ES delegaciją Kirgizijoje, toliau reikšti didelį susirūpinimą dėl blogėjančios žmogaus teisių padėties Kirgizijos valdžios institucijoms ir apsvarstyti galimybę imtis kitų veiksmų, jei padėtis toliau blogėtų;</w:t>
      </w:r>
    </w:p>
    <w:p w:rsidR="00E365E1" w:rsidRPr="009C0D04" w:rsidRDefault="004C2F19" w:rsidP="0043690A">
      <w:pPr>
        <w:pStyle w:val="NormalHanging12a"/>
      </w:pPr>
      <w:r w:rsidRPr="009C0D04">
        <w:t>6.</w:t>
      </w:r>
      <w:r w:rsidRPr="009C0D04">
        <w:tab/>
        <w:t>paveda Pirmininkei perduoti šią rezoliuciją Tarybai, Komisijai, Sąjungos vyriausiajai įgaliotinei užsienio reikalams ir saugumo politikai ir Komisijos pirmininko pavaduotojai, ES specialiajam įgaliotiniui Vidurinėje Azijoje, valstybėms narėms, JT Žmogaus teisių tarybai ir Kirgizijos valdžios institucijoms.</w:t>
      </w:r>
    </w:p>
    <w:sectPr w:rsidR="00E365E1" w:rsidRPr="009C0D04" w:rsidSect="009C0D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619" w:rsidRPr="009C0D04" w:rsidRDefault="00500619">
      <w:r w:rsidRPr="009C0D04">
        <w:separator/>
      </w:r>
    </w:p>
  </w:endnote>
  <w:endnote w:type="continuationSeparator" w:id="0">
    <w:p w:rsidR="00500619" w:rsidRPr="009C0D04" w:rsidRDefault="00500619">
      <w:r w:rsidRPr="009C0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D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D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D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619" w:rsidRPr="009C0D04" w:rsidRDefault="00500619">
      <w:r w:rsidRPr="009C0D04">
        <w:separator/>
      </w:r>
    </w:p>
  </w:footnote>
  <w:footnote w:type="continuationSeparator" w:id="0">
    <w:p w:rsidR="00500619" w:rsidRPr="009C0D04" w:rsidRDefault="00500619">
      <w:r w:rsidRPr="009C0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D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D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D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 0224, 0227, 0228 ir 0230/2024"/>
    <w:docVar w:name="dvlangue" w:val="LT"/>
    <w:docVar w:name="dvnumam" w:val="0"/>
    <w:docVar w:name="dvpe" w:val="767.568"/>
    <w:docVar w:name="dvtitre" w:val="Europos Parlamento rezoliucija dėl žmogaus teisių padėties Kirgizijoje, visų pirma Temirlano Sultanbekovo atvejo(2024/2993(RSP))"/>
  </w:docVars>
  <w:rsids>
    <w:rsidRoot w:val="00500619"/>
    <w:rsid w:val="00002272"/>
    <w:rsid w:val="00064002"/>
    <w:rsid w:val="000677B9"/>
    <w:rsid w:val="000831BA"/>
    <w:rsid w:val="000A42CC"/>
    <w:rsid w:val="000E7DD9"/>
    <w:rsid w:val="0010095E"/>
    <w:rsid w:val="00125B37"/>
    <w:rsid w:val="00147B64"/>
    <w:rsid w:val="00187494"/>
    <w:rsid w:val="001F32AE"/>
    <w:rsid w:val="002767FF"/>
    <w:rsid w:val="002B18FE"/>
    <w:rsid w:val="002B5493"/>
    <w:rsid w:val="00343214"/>
    <w:rsid w:val="00361C00"/>
    <w:rsid w:val="00395FA1"/>
    <w:rsid w:val="003E15D4"/>
    <w:rsid w:val="00411CCE"/>
    <w:rsid w:val="0041666E"/>
    <w:rsid w:val="00421060"/>
    <w:rsid w:val="0043690A"/>
    <w:rsid w:val="00471C19"/>
    <w:rsid w:val="004867E3"/>
    <w:rsid w:val="00494A28"/>
    <w:rsid w:val="004C0004"/>
    <w:rsid w:val="004C2F19"/>
    <w:rsid w:val="004C5D52"/>
    <w:rsid w:val="0050061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D0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519A9"/>
  <w15:chartTrackingRefBased/>
  <w15:docId w15:val="{82712F0D-65BD-4554-BBF1-060312C0D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C2F19"/>
    <w:pPr>
      <w:spacing w:after="240"/>
      <w:ind w:left="567" w:hanging="567"/>
    </w:pPr>
  </w:style>
  <w:style w:type="paragraph" w:customStyle="1" w:styleId="EPComma">
    <w:name w:val="EPComma"/>
    <w:basedOn w:val="Normal"/>
    <w:rsid w:val="004C2F19"/>
    <w:pPr>
      <w:spacing w:before="480" w:after="240"/>
    </w:pPr>
  </w:style>
  <w:style w:type="character" w:customStyle="1" w:styleId="NormalHanging12aChar">
    <w:name w:val="NormalHanging12a Char"/>
    <w:basedOn w:val="DefaultParagraphFont"/>
    <w:link w:val="NormalHanging12a"/>
    <w:locked/>
    <w:rsid w:val="004C2F1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B2F23-DF31-4476-8204-75D065DD0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2024-12-19T11:14:00Z</dcterms:created>
  <dcterms:modified xsi:type="dcterms:W3CDTF">2024-12-19T11:14:00Z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B10-0222, 0224, 0227, 0228 ir 0230/2024</vt:lpwstr>
  </property>
  <property fmtid="{D5CDD505-2E9C-101B-9397-08002B2CF9AE}" pid="4" name="&lt;Type&gt;">
    <vt:lpwstr>RR</vt:lpwstr>
  </property>
</Properties>
</file>