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56E5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56E51" w:rsidRDefault="00FB18F2" w:rsidP="0010095E">
            <w:pPr>
              <w:pStyle w:val="EPName"/>
            </w:pPr>
            <w:r w:rsidRPr="00E56E51">
              <w:t>Parlamento Europeu</w:t>
            </w:r>
          </w:p>
          <w:p w:rsidR="00751A4A" w:rsidRPr="00E56E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56E51">
              <w:t>2024</w:t>
            </w:r>
            <w:r w:rsidR="00817416" w:rsidRPr="00E56E51">
              <w:t>-202</w:t>
            </w:r>
            <w:r w:rsidRPr="00E56E5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56E51" w:rsidRDefault="00187494" w:rsidP="0010095E">
            <w:pPr>
              <w:pStyle w:val="EPLogo"/>
            </w:pPr>
            <w:r w:rsidRPr="00E56E5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56E51" w:rsidRDefault="00D058B8" w:rsidP="004C5D52">
      <w:pPr>
        <w:pStyle w:val="LineTop"/>
      </w:pPr>
    </w:p>
    <w:p w:rsidR="00680577" w:rsidRPr="00E56E51" w:rsidRDefault="00FB18F2" w:rsidP="00680577">
      <w:pPr>
        <w:pStyle w:val="EPBodyTA1"/>
      </w:pPr>
      <w:r w:rsidRPr="00E56E51">
        <w:t>TEXTOS APROVADOS</w:t>
      </w:r>
    </w:p>
    <w:p w:rsidR="00D058B8" w:rsidRPr="00E56E51" w:rsidRDefault="00D058B8" w:rsidP="00D058B8">
      <w:pPr>
        <w:pStyle w:val="LineBottom"/>
      </w:pPr>
    </w:p>
    <w:p w:rsidR="00FB18F2" w:rsidRPr="00E56E51" w:rsidRDefault="00FB18F2" w:rsidP="00FB18F2">
      <w:pPr>
        <w:pStyle w:val="ATHeading1"/>
      </w:pPr>
      <w:bookmarkStart w:id="0" w:name="TANumber"/>
      <w:r w:rsidRPr="00E56E51">
        <w:t>P10_</w:t>
      </w:r>
      <w:proofErr w:type="gramStart"/>
      <w:r w:rsidRPr="00E56E51">
        <w:t>TA(</w:t>
      </w:r>
      <w:proofErr w:type="gramEnd"/>
      <w:r w:rsidRPr="00E56E51">
        <w:t>2024)</w:t>
      </w:r>
      <w:bookmarkEnd w:id="0"/>
      <w:r w:rsidR="00FB4758" w:rsidRPr="00E56E51">
        <w:t>0073</w:t>
      </w:r>
    </w:p>
    <w:p w:rsidR="00FB18F2" w:rsidRPr="00E56E51" w:rsidRDefault="00FB18F2" w:rsidP="00FB18F2">
      <w:pPr>
        <w:pStyle w:val="ATHeading2"/>
      </w:pPr>
      <w:bookmarkStart w:id="1" w:name="title"/>
      <w:r w:rsidRPr="00E56E51">
        <w:t xml:space="preserve">Situação dos direitos humanos no Quirguistão, em particular o caso de </w:t>
      </w:r>
      <w:proofErr w:type="spellStart"/>
      <w:r w:rsidRPr="00E56E51">
        <w:t>Temirlan</w:t>
      </w:r>
      <w:proofErr w:type="spellEnd"/>
      <w:r w:rsidRPr="00E56E51">
        <w:t xml:space="preserve"> </w:t>
      </w:r>
      <w:proofErr w:type="spellStart"/>
      <w:r w:rsidRPr="00E56E51">
        <w:t>Sultanbekov</w:t>
      </w:r>
      <w:bookmarkEnd w:id="1"/>
      <w:proofErr w:type="spellEnd"/>
    </w:p>
    <w:p w:rsidR="00FB18F2" w:rsidRPr="00E56E51" w:rsidRDefault="00FB18F2" w:rsidP="00FB18F2">
      <w:pPr>
        <w:rPr>
          <w:i/>
          <w:vanish/>
        </w:rPr>
      </w:pPr>
      <w:r w:rsidRPr="00E56E51">
        <w:rPr>
          <w:i/>
        </w:rPr>
        <w:fldChar w:fldCharType="begin"/>
      </w:r>
      <w:r w:rsidRPr="00E56E51">
        <w:rPr>
          <w:i/>
        </w:rPr>
        <w:instrText xml:space="preserve"> TC"(</w:instrText>
      </w:r>
      <w:bookmarkStart w:id="2" w:name="DocNumber"/>
      <w:r w:rsidRPr="00E56E51">
        <w:rPr>
          <w:i/>
        </w:rPr>
        <w:instrText>B10-0222, 0224, 0227, 0228 e 0230/2024</w:instrText>
      </w:r>
      <w:bookmarkEnd w:id="2"/>
      <w:r w:rsidRPr="00E56E51">
        <w:rPr>
          <w:i/>
        </w:rPr>
        <w:instrText xml:space="preserve">)"\l3 \n&gt; \* MERGEFORMAT </w:instrText>
      </w:r>
      <w:r w:rsidRPr="00E56E51">
        <w:rPr>
          <w:i/>
        </w:rPr>
        <w:fldChar w:fldCharType="end"/>
      </w:r>
    </w:p>
    <w:p w:rsidR="00FB18F2" w:rsidRPr="00E56E51" w:rsidRDefault="00FB18F2" w:rsidP="00FB18F2">
      <w:pPr>
        <w:rPr>
          <w:vanish/>
        </w:rPr>
      </w:pPr>
      <w:bookmarkStart w:id="3" w:name="PE"/>
      <w:r w:rsidRPr="00E56E51">
        <w:rPr>
          <w:vanish/>
        </w:rPr>
        <w:t>PE767.568</w:t>
      </w:r>
      <w:bookmarkEnd w:id="3"/>
    </w:p>
    <w:p w:rsidR="00FB18F2" w:rsidRPr="00E56E51" w:rsidRDefault="00FB18F2" w:rsidP="00FB18F2">
      <w:pPr>
        <w:pStyle w:val="ATHeading3"/>
      </w:pPr>
      <w:bookmarkStart w:id="4" w:name="Sujet"/>
      <w:r w:rsidRPr="00E56E51">
        <w:t xml:space="preserve">Resolução do Parlamento Europeu, de </w:t>
      </w:r>
      <w:r w:rsidR="00E612E8" w:rsidRPr="00E56E51">
        <w:t xml:space="preserve">19 </w:t>
      </w:r>
      <w:r w:rsidRPr="00E56E51">
        <w:t xml:space="preserve">de </w:t>
      </w:r>
      <w:r w:rsidR="00E612E8" w:rsidRPr="00E56E51">
        <w:t xml:space="preserve">dezembro </w:t>
      </w:r>
      <w:r w:rsidRPr="00E56E51">
        <w:t xml:space="preserve">de 2024, sobre a situação dos direitos humanos no Quirguistão, em particular o caso de </w:t>
      </w:r>
      <w:proofErr w:type="spellStart"/>
      <w:r w:rsidRPr="00E56E51">
        <w:t>Temirlan</w:t>
      </w:r>
      <w:proofErr w:type="spellEnd"/>
      <w:r w:rsidRPr="00E56E51">
        <w:t xml:space="preserve"> </w:t>
      </w:r>
      <w:proofErr w:type="spellStart"/>
      <w:r w:rsidRPr="00E56E51">
        <w:t>Sultanbekov</w:t>
      </w:r>
      <w:bookmarkEnd w:id="4"/>
      <w:proofErr w:type="spellEnd"/>
      <w:r w:rsidRPr="00E56E51">
        <w:t xml:space="preserve"> </w:t>
      </w:r>
      <w:bookmarkStart w:id="5" w:name="References"/>
      <w:r w:rsidRPr="00E56E51">
        <w:t>(2024/2993(RSP))</w:t>
      </w:r>
      <w:bookmarkEnd w:id="5"/>
    </w:p>
    <w:p w:rsidR="005C4058" w:rsidRPr="00E56E51" w:rsidRDefault="005C4058" w:rsidP="005C4058">
      <w:pPr>
        <w:pStyle w:val="EPComma"/>
      </w:pPr>
      <w:bookmarkStart w:id="6" w:name="TextBodyBegin"/>
      <w:bookmarkEnd w:id="6"/>
      <w:r w:rsidRPr="00E56E51">
        <w:rPr>
          <w:i/>
        </w:rPr>
        <w:t>O Parlamento Europeu</w:t>
      </w:r>
      <w:r w:rsidRPr="00E56E51">
        <w:t>,</w:t>
      </w:r>
    </w:p>
    <w:p w:rsidR="005C4058" w:rsidRPr="00E56E51" w:rsidRDefault="005C4058" w:rsidP="005C4058">
      <w:pPr>
        <w:pStyle w:val="NormalHanging12a"/>
      </w:pPr>
      <w:r w:rsidRPr="00E56E51">
        <w:t>–</w:t>
      </w:r>
      <w:r w:rsidRPr="00E56E51">
        <w:tab/>
        <w:t>Tendo em conta as suas anteriores resoluções sobre o Quirguistão,</w:t>
      </w:r>
    </w:p>
    <w:p w:rsidR="005C4058" w:rsidRPr="00E56E51" w:rsidRDefault="005C4058" w:rsidP="005C4058">
      <w:pPr>
        <w:pStyle w:val="NormalHanging12a"/>
      </w:pPr>
      <w:r w:rsidRPr="00E56E51">
        <w:t>–</w:t>
      </w:r>
      <w:r w:rsidRPr="00E56E51">
        <w:tab/>
        <w:t>Tendo em conta o artigo 150.º, n.º 5, e o artigo 136.º, n.º 4, do seu Regimento,</w:t>
      </w:r>
    </w:p>
    <w:p w:rsidR="005C4058" w:rsidRPr="00E56E51" w:rsidRDefault="005C4058" w:rsidP="005C4058">
      <w:pPr>
        <w:pStyle w:val="NormalHanging12a"/>
      </w:pPr>
      <w:r w:rsidRPr="00E56E51">
        <w:t>A.</w:t>
      </w:r>
      <w:r w:rsidRPr="00E56E51">
        <w:tab/>
        <w:t>Considerando que, recentemente, se realizaram buscas na sede do partido social</w:t>
      </w:r>
      <w:r w:rsidRPr="00E56E51">
        <w:noBreakHyphen/>
        <w:t>democrata do Quirguistão (SDK)</w:t>
      </w:r>
      <w:r w:rsidR="00E612E8" w:rsidRPr="00E56E51">
        <w:t>; considerando que</w:t>
      </w:r>
      <w:r w:rsidRPr="00E56E51">
        <w:t xml:space="preserve">, antes das eleições autárquicas de novembro de 2024, um tribunal distrital de </w:t>
      </w:r>
      <w:proofErr w:type="spellStart"/>
      <w:r w:rsidRPr="00E56E51">
        <w:t>B</w:t>
      </w:r>
      <w:bookmarkStart w:id="7" w:name="_GoBack"/>
      <w:bookmarkEnd w:id="7"/>
      <w:r w:rsidRPr="00E56E51">
        <w:t>isqueque</w:t>
      </w:r>
      <w:proofErr w:type="spellEnd"/>
      <w:r w:rsidRPr="00E56E51">
        <w:t xml:space="preserve"> ordenou a prisão preventiva do líder do SDK, </w:t>
      </w:r>
      <w:proofErr w:type="spellStart"/>
      <w:r w:rsidRPr="00E56E51">
        <w:t>Temirlan</w:t>
      </w:r>
      <w:proofErr w:type="spellEnd"/>
      <w:r w:rsidRPr="00E56E51">
        <w:t xml:space="preserve"> </w:t>
      </w:r>
      <w:proofErr w:type="spellStart"/>
      <w:r w:rsidRPr="00E56E51">
        <w:t>Sultanbekov</w:t>
      </w:r>
      <w:proofErr w:type="spellEnd"/>
      <w:r w:rsidRPr="00E56E51">
        <w:t>, e de outros funcionários do partido até ao dia 13 de janeiro de 2025</w:t>
      </w:r>
      <w:r w:rsidR="00E612E8" w:rsidRPr="00E56E51">
        <w:t>; considerando que</w:t>
      </w:r>
      <w:r w:rsidRPr="00E56E51">
        <w:t xml:space="preserve"> foram detidos por alegada compra de votos, tendo sido o principal elemento de prova uma gravação de origem desconhecida, cuja autorização judicial não é clara e cuja ligação com os detidos é desconhecida</w:t>
      </w:r>
      <w:r w:rsidR="00E612E8" w:rsidRPr="00E56E51">
        <w:t>; considerando que</w:t>
      </w:r>
      <w:r w:rsidRPr="00E56E51">
        <w:t xml:space="preserve"> o SDK demonstrou que os pagamentos aos colaboradores da campanha, tal como referido na gravação, foram efetuados com toda a transparência</w:t>
      </w:r>
      <w:r w:rsidR="00E612E8" w:rsidRPr="00E56E51">
        <w:t>; considerando que</w:t>
      </w:r>
      <w:r w:rsidRPr="00E56E51">
        <w:t xml:space="preserve"> </w:t>
      </w:r>
      <w:proofErr w:type="spellStart"/>
      <w:r w:rsidRPr="00E56E51">
        <w:t>Temirlan</w:t>
      </w:r>
      <w:proofErr w:type="spellEnd"/>
      <w:r w:rsidRPr="00E56E51">
        <w:t xml:space="preserve"> </w:t>
      </w:r>
      <w:proofErr w:type="spellStart"/>
      <w:r w:rsidRPr="00E56E51">
        <w:t>Sultanbekov</w:t>
      </w:r>
      <w:proofErr w:type="spellEnd"/>
      <w:r w:rsidRPr="00E56E51">
        <w:t xml:space="preserve"> iniciou, como forma de protesto, uma greve de fome no dia da sua detenção e que, desde então, o seu estado físico tem vindo a deteriorar</w:t>
      </w:r>
      <w:r w:rsidRPr="00E56E51">
        <w:noBreakHyphen/>
        <w:t>se gravemente</w:t>
      </w:r>
      <w:r w:rsidR="00E612E8" w:rsidRPr="00E56E51">
        <w:t>; considerando que</w:t>
      </w:r>
      <w:r w:rsidRPr="00E56E51">
        <w:t xml:space="preserve"> a Comissão Eleitoral de </w:t>
      </w:r>
      <w:proofErr w:type="spellStart"/>
      <w:r w:rsidRPr="00E56E51">
        <w:t>Bisqueque</w:t>
      </w:r>
      <w:proofErr w:type="spellEnd"/>
      <w:r w:rsidRPr="00E56E51">
        <w:t xml:space="preserve"> rejeitou os candidatos municipais do partido em </w:t>
      </w:r>
      <w:proofErr w:type="spellStart"/>
      <w:r w:rsidRPr="00E56E51">
        <w:t>Bisqueque</w:t>
      </w:r>
      <w:proofErr w:type="spellEnd"/>
      <w:r w:rsidRPr="00E56E51">
        <w:t>;</w:t>
      </w:r>
    </w:p>
    <w:p w:rsidR="005C4058" w:rsidRPr="00E56E51" w:rsidRDefault="005C4058" w:rsidP="005C4058">
      <w:pPr>
        <w:pStyle w:val="NormalHanging12a"/>
      </w:pPr>
      <w:proofErr w:type="gramStart"/>
      <w:r w:rsidRPr="00E56E51">
        <w:t>B.</w:t>
      </w:r>
      <w:r w:rsidRPr="00E56E51">
        <w:tab/>
        <w:t>Considerando</w:t>
      </w:r>
      <w:proofErr w:type="gramEnd"/>
      <w:r w:rsidRPr="00E56E51">
        <w:t xml:space="preserve"> que, nos últimos anos, as normas democráticas e os direitos humanos no Quirguistão se degradaram de forma alarmante;</w:t>
      </w:r>
    </w:p>
    <w:p w:rsidR="005C4058" w:rsidRPr="00E56E51" w:rsidRDefault="005C4058" w:rsidP="005C4058">
      <w:pPr>
        <w:pStyle w:val="NormalHanging12a"/>
      </w:pPr>
      <w:proofErr w:type="gramStart"/>
      <w:r w:rsidRPr="00E56E51">
        <w:t>C.</w:t>
      </w:r>
      <w:r w:rsidRPr="00E56E51">
        <w:tab/>
        <w:t>Considerando</w:t>
      </w:r>
      <w:proofErr w:type="gramEnd"/>
      <w:r w:rsidRPr="00E56E51">
        <w:t xml:space="preserve"> que os meios de comunicação social independentes, como a </w:t>
      </w:r>
      <w:proofErr w:type="spellStart"/>
      <w:r w:rsidRPr="00E56E51">
        <w:t>Kloop</w:t>
      </w:r>
      <w:proofErr w:type="spellEnd"/>
      <w:r w:rsidRPr="00E56E51">
        <w:t xml:space="preserve">, a </w:t>
      </w:r>
      <w:proofErr w:type="spellStart"/>
      <w:r w:rsidRPr="00E56E51">
        <w:t>Temirov</w:t>
      </w:r>
      <w:proofErr w:type="spellEnd"/>
      <w:r w:rsidRPr="00E56E51">
        <w:t xml:space="preserve"> Live, a </w:t>
      </w:r>
      <w:proofErr w:type="spellStart"/>
      <w:r w:rsidRPr="00E56E51">
        <w:t>Ait</w:t>
      </w:r>
      <w:proofErr w:type="spellEnd"/>
      <w:r w:rsidRPr="00E56E51">
        <w:t xml:space="preserve"> </w:t>
      </w:r>
      <w:proofErr w:type="spellStart"/>
      <w:r w:rsidRPr="00E56E51">
        <w:t>Ait</w:t>
      </w:r>
      <w:proofErr w:type="spellEnd"/>
      <w:r w:rsidRPr="00E56E51">
        <w:t xml:space="preserve"> </w:t>
      </w:r>
      <w:proofErr w:type="spellStart"/>
      <w:r w:rsidRPr="00E56E51">
        <w:t>Dese</w:t>
      </w:r>
      <w:proofErr w:type="spellEnd"/>
      <w:r w:rsidRPr="00E56E51">
        <w:t xml:space="preserve"> e a </w:t>
      </w:r>
      <w:proofErr w:type="spellStart"/>
      <w:r w:rsidRPr="00E56E51">
        <w:t>Azattyk</w:t>
      </w:r>
      <w:proofErr w:type="spellEnd"/>
      <w:r w:rsidRPr="00E56E51">
        <w:t>, assim como os jornalistas e os bloguistas, continuam a ser alvo de repressão</w:t>
      </w:r>
      <w:r w:rsidR="00E612E8" w:rsidRPr="00E56E51">
        <w:t>; considerando que</w:t>
      </w:r>
      <w:r w:rsidRPr="00E56E51">
        <w:t xml:space="preserve"> o poder judicial e a violência de milícias são cada vez mais utilizados para reprimir opositores políticos e vozes críticas da sociedade civil;</w:t>
      </w:r>
    </w:p>
    <w:p w:rsidR="005C4058" w:rsidRPr="00E56E51" w:rsidRDefault="005C4058" w:rsidP="005C4058">
      <w:pPr>
        <w:pStyle w:val="NormalHanging12a"/>
      </w:pPr>
      <w:r w:rsidRPr="00E56E51">
        <w:t>D.</w:t>
      </w:r>
      <w:r w:rsidRPr="00E56E51">
        <w:tab/>
        <w:t xml:space="preserve">Considerando que o Acordo de Parceria e Cooperação Reforçadas (APCR) entre o </w:t>
      </w:r>
      <w:r w:rsidRPr="00E56E51">
        <w:lastRenderedPageBreak/>
        <w:t>Quirguistão e a UE está subordinado ao processo de aprovação do Parlamento e exige que o Quirguistão cumpra plenamente o seu dever de proteger os direitos humanos e salvaguardar as normas democráticas;</w:t>
      </w:r>
    </w:p>
    <w:p w:rsidR="005C4058" w:rsidRPr="00E56E51" w:rsidRDefault="005C4058" w:rsidP="005C4058">
      <w:pPr>
        <w:pStyle w:val="NormalHanging12a"/>
      </w:pPr>
      <w:proofErr w:type="gramStart"/>
      <w:r w:rsidRPr="00E56E51">
        <w:t>1.</w:t>
      </w:r>
      <w:r w:rsidRPr="00E56E51">
        <w:tab/>
        <w:t>Manifesta</w:t>
      </w:r>
      <w:proofErr w:type="gramEnd"/>
      <w:r w:rsidRPr="00E56E51">
        <w:t xml:space="preserve"> preocupação com as razões duvidosas que motivaram a detenção de </w:t>
      </w:r>
      <w:proofErr w:type="spellStart"/>
      <w:r w:rsidRPr="00E56E51">
        <w:t>Temirlan</w:t>
      </w:r>
      <w:proofErr w:type="spellEnd"/>
      <w:r w:rsidRPr="00E56E51">
        <w:t xml:space="preserve"> </w:t>
      </w:r>
      <w:proofErr w:type="spellStart"/>
      <w:r w:rsidRPr="00E56E51">
        <w:t>Sultanbekov</w:t>
      </w:r>
      <w:proofErr w:type="spellEnd"/>
      <w:r w:rsidRPr="00E56E51">
        <w:t xml:space="preserve"> e de outros ativistas pró</w:t>
      </w:r>
      <w:r w:rsidRPr="00E56E51">
        <w:noBreakHyphen/>
        <w:t>democracia no Quirguistão e com a possível motivação política subjacente ao processo penal contra eles instaurado;</w:t>
      </w:r>
    </w:p>
    <w:p w:rsidR="005C4058" w:rsidRPr="00E56E51" w:rsidRDefault="005C4058" w:rsidP="005C4058">
      <w:pPr>
        <w:pStyle w:val="NormalHanging12a"/>
      </w:pPr>
      <w:proofErr w:type="gramStart"/>
      <w:r w:rsidRPr="00E56E51">
        <w:t>2.</w:t>
      </w:r>
      <w:r w:rsidRPr="00E56E51">
        <w:tab/>
        <w:t>Exorta</w:t>
      </w:r>
      <w:proofErr w:type="gramEnd"/>
      <w:r w:rsidRPr="00E56E51">
        <w:t xml:space="preserve"> as autoridades quirguizes a libertarem imediatamente </w:t>
      </w:r>
      <w:proofErr w:type="spellStart"/>
      <w:r w:rsidRPr="00E56E51">
        <w:t>Temirlan</w:t>
      </w:r>
      <w:proofErr w:type="spellEnd"/>
      <w:r w:rsidRPr="00E56E51">
        <w:t xml:space="preserve"> </w:t>
      </w:r>
      <w:proofErr w:type="spellStart"/>
      <w:r w:rsidRPr="00E56E51">
        <w:t>Sultanbekov</w:t>
      </w:r>
      <w:proofErr w:type="spellEnd"/>
      <w:r w:rsidRPr="00E56E51">
        <w:t xml:space="preserve"> e os outros funcionários do partido e a adotarem medidas alternativas à detenção que respeitem o seu direito a um processo equitativo, consentâneo com os direitos civis e políticos garantidos pela Constituição do Quirguistão e com as obrigações internacionais; insta as autoridades a garantirem a sua segurança e bem</w:t>
      </w:r>
      <w:r w:rsidRPr="00E56E51">
        <w:noBreakHyphen/>
        <w:t>estar;</w:t>
      </w:r>
    </w:p>
    <w:p w:rsidR="005C4058" w:rsidRPr="00E56E51" w:rsidRDefault="005C4058" w:rsidP="005C4058">
      <w:pPr>
        <w:pStyle w:val="NormalHanging12a"/>
      </w:pPr>
      <w:r w:rsidRPr="00E56E51">
        <w:t>3.</w:t>
      </w:r>
      <w:r w:rsidRPr="00E56E51">
        <w:tab/>
        <w:t>Exorta o Governo do Quirguistão a pôr termo à sua campanha de intimidação e perseguição judicial contra partidos da oposição, meios de comunicação social independentes e jornalistas; mostra</w:t>
      </w:r>
      <w:r w:rsidRPr="00E56E51">
        <w:noBreakHyphen/>
        <w:t xml:space="preserve">se apreensivo com a adoção da lei sobre «agentes estrangeiros», semelhante à da Rússia; exorta as autoridades quirguizes a retirarem todas as acusações contra os defensores dos direitos humanos, entre os quais </w:t>
      </w:r>
      <w:proofErr w:type="spellStart"/>
      <w:r w:rsidRPr="00E56E51">
        <w:t>Makhabat</w:t>
      </w:r>
      <w:proofErr w:type="spellEnd"/>
      <w:r w:rsidRPr="00E56E51">
        <w:t xml:space="preserve"> </w:t>
      </w:r>
      <w:proofErr w:type="spellStart"/>
      <w:r w:rsidRPr="00E56E51">
        <w:t>Tazhibek</w:t>
      </w:r>
      <w:proofErr w:type="spellEnd"/>
      <w:r w:rsidRPr="00E56E51">
        <w:t xml:space="preserve"> </w:t>
      </w:r>
      <w:proofErr w:type="spellStart"/>
      <w:r w:rsidRPr="00E56E51">
        <w:t>Kyzy</w:t>
      </w:r>
      <w:proofErr w:type="spellEnd"/>
      <w:r w:rsidRPr="00E56E51">
        <w:t xml:space="preserve">, </w:t>
      </w:r>
      <w:proofErr w:type="spellStart"/>
      <w:r w:rsidRPr="00E56E51">
        <w:t>Azamat</w:t>
      </w:r>
      <w:proofErr w:type="spellEnd"/>
      <w:r w:rsidRPr="00E56E51">
        <w:t xml:space="preserve"> </w:t>
      </w:r>
      <w:proofErr w:type="spellStart"/>
      <w:r w:rsidRPr="00E56E51">
        <w:t>Ishenbekov</w:t>
      </w:r>
      <w:proofErr w:type="spellEnd"/>
      <w:r w:rsidRPr="00E56E51">
        <w:t xml:space="preserve">, </w:t>
      </w:r>
      <w:proofErr w:type="spellStart"/>
      <w:r w:rsidRPr="00E56E51">
        <w:t>Aktilek</w:t>
      </w:r>
      <w:proofErr w:type="spellEnd"/>
      <w:r w:rsidRPr="00E56E51">
        <w:t xml:space="preserve"> </w:t>
      </w:r>
      <w:proofErr w:type="spellStart"/>
      <w:r w:rsidRPr="00E56E51">
        <w:t>Kaparov</w:t>
      </w:r>
      <w:proofErr w:type="spellEnd"/>
      <w:r w:rsidRPr="00E56E51">
        <w:t xml:space="preserve"> e </w:t>
      </w:r>
      <w:proofErr w:type="spellStart"/>
      <w:r w:rsidRPr="00E56E51">
        <w:t>Ayke</w:t>
      </w:r>
      <w:proofErr w:type="spellEnd"/>
      <w:r w:rsidRPr="00E56E51">
        <w:t xml:space="preserve"> </w:t>
      </w:r>
      <w:proofErr w:type="spellStart"/>
      <w:r w:rsidRPr="00E56E51">
        <w:t>Beishekeeva</w:t>
      </w:r>
      <w:proofErr w:type="spellEnd"/>
      <w:r w:rsidRPr="00E56E51">
        <w:t xml:space="preserve">, jornalistas dos canais </w:t>
      </w:r>
      <w:proofErr w:type="spellStart"/>
      <w:r w:rsidRPr="00E56E51">
        <w:t>Temirov</w:t>
      </w:r>
      <w:proofErr w:type="spellEnd"/>
      <w:r w:rsidRPr="00E56E51">
        <w:t xml:space="preserve"> Live e </w:t>
      </w:r>
      <w:proofErr w:type="spellStart"/>
      <w:r w:rsidRPr="00E56E51">
        <w:t>Ait</w:t>
      </w:r>
      <w:proofErr w:type="spellEnd"/>
      <w:r w:rsidRPr="00E56E51">
        <w:t xml:space="preserve"> </w:t>
      </w:r>
      <w:proofErr w:type="spellStart"/>
      <w:r w:rsidRPr="00E56E51">
        <w:t>Ait</w:t>
      </w:r>
      <w:proofErr w:type="spellEnd"/>
      <w:r w:rsidRPr="00E56E51">
        <w:t xml:space="preserve"> </w:t>
      </w:r>
      <w:proofErr w:type="spellStart"/>
      <w:r w:rsidRPr="00E56E51">
        <w:t>Dese</w:t>
      </w:r>
      <w:proofErr w:type="spellEnd"/>
      <w:r w:rsidRPr="00E56E51">
        <w:t>;</w:t>
      </w:r>
    </w:p>
    <w:p w:rsidR="005C4058" w:rsidRPr="00E56E51" w:rsidRDefault="005C4058" w:rsidP="005C4058">
      <w:pPr>
        <w:pStyle w:val="NormalHanging12a"/>
      </w:pPr>
      <w:proofErr w:type="gramStart"/>
      <w:r w:rsidRPr="00E56E51">
        <w:t>4.</w:t>
      </w:r>
      <w:r w:rsidRPr="00E56E51">
        <w:tab/>
        <w:t>Insta</w:t>
      </w:r>
      <w:proofErr w:type="gramEnd"/>
      <w:r w:rsidRPr="00E56E51">
        <w:t xml:space="preserve"> as autoridades quirguizes a respeitarem os direitos humanos e a salvaguardarem as normas democráticas e as liberdades fundamentais, em consonância com o APCR e o Sistema de Preferências Generalizadas Mais;</w:t>
      </w:r>
    </w:p>
    <w:p w:rsidR="005C4058" w:rsidRPr="00E56E51" w:rsidRDefault="005C4058" w:rsidP="005C4058">
      <w:pPr>
        <w:pStyle w:val="NormalHanging12a"/>
      </w:pPr>
      <w:proofErr w:type="gramStart"/>
      <w:r w:rsidRPr="00E56E51">
        <w:t>5.</w:t>
      </w:r>
      <w:r w:rsidRPr="00E56E51">
        <w:tab/>
        <w:t>Solicita</w:t>
      </w:r>
      <w:proofErr w:type="gramEnd"/>
      <w:r w:rsidRPr="00E56E51">
        <w:t xml:space="preserve"> a todas as instituições e organismos da UE, mormente à delegação da UE no Quirguistão, que continuem a manifestar a sua profunda preocupação com a deterioração dos direitos humanos junto das autoridades do Quirguistão e que ponderem outras medidas caso a situação se agrave;</w:t>
      </w:r>
    </w:p>
    <w:p w:rsidR="00275C9F" w:rsidRPr="00E56E51" w:rsidRDefault="005C4058" w:rsidP="00275C9F">
      <w:pPr>
        <w:pStyle w:val="NormalHanging12a"/>
      </w:pPr>
      <w:proofErr w:type="gramStart"/>
      <w:r w:rsidRPr="00E56E51">
        <w:t>6.</w:t>
      </w:r>
      <w:r w:rsidRPr="00E56E51">
        <w:tab/>
        <w:t>Encarrega</w:t>
      </w:r>
      <w:proofErr w:type="gramEnd"/>
      <w:r w:rsidRPr="00E56E51">
        <w:t xml:space="preserve"> a sua Presidente de transmitir a presente resolução ao Conselho, à Comissão, à VP/AR, à representante especial da União Europeia para a Ásia Central, aos Estados</w:t>
      </w:r>
      <w:r w:rsidRPr="00E56E51">
        <w:noBreakHyphen/>
        <w:t>Membros, ao Conselho dos Direitos Humanos das Nações Unidas e às autoridades do Quirguistão.</w:t>
      </w:r>
    </w:p>
    <w:p w:rsidR="00E365E1" w:rsidRPr="00E56E51" w:rsidRDefault="00E365E1" w:rsidP="00FB18F2"/>
    <w:sectPr w:rsidR="00E365E1" w:rsidRPr="00E56E51" w:rsidSect="00275C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8F2" w:rsidRPr="00275C9F" w:rsidRDefault="00FB18F2">
      <w:r w:rsidRPr="00275C9F">
        <w:separator/>
      </w:r>
    </w:p>
  </w:endnote>
  <w:endnote w:type="continuationSeparator" w:id="0">
    <w:p w:rsidR="00FB18F2" w:rsidRPr="00275C9F" w:rsidRDefault="00FB18F2">
      <w:r w:rsidRPr="00275C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C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C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C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8F2" w:rsidRPr="00275C9F" w:rsidRDefault="00FB18F2">
      <w:r w:rsidRPr="00275C9F">
        <w:separator/>
      </w:r>
    </w:p>
  </w:footnote>
  <w:footnote w:type="continuationSeparator" w:id="0">
    <w:p w:rsidR="00FB18F2" w:rsidRPr="00275C9F" w:rsidRDefault="00FB18F2">
      <w:r w:rsidRPr="00275C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C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C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5C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, 0224, 0227, 0228 e 0230/2024"/>
    <w:docVar w:name="dvlangue" w:val="PT"/>
    <w:docVar w:name="dvnumam" w:val="0"/>
    <w:docVar w:name="dvpe" w:val="767.568"/>
    <w:docVar w:name="dvtitre" w:val="Resolução do Parlamento Europeu, de ... de ... de 2024, sobre a situação dos direitos humanos no Quirguistão, em particular o caso de Temirlan Sultanbekov(2024/2993(RSP))"/>
  </w:docVars>
  <w:rsids>
    <w:rsidRoot w:val="00FB18F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5C9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401"/>
    <w:rsid w:val="00560270"/>
    <w:rsid w:val="005C2568"/>
    <w:rsid w:val="005C405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6E51"/>
    <w:rsid w:val="00E612E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8F2"/>
    <w:rsid w:val="00FB4360"/>
    <w:rsid w:val="00FB475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16471-682D-4E50-9F9F-903F37EB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C4058"/>
    <w:pPr>
      <w:spacing w:after="240"/>
      <w:ind w:left="567" w:hanging="567"/>
    </w:pPr>
  </w:style>
  <w:style w:type="paragraph" w:customStyle="1" w:styleId="EPComma">
    <w:name w:val="EPComma"/>
    <w:basedOn w:val="Normal"/>
    <w:rsid w:val="005C405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C4058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C095E-E5C5-497F-B0FE-83C1FEC8E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2024-12-19T11:18:00Z</dcterms:created>
  <dcterms:modified xsi:type="dcterms:W3CDTF">2024-12-19T11:18:00Z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B10-0222, 0224, 0227, 0228 e 0230/2024</vt:lpwstr>
  </property>
  <property fmtid="{D5CDD505-2E9C-101B-9397-08002B2CF9AE}" pid="4" name="&lt;Type&gt;">
    <vt:lpwstr>RR</vt:lpwstr>
  </property>
</Properties>
</file>