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642E" w:rsidTr="0010095E">
        <w:trPr>
          <w:trHeight w:hRule="exact" w:val="1418"/>
        </w:trPr>
        <w:tc>
          <w:tcPr>
            <w:tcW w:w="6804" w:type="dxa"/>
            <w:shd w:val="clear" w:color="auto" w:fill="auto"/>
            <w:vAlign w:val="center"/>
          </w:tcPr>
          <w:p w:rsidR="00751A4A" w:rsidRPr="0048642E" w:rsidRDefault="009300E6" w:rsidP="0010095E">
            <w:pPr>
              <w:pStyle w:val="EPName"/>
            </w:pPr>
            <w:r w:rsidRPr="0048642E">
              <w:t>Europaparlamentet</w:t>
            </w:r>
          </w:p>
          <w:p w:rsidR="00751A4A" w:rsidRPr="0048642E" w:rsidRDefault="005F1B17" w:rsidP="005F1B17">
            <w:pPr>
              <w:pStyle w:val="EPTerm"/>
              <w:rPr>
                <w:rStyle w:val="HideTWBExt"/>
                <w:noProof w:val="0"/>
                <w:vanish w:val="0"/>
                <w:color w:val="auto"/>
              </w:rPr>
            </w:pPr>
            <w:r w:rsidRPr="0048642E">
              <w:t>2024</w:t>
            </w:r>
            <w:r w:rsidR="00817416" w:rsidRPr="0048642E">
              <w:t>-202</w:t>
            </w:r>
            <w:r w:rsidRPr="0048642E">
              <w:t>9</w:t>
            </w:r>
          </w:p>
        </w:tc>
        <w:tc>
          <w:tcPr>
            <w:tcW w:w="2268" w:type="dxa"/>
            <w:shd w:val="clear" w:color="auto" w:fill="auto"/>
          </w:tcPr>
          <w:p w:rsidR="00751A4A" w:rsidRPr="0048642E" w:rsidRDefault="00187494" w:rsidP="0010095E">
            <w:pPr>
              <w:pStyle w:val="EPLogo"/>
            </w:pPr>
            <w:r w:rsidRPr="004864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642E" w:rsidRDefault="00D058B8" w:rsidP="004C5D52">
      <w:pPr>
        <w:pStyle w:val="LineTop"/>
      </w:pPr>
    </w:p>
    <w:p w:rsidR="00680577" w:rsidRPr="0048642E" w:rsidRDefault="009300E6" w:rsidP="00680577">
      <w:pPr>
        <w:pStyle w:val="EPBodyTA1"/>
      </w:pPr>
      <w:r w:rsidRPr="0048642E">
        <w:t>ANTAGNA TEXTER</w:t>
      </w:r>
    </w:p>
    <w:p w:rsidR="00D058B8" w:rsidRPr="0048642E" w:rsidRDefault="00D058B8" w:rsidP="00D058B8">
      <w:pPr>
        <w:pStyle w:val="LineBottom"/>
      </w:pPr>
    </w:p>
    <w:p w:rsidR="009300E6" w:rsidRPr="0048642E" w:rsidRDefault="009300E6" w:rsidP="009300E6">
      <w:pPr>
        <w:pStyle w:val="ATHeading1"/>
      </w:pPr>
      <w:bookmarkStart w:id="0" w:name="TANumber"/>
      <w:r w:rsidRPr="0048642E">
        <w:t>P10_TA(2025)000</w:t>
      </w:r>
      <w:bookmarkEnd w:id="0"/>
      <w:r w:rsidR="007D7F9F" w:rsidRPr="0048642E">
        <w:t>2</w:t>
      </w:r>
    </w:p>
    <w:p w:rsidR="009300E6" w:rsidRPr="0048642E" w:rsidRDefault="009300E6" w:rsidP="009300E6">
      <w:pPr>
        <w:pStyle w:val="ATHeading2"/>
      </w:pPr>
      <w:bookmarkStart w:id="1" w:name="title"/>
      <w:r w:rsidRPr="0048642E">
        <w:t>Behovet att agera mot det fortsatta förtrycket och det riggade valet i Belarus</w:t>
      </w:r>
      <w:bookmarkEnd w:id="1"/>
    </w:p>
    <w:p w:rsidR="009300E6" w:rsidRPr="0048642E" w:rsidRDefault="009300E6" w:rsidP="009300E6">
      <w:pPr>
        <w:rPr>
          <w:i/>
          <w:vanish/>
        </w:rPr>
      </w:pPr>
      <w:r w:rsidRPr="0048642E">
        <w:rPr>
          <w:i/>
        </w:rPr>
        <w:fldChar w:fldCharType="begin"/>
      </w:r>
      <w:r w:rsidRPr="0048642E">
        <w:rPr>
          <w:i/>
        </w:rPr>
        <w:instrText xml:space="preserve"> TC"(</w:instrText>
      </w:r>
      <w:bookmarkStart w:id="2" w:name="DocNumber"/>
      <w:r w:rsidRPr="0048642E">
        <w:rPr>
          <w:i/>
        </w:rPr>
        <w:instrText>B10-0055</w:instrText>
      </w:r>
      <w:r w:rsidR="004725AE" w:rsidRPr="0048642E">
        <w:rPr>
          <w:i/>
        </w:rPr>
        <w:instrText>, 0056, 0057, 0058 och 0059</w:instrText>
      </w:r>
      <w:r w:rsidRPr="0048642E">
        <w:rPr>
          <w:i/>
        </w:rPr>
        <w:instrText>/2025</w:instrText>
      </w:r>
      <w:bookmarkEnd w:id="2"/>
      <w:r w:rsidRPr="0048642E">
        <w:rPr>
          <w:i/>
        </w:rPr>
        <w:instrText xml:space="preserve">)"\l3 \n&gt; \* MERGEFORMAT </w:instrText>
      </w:r>
      <w:r w:rsidRPr="0048642E">
        <w:rPr>
          <w:i/>
        </w:rPr>
        <w:fldChar w:fldCharType="end"/>
      </w:r>
    </w:p>
    <w:p w:rsidR="009300E6" w:rsidRPr="0048642E" w:rsidRDefault="009300E6" w:rsidP="009300E6">
      <w:pPr>
        <w:rPr>
          <w:vanish/>
        </w:rPr>
      </w:pPr>
      <w:bookmarkStart w:id="3" w:name="PE"/>
      <w:r w:rsidRPr="0048642E">
        <w:rPr>
          <w:vanish/>
        </w:rPr>
        <w:t>PE768.970</w:t>
      </w:r>
      <w:bookmarkEnd w:id="3"/>
    </w:p>
    <w:p w:rsidR="009300E6" w:rsidRPr="0048642E" w:rsidRDefault="009300E6" w:rsidP="009300E6">
      <w:pPr>
        <w:pStyle w:val="ATHeading3"/>
      </w:pPr>
      <w:bookmarkStart w:id="4" w:name="Sujet"/>
      <w:r w:rsidRPr="0048642E">
        <w:t xml:space="preserve">Europaparlamentets resolution av den </w:t>
      </w:r>
      <w:r w:rsidR="004725AE" w:rsidRPr="0048642E">
        <w:t xml:space="preserve">22 januari </w:t>
      </w:r>
      <w:r w:rsidRPr="0048642E">
        <w:t>202</w:t>
      </w:r>
      <w:r w:rsidR="004725AE" w:rsidRPr="0048642E">
        <w:t>5</w:t>
      </w:r>
      <w:r w:rsidRPr="0048642E">
        <w:t xml:space="preserve"> om behovet att agera mot det fortsatta förtrycket och det riggade valet i Belarus</w:t>
      </w:r>
      <w:bookmarkEnd w:id="4"/>
      <w:r w:rsidRPr="0048642E">
        <w:t xml:space="preserve"> </w:t>
      </w:r>
      <w:bookmarkStart w:id="5" w:name="References"/>
      <w:r w:rsidRPr="0048642E">
        <w:t>(2024/3014(RSP))</w:t>
      </w:r>
      <w:bookmarkEnd w:id="5"/>
    </w:p>
    <w:p w:rsidR="00246E66" w:rsidRPr="0048642E" w:rsidRDefault="00246E66" w:rsidP="00246E66">
      <w:pPr>
        <w:pStyle w:val="EPComma"/>
      </w:pPr>
      <w:bookmarkStart w:id="6" w:name="TextBodyBegin"/>
      <w:bookmarkEnd w:id="6"/>
      <w:r w:rsidRPr="0048642E">
        <w:rPr>
          <w:i/>
          <w:iCs/>
        </w:rPr>
        <w:t>Europaparlamentet utfärdar denna resolution</w:t>
      </w:r>
    </w:p>
    <w:p w:rsidR="00246E66" w:rsidRPr="0048642E" w:rsidRDefault="00246E66" w:rsidP="00246E66">
      <w:pPr>
        <w:pStyle w:val="NormalHanging12a"/>
      </w:pPr>
      <w:r w:rsidRPr="0048642E">
        <w:t>–</w:t>
      </w:r>
      <w:r w:rsidRPr="0048642E">
        <w:tab/>
        <w:t>med beaktande av sina tidigare resolutioner om Belarus,</w:t>
      </w:r>
    </w:p>
    <w:p w:rsidR="00246E66" w:rsidRPr="0048642E" w:rsidRDefault="00246E66" w:rsidP="00246E66">
      <w:pPr>
        <w:pStyle w:val="NormalHanging12a"/>
      </w:pPr>
      <w:r w:rsidRPr="0048642E">
        <w:t>–</w:t>
      </w:r>
      <w:r w:rsidRPr="0048642E">
        <w:tab/>
        <w:t>med beaktande av rådets slutsatser av den 12 oktober 2020 och den 19 februari 2024 om Belarus samt Europeiska rådets slutsatser av den 21 och 22 oktober 2021 om Belarus,</w:t>
      </w:r>
    </w:p>
    <w:p w:rsidR="00246E66" w:rsidRPr="0048642E" w:rsidRDefault="00246E66" w:rsidP="00246E66">
      <w:pPr>
        <w:pStyle w:val="NormalHanging12a"/>
      </w:pPr>
      <w:r w:rsidRPr="0048642E">
        <w:t>–</w:t>
      </w:r>
      <w:r w:rsidRPr="0048642E">
        <w:tab/>
        <w:t>med beaktande av uttalandena från unionens höga representant för utrikes frågor och säkerhetspolitik av den 1 augusti 2024 om frigivningen av ett antal politiska fångar och av den 26 februari 2024 om parlaments- och lokalvalen, och av uttalandet från den höga representanten på EU:s vägnar av den 8 augusti 2023 på treårsdagen av det riggade presidentvalet,</w:t>
      </w:r>
    </w:p>
    <w:p w:rsidR="00246E66" w:rsidRPr="0048642E" w:rsidRDefault="00246E66" w:rsidP="00246E66">
      <w:pPr>
        <w:pStyle w:val="NormalHanging12a"/>
      </w:pPr>
      <w:r w:rsidRPr="0048642E">
        <w:t>–</w:t>
      </w:r>
      <w:r w:rsidRPr="0048642E">
        <w:tab/>
        <w:t>med beaktande av FN:s allmänna förklaring om de mänskliga rättigheterna, FN-stadgan, den internationella konventionen om medborgerliga och politiska rättigheter och andra internationella avtal om mänskliga rättigheter i vilka Belarus är part,</w:t>
      </w:r>
    </w:p>
    <w:p w:rsidR="00246E66" w:rsidRPr="0048642E" w:rsidRDefault="00246E66" w:rsidP="00246E66">
      <w:pPr>
        <w:pStyle w:val="NormalHanging12a"/>
      </w:pPr>
      <w:r w:rsidRPr="0048642E">
        <w:t>–</w:t>
      </w:r>
      <w:r w:rsidRPr="0048642E">
        <w:tab/>
        <w:t>med beaktande av rapporten av den 25 mars 2024 från kontoret för FN:s högkommissarie för mänskliga rättigheter (OHCHR) om människorättssituationen i Belarus inför presidentvalet 2020 och i dess efterdyningar,</w:t>
      </w:r>
    </w:p>
    <w:p w:rsidR="00246E66" w:rsidRPr="0048642E" w:rsidRDefault="00246E66" w:rsidP="00246E66">
      <w:pPr>
        <w:pStyle w:val="NormalHanging12a"/>
      </w:pPr>
      <w:r w:rsidRPr="0048642E">
        <w:t>–</w:t>
      </w:r>
      <w:r w:rsidRPr="0048642E">
        <w:tab/>
        <w:t>med beaktande av resolutionen från Internationella arbetsorganisationens (ILO) allmänna konferens av den 12 juni 2023 om de åtgärder som rekommenderas av det styrande organet enligt artikel 33 i ILO:s stadgar om Belarus,</w:t>
      </w:r>
    </w:p>
    <w:p w:rsidR="00246E66" w:rsidRPr="0048642E" w:rsidRDefault="00246E66" w:rsidP="00246E66">
      <w:pPr>
        <w:pStyle w:val="NormalHanging12a"/>
      </w:pPr>
      <w:r w:rsidRPr="0048642E">
        <w:t>–</w:t>
      </w:r>
      <w:r w:rsidRPr="0048642E">
        <w:tab/>
        <w:t>med beaktande av artikel 136.2 och 136.4 i arbetsordningen, och av följande skäl:</w:t>
      </w:r>
    </w:p>
    <w:p w:rsidR="00246E66" w:rsidRPr="0048642E" w:rsidRDefault="00246E66" w:rsidP="00246E66">
      <w:pPr>
        <w:pStyle w:val="NormalHanging12a"/>
      </w:pPr>
      <w:r w:rsidRPr="0048642E">
        <w:t>A.</w:t>
      </w:r>
      <w:r w:rsidRPr="0048642E">
        <w:tab/>
        <w:t xml:space="preserve">Aljaksandr Lukasjenkas 30-åriga auktoritära styre i Belarus har kännetecknats av systematiskt förtryck av politiska motståndare och oliktänkande, inbegripet det påtvingade försvinnandet av Lukasjenkas kritiker. Sedan det riggade presidentvalet i augusti 2020 har den illegitima Lukasjenkaregimen, med stöd från Ryssland, </w:t>
      </w:r>
      <w:r w:rsidRPr="0048642E">
        <w:lastRenderedPageBreak/>
        <w:t>systematiskt förtryckt politiska aktivister, det civila samhället, människorättsförsvarare, advokater, journalister, konstnärer, religiösa ledare, fackföreningsmedlemmar och andra grupper i Belarus och utomlands, och godtyckligt frihetsberövat tiotusentals personer.</w:t>
      </w:r>
    </w:p>
    <w:p w:rsidR="00246E66" w:rsidRPr="0048642E" w:rsidRDefault="00246E66" w:rsidP="00246E66">
      <w:pPr>
        <w:pStyle w:val="NormalHanging12a"/>
      </w:pPr>
      <w:r w:rsidRPr="0048642E">
        <w:t>B.</w:t>
      </w:r>
      <w:r w:rsidRPr="0048642E">
        <w:tab/>
        <w:t>Efter det riggade presidentvalet 2020 och de påföljande våldsamma tillslagen erkände EU och många av dess demokratiska partner varken valresultatet eller Aljaksandr Lukasjenka som Belarus legitima ledare och president.</w:t>
      </w:r>
    </w:p>
    <w:p w:rsidR="00246E66" w:rsidRPr="0048642E" w:rsidRDefault="00246E66" w:rsidP="00246E66">
      <w:pPr>
        <w:pStyle w:val="NormalHanging12a"/>
        <w:keepNext/>
        <w:keepLines/>
        <w:widowControl/>
      </w:pPr>
      <w:r w:rsidRPr="0048642E">
        <w:t>C.</w:t>
      </w:r>
      <w:r w:rsidRPr="0048642E">
        <w:tab/>
        <w:t>Enligt människorättscentrumet Vjasna sitter över 1 250 politiska fångar fortfarande fängslade i Belarus under förhållanden som äventyrar deras liv, många av dem med vacklande hälsa. Flera politiska fångar har dött medan de varit frihetsberövade, fyra av dem bara under 2024. Politiska fångar utsätts för tortyr, nekas sjukvård, har begränsad tillgång till besök från advokater och familjemedlemmar samt hålls isolerade. Sedan sommaren 2020 har 3 697 personer konstaterats vara politiska fångar. Enbart under 2024 dokumenterades över 8 800 fall av politiskt motiverad förföljelse, däribland gripanden, frihetsberövanden, avskedanden och andra former av förtryck mot politiska fångar, deras familjer och advokater, aktivister, journalister, präster, läkare, återvändande belarusier och andra.</w:t>
      </w:r>
    </w:p>
    <w:p w:rsidR="00246E66" w:rsidRPr="0048642E" w:rsidRDefault="00246E66" w:rsidP="00246E66">
      <w:pPr>
        <w:pStyle w:val="NormalHanging12a"/>
        <w:rPr>
          <w:bCs/>
        </w:rPr>
      </w:pPr>
      <w:r w:rsidRPr="0048642E">
        <w:t>D.</w:t>
      </w:r>
      <w:r w:rsidRPr="0048642E">
        <w:tab/>
        <w:t>Flera internationella organisationer, däribland OHCHR, har dokumenterat systematiska kränkningar av de mänskliga rättigheterna i Belarus, inbegripet tortyr, godtyckliga frihetsberövanden, fängelsestraff eller annat allvarligt berövande av fysisk frihet, påtvingade försvinnanden, förföljelse på politiska grunder och undertryckande av friheter, vilka utgör brott mot mänskligheten enligt internationell rätt. I september 2024 hänsköt Litauen situationen i Belarus till Internationella brottmålsdomstolens åklagarmyndighet för att utreda vissa brott mot mänskligheten som begåtts av Lukasjenkaregimen.</w:t>
      </w:r>
    </w:p>
    <w:p w:rsidR="00246E66" w:rsidRPr="0048642E" w:rsidRDefault="00246E66" w:rsidP="00246E66">
      <w:pPr>
        <w:pStyle w:val="NormalHanging12a"/>
        <w:rPr>
          <w:rFonts w:eastAsia="Calibri"/>
        </w:rPr>
      </w:pPr>
      <w:r w:rsidRPr="0048642E">
        <w:t>E.</w:t>
      </w:r>
      <w:r w:rsidRPr="0048642E">
        <w:tab/>
        <w:t>Denna illegitima belarusiska regim planerar att hålla ett riggat presidentval den 26 januari 2025 där Lukasjenka siktar på en sjunde mandatperiod. Belarus centrala valkommission har registrerat Lukasjenka och fyra andra ”pro forma-kandidater”. Den pågående presidentvalskampanjen genomförs i en miljö som präglas av hårt förtryck och som inte ens uppfyller miniminormerna för demokratiska val. Demokratiska kandidater är förbjudna att delta, mediefriheten är kraftigt begränsad, väljarna utsätts för hot och avsaknaden av oberoende valövervakning undergräver ytterligare valprocessens legitimitet.</w:t>
      </w:r>
    </w:p>
    <w:p w:rsidR="00246E66" w:rsidRPr="0048642E" w:rsidRDefault="00246E66" w:rsidP="00246E66">
      <w:pPr>
        <w:pStyle w:val="NormalHanging12a"/>
      </w:pPr>
      <w:r w:rsidRPr="0048642E">
        <w:t>F.</w:t>
      </w:r>
      <w:r w:rsidRPr="0048642E">
        <w:tab/>
        <w:t>Både parlaments- och lokalvalen som hölls den 25 februari 2024 och det kommande riggade presidentvalet som är planerat till den 26 januari 2025 är exempel på hur regimen åsidosätter demokratiska normer, eftersom valen i Belarus är strängt kontrollerade, alla kandidater har godkänts på förhand av myndigheterna, demokratiska partier har avskaffats och väljarna egentligen inte ges något val. Valkampanjen har kännetecknats av att personer som deltog i presidentvalskampanjerna 2020 för andra kandidater har frihetsberövats och av en tydlig beredskap att kraftigt undertrycka oliktänkande.</w:t>
      </w:r>
    </w:p>
    <w:p w:rsidR="00246E66" w:rsidRPr="0048642E" w:rsidRDefault="00246E66" w:rsidP="00246E66">
      <w:pPr>
        <w:pStyle w:val="NormalHanging12a"/>
        <w:rPr>
          <w:rFonts w:eastAsia="Calibri"/>
        </w:rPr>
      </w:pPr>
      <w:r w:rsidRPr="0048642E">
        <w:t>G.</w:t>
      </w:r>
      <w:r w:rsidRPr="0048642E">
        <w:tab/>
        <w:t>Enligt människorättscentrumet Vjasna frihetsberövades minst 360 personer mellan juli och september 2024, och många demokratiska ledare, däribland mottagaren av Nobels fredspris Ales Bjaljatski, Maryja Kalesnikava, Viktar Babaryka, Pavel Sevjarynets, Siarhej Tsichanouski, Mikalaj Statkevitj med flera sitter fortfarande fängslade. Minst åtta politiska fångar hålls för närvarande frihetsberövade isoleringscell.</w:t>
      </w:r>
    </w:p>
    <w:p w:rsidR="00246E66" w:rsidRPr="0048642E" w:rsidRDefault="00246E66" w:rsidP="00246E66">
      <w:pPr>
        <w:pStyle w:val="NormalHanging12a"/>
        <w:keepNext/>
        <w:keepLines/>
        <w:widowControl/>
      </w:pPr>
      <w:r w:rsidRPr="0048642E">
        <w:t>H.</w:t>
      </w:r>
      <w:r w:rsidRPr="0048642E">
        <w:tab/>
        <w:t>Lukasjenkaregimen har ökat trycket på personalen vid de västerländska diplomatiska beskickningar som ackrediterats i Belarus och på andra utlänningar. Mikalaj Khila, en lokalanställd vid EU:s delegation i Belarus, greps av belarusiska KGB utanför EU</w:t>
      </w:r>
      <w:r w:rsidRPr="0048642E">
        <w:noBreakHyphen/>
        <w:t>delegationens kontor, hölls häktad i avvaktan på rättegång från och med april 2024 och dömdes i december 2024 till fyra års fängelse. Han har listats som politisk fånge av människorättscentrumet Vjasna. Två japanska medborgare greps nyligen på grundval av falska anklagelser om ”agentverksamhet”.</w:t>
      </w:r>
    </w:p>
    <w:p w:rsidR="00246E66" w:rsidRPr="0048642E" w:rsidRDefault="00246E66" w:rsidP="00246E66">
      <w:pPr>
        <w:pStyle w:val="NormalHanging12a"/>
      </w:pPr>
      <w:r w:rsidRPr="0048642E">
        <w:t>I.</w:t>
      </w:r>
      <w:r w:rsidRPr="0048642E">
        <w:tab/>
        <w:t>Lukasjenka benådade över 200 politiska fångar 2024 i ett försök att häva vissa västerländska sanktioner. De politiska gripandena fortsätter trots dessa benådningar, och minst 1 721 personer dömdes på grundval av politiska anklagelser bara under 2024.</w:t>
      </w:r>
    </w:p>
    <w:p w:rsidR="00246E66" w:rsidRPr="0048642E" w:rsidRDefault="00246E66" w:rsidP="00246E66">
      <w:pPr>
        <w:pStyle w:val="NormalHanging12a"/>
      </w:pPr>
      <w:r w:rsidRPr="0048642E">
        <w:t>J.</w:t>
      </w:r>
      <w:r w:rsidRPr="0048642E">
        <w:tab/>
        <w:t>Belarus fackförbund har länge varit involverat i Lukasjenkaregimens regeringsstruktur och tros spela en viktig roll för att organisera förfalskningen av valresultat.</w:t>
      </w:r>
    </w:p>
    <w:p w:rsidR="00246E66" w:rsidRPr="0048642E" w:rsidRDefault="00246E66" w:rsidP="00246E66">
      <w:pPr>
        <w:pStyle w:val="NormalHanging12a"/>
      </w:pPr>
      <w:r w:rsidRPr="0048642E">
        <w:t>K.</w:t>
      </w:r>
      <w:r w:rsidRPr="0048642E">
        <w:tab/>
      </w:r>
      <w:r w:rsidR="00176F3C" w:rsidRPr="0048642E">
        <w:t xml:space="preserve">Den belarusiska regimen använder lagar mot extremism för att begränsa mediekanalers verksamhet och har betecknat de flesta oberoende medier som extremistiska, med åtminstone 45 medieföreträdare som har fängslats, omkring 400 i exil och andra som utsätts för trakasserier och misshandel. Oberoende medier, såsom </w:t>
      </w:r>
      <w:proofErr w:type="spellStart"/>
      <w:r w:rsidR="00176F3C" w:rsidRPr="0048642E">
        <w:t>Belsat</w:t>
      </w:r>
      <w:proofErr w:type="spellEnd"/>
      <w:r w:rsidR="00176F3C" w:rsidRPr="0048642E">
        <w:t xml:space="preserve"> TV, Charter 97, </w:t>
      </w:r>
      <w:proofErr w:type="spellStart"/>
      <w:r w:rsidR="00176F3C" w:rsidRPr="0048642E">
        <w:t>Nexta</w:t>
      </w:r>
      <w:proofErr w:type="spellEnd"/>
      <w:r w:rsidR="00176F3C" w:rsidRPr="0048642E">
        <w:t xml:space="preserve">, Radio </w:t>
      </w:r>
      <w:proofErr w:type="spellStart"/>
      <w:r w:rsidR="00176F3C" w:rsidRPr="0048642E">
        <w:t>Racyja</w:t>
      </w:r>
      <w:proofErr w:type="spellEnd"/>
      <w:r w:rsidR="00176F3C" w:rsidRPr="0048642E">
        <w:t xml:space="preserve">, Radio </w:t>
      </w:r>
      <w:proofErr w:type="spellStart"/>
      <w:r w:rsidR="00176F3C" w:rsidRPr="0048642E">
        <w:t>Svaboda</w:t>
      </w:r>
      <w:proofErr w:type="spellEnd"/>
      <w:r w:rsidR="00176F3C" w:rsidRPr="0048642E">
        <w:t xml:space="preserve">, </w:t>
      </w:r>
      <w:proofErr w:type="spellStart"/>
      <w:r w:rsidR="00176F3C" w:rsidRPr="0048642E">
        <w:t>Nasha</w:t>
      </w:r>
      <w:proofErr w:type="spellEnd"/>
      <w:r w:rsidR="00176F3C" w:rsidRPr="0048642E">
        <w:t xml:space="preserve"> Niva med flera, spelar en avgörande roll när det gäller att tillhandahålla viktig information och tjäna som en plattform för demokratiska röster. De belarusiska myndigheterna använder sig av övervakning, censur på nätet och desinformation, vilket trappar upp det digitala auktoritära styret och undergräver utsikterna till fria och rättvisa val 2025. Belarusiska propagandister sprider regelbundet desinformation om EU:s medlemsstater och deras tjänstemän och undertrycker tillgången till information.</w:t>
      </w:r>
    </w:p>
    <w:p w:rsidR="00246E66" w:rsidRPr="0048642E" w:rsidRDefault="00246E66" w:rsidP="00246E66">
      <w:pPr>
        <w:pStyle w:val="NormalHanging12a"/>
      </w:pPr>
      <w:r w:rsidRPr="0048642E">
        <w:t>L.</w:t>
      </w:r>
      <w:r w:rsidRPr="0048642E">
        <w:tab/>
        <w:t>Över 500 000 belarusier har tvingats fly landet sedan 2020, och vissa fortsätter att utsättas för förföljelse från Lukasjenkaregimen, bland annat genom rättegångar i den tilltalades utevaro, hot från säkerhetsstyrkorna och påtryckningar på släktingar, förverkande av egendom och andra restriktioner.</w:t>
      </w:r>
    </w:p>
    <w:p w:rsidR="00246E66" w:rsidRPr="0048642E" w:rsidRDefault="00246E66" w:rsidP="00246E66">
      <w:pPr>
        <w:pStyle w:val="NormalHanging12a"/>
      </w:pPr>
      <w:r w:rsidRPr="0048642E">
        <w:t>M.</w:t>
      </w:r>
      <w:r w:rsidRPr="0048642E">
        <w:tab/>
        <w:t>Under Lukasjenkas tid vid makten har över 250 personer som dömts till döden avrättats. Belarus är fortfarande det enda land i Europa och Centralasien som har kvar dödsstraffet, och dess tillämpningsområde utvidgades 2022 till att omfatta vagt definierade terroristhandlingar och 2023 till att omfatta ”förräderi mot staten”.</w:t>
      </w:r>
    </w:p>
    <w:p w:rsidR="00246E66" w:rsidRPr="0048642E" w:rsidRDefault="00246E66" w:rsidP="00246E66">
      <w:pPr>
        <w:pStyle w:val="NormalHanging12a"/>
      </w:pPr>
      <w:r w:rsidRPr="0048642E">
        <w:t>N.</w:t>
      </w:r>
      <w:r w:rsidRPr="0048642E">
        <w:tab/>
        <w:t>Repressiva åtgärder i Belarus har i allt högre grad riktat in sig på religionsfrihet, i och med antagandet nyligen av lagen om ”samvetsfrihet och religiösa organisationer”, som utgör ett allvarligt hot mot religiösa samfunds rättigheter och existens. Dessa tillslag har också riktat in sig på religiösa ledare, såsom den katolska prästen Henrykh Akalatovitj, som nyligen dömdes till 11 års fängelse anklagad för högförräderi på falska grunder – det första målet av sitt slag mot det katolska prästerskapet i Belarus.</w:t>
      </w:r>
    </w:p>
    <w:p w:rsidR="00246E66" w:rsidRPr="0048642E" w:rsidRDefault="00246E66" w:rsidP="00721AAA">
      <w:pPr>
        <w:pStyle w:val="NormalHanging12a"/>
      </w:pPr>
      <w:r w:rsidRPr="0048642E">
        <w:t>O.</w:t>
      </w:r>
      <w:r w:rsidRPr="0048642E">
        <w:tab/>
        <w:t>Lukasjenkaregimen har visat sig vara avgörande för Putin genom att ge ryska styrkor tillträde till belarusiskt territorium varifrån de har kunnat genomföra en fullskalig invasion av Ukraina. Lukasjenkaregimen begår brott mot ukrainska barn, bland annat genom att stå värd för omskolningsläger för politisk indoktrinering och militarisering. Regimen hjälper Ryssland och andra att destabilisera EU och underminera europeiska strävanden bland EU:s grannar, särskilt genom att använda migration som vapen vid EU:s gränser och legitimera Bidzina Ivanisjvilis autokratiska regim i Georgien.</w:t>
      </w:r>
    </w:p>
    <w:p w:rsidR="00246E66" w:rsidRPr="0048642E" w:rsidRDefault="00246E66" w:rsidP="00246E66">
      <w:pPr>
        <w:pStyle w:val="NormalHanging12a"/>
      </w:pPr>
      <w:r w:rsidRPr="0048642E">
        <w:t>P.</w:t>
      </w:r>
      <w:r w:rsidRPr="0048642E">
        <w:tab/>
        <w:t>EU har infört riktade sanktioner mot Belarus som svar på 2020 års riggade val, de systematiska kränkningarna av de mänskliga rättigheterna och Belarus delaktighet i Rysslands anfallskrig mot Ukraina, inbegripet handelsrestriktioner och sanktioner mot 287 personer, däribland Lukasjenka, och 39 enheter.</w:t>
      </w:r>
    </w:p>
    <w:p w:rsidR="00246E66" w:rsidRPr="0048642E" w:rsidRDefault="00246E66" w:rsidP="00246E66">
      <w:pPr>
        <w:pStyle w:val="NormalHanging12a"/>
        <w:rPr>
          <w:rFonts w:eastAsia="Calibri"/>
        </w:rPr>
      </w:pPr>
      <w:r w:rsidRPr="0048642E">
        <w:t>Q.</w:t>
      </w:r>
      <w:r w:rsidRPr="0048642E">
        <w:tab/>
        <w:t>Lukasjenkaregimen kringgår, med rysk hjälp, vissa av dessa sanktioner genom förmånstillträde till marknaden och utnyttjande av rysk infrastruktur. Rapporter visar att BelAZ, en belarusisk lastbilstillverkare som är föremål för sanktioner, kringgår sanktionerna genom att demontera lastbilar i Belarus och transportera delarna till EU för återmontering under andra märken.</w:t>
      </w:r>
    </w:p>
    <w:p w:rsidR="00246E66" w:rsidRPr="0048642E" w:rsidRDefault="00246E66" w:rsidP="00246E66">
      <w:pPr>
        <w:pStyle w:val="NormalHanging12a"/>
      </w:pPr>
      <w:r w:rsidRPr="0048642E">
        <w:t>1.</w:t>
      </w:r>
      <w:r w:rsidRPr="0048642E">
        <w:tab/>
        <w:t>Europaparlamentet upprepar att det inte erkänner valet av Aljaksandr Lukasjenka som Belarus president. Parlamentet anser att den nuvarande regimen i Belarus är illegitim, lagstridig och kriminell. Parlamentet bekräftar sitt orubbliga stöd för det belarusiska folket i dess strävan efter demokrati, frihet och mänskliga rättigheter.</w:t>
      </w:r>
    </w:p>
    <w:p w:rsidR="00246E66" w:rsidRPr="0048642E" w:rsidRDefault="00246E66" w:rsidP="00246E66">
      <w:pPr>
        <w:pStyle w:val="NormalHanging12a"/>
      </w:pPr>
      <w:r w:rsidRPr="0048642E">
        <w:t>2.</w:t>
      </w:r>
      <w:r w:rsidRPr="0048642E">
        <w:tab/>
        <w:t>Europaparlamentet fördömer bristen på frihet, rättvisa och öppenhet inför det så kallade presidentvalet i Belarus och uppmanar EU, dess medlemsstater och det internationella samfundet att kategoriskt förkasta det förestående valet i Belarus och kampanjen inför det som ett skenval eftersom de inte uppfyller internationella miniminormer för demokratiska val. Parlamentet uppmanar EU, dess medlemsstater och det internationella samfundet att fortsätta att vägra erkänna Aljaksandr Lukasjenkas legitimitet som president efter den 26 januari 2025, och efterlyser fria och rättvisa val i Belarus.</w:t>
      </w:r>
    </w:p>
    <w:p w:rsidR="00246E66" w:rsidRPr="0048642E" w:rsidRDefault="00246E66" w:rsidP="00246E66">
      <w:pPr>
        <w:pStyle w:val="NormalHanging12a"/>
      </w:pPr>
      <w:r w:rsidRPr="0048642E">
        <w:t>3.</w:t>
      </w:r>
      <w:r w:rsidRPr="0048642E">
        <w:tab/>
        <w:t>Europaparlamentet beklagar djupt de pågående allvarliga kränkningarna av de mänskliga rättigheterna och de demokratiska principerna i Belarus, vilka har intensifierats ytterligare inför det så kallade presidentvalet. Parlamentet fördömer det systematiska förtrycket i Belarus, som inbegriper godtyckliga gripanden, tortyr, trakasserier och misshandel av fångar, samt den ihållande straffriheten och den strukturella bristen på respekt för ett korrekt rättsförfarande och rättvisa rättegångar. Parlamentet upprepar sitt krav på ett omedelbart och villkorslöst frigivande av alla personer som frihetsberövats i Belarus på grund av sina politiska åsikter, och kräver att de får ersättning och att deras rättigheter återupprättas. Parlamentet kräver ett slut på förtrycket av politiska motståndare och den belarusiska allmänheten.</w:t>
      </w:r>
    </w:p>
    <w:p w:rsidR="00246E66" w:rsidRPr="0048642E" w:rsidRDefault="00246E66" w:rsidP="00246E66">
      <w:pPr>
        <w:pStyle w:val="NormalHanging12a"/>
      </w:pPr>
      <w:r w:rsidRPr="0048642E">
        <w:t>4.</w:t>
      </w:r>
      <w:r w:rsidRPr="0048642E">
        <w:tab/>
        <w:t>Europaparlamentet upprepar sin uppmaning till de belarusiska myndigheterna att respektera fångars rättigheter, ge dem sjukvård och tillåta att de har kontakt med advokater, sina familjer och internationella organisationer.</w:t>
      </w:r>
    </w:p>
    <w:p w:rsidR="00246E66" w:rsidRPr="0048642E" w:rsidRDefault="00246E66" w:rsidP="00246E66">
      <w:pPr>
        <w:pStyle w:val="NormalHanging12a"/>
        <w:keepNext/>
        <w:keepLines/>
        <w:widowControl/>
      </w:pPr>
      <w:r w:rsidRPr="0048642E">
        <w:t>5.</w:t>
      </w:r>
      <w:r w:rsidRPr="0048642E">
        <w:tab/>
      </w:r>
      <w:r w:rsidR="007D7F9F" w:rsidRPr="0048642E">
        <w:t xml:space="preserve">Europaparlamentet uttrycker djup oro över situationen för politiska fångar, däribland </w:t>
      </w:r>
      <w:proofErr w:type="spellStart"/>
      <w:r w:rsidR="007D7F9F" w:rsidRPr="0048642E">
        <w:t>Maryja</w:t>
      </w:r>
      <w:proofErr w:type="spellEnd"/>
      <w:r w:rsidR="007D7F9F" w:rsidRPr="0048642E">
        <w:t xml:space="preserve"> </w:t>
      </w:r>
      <w:proofErr w:type="spellStart"/>
      <w:r w:rsidR="007D7F9F" w:rsidRPr="0048642E">
        <w:t>Kalesnikava</w:t>
      </w:r>
      <w:proofErr w:type="spellEnd"/>
      <w:r w:rsidR="007D7F9F" w:rsidRPr="0048642E">
        <w:t xml:space="preserve">, </w:t>
      </w:r>
      <w:proofErr w:type="spellStart"/>
      <w:r w:rsidR="007D7F9F" w:rsidRPr="0048642E">
        <w:t>Siarhej</w:t>
      </w:r>
      <w:proofErr w:type="spellEnd"/>
      <w:r w:rsidR="007D7F9F" w:rsidRPr="0048642E">
        <w:t xml:space="preserve"> </w:t>
      </w:r>
      <w:proofErr w:type="spellStart"/>
      <w:r w:rsidR="007D7F9F" w:rsidRPr="0048642E">
        <w:t>Tsichanouski</w:t>
      </w:r>
      <w:proofErr w:type="spellEnd"/>
      <w:r w:rsidR="007D7F9F" w:rsidRPr="0048642E">
        <w:t xml:space="preserve">, Ales </w:t>
      </w:r>
      <w:proofErr w:type="spellStart"/>
      <w:r w:rsidR="007D7F9F" w:rsidRPr="0048642E">
        <w:t>Bjaljatski</w:t>
      </w:r>
      <w:proofErr w:type="spellEnd"/>
      <w:r w:rsidR="007D7F9F" w:rsidRPr="0048642E">
        <w:t xml:space="preserve">, </w:t>
      </w:r>
      <w:proofErr w:type="spellStart"/>
      <w:r w:rsidR="007D7F9F" w:rsidRPr="0048642E">
        <w:t>Mikalaj</w:t>
      </w:r>
      <w:proofErr w:type="spellEnd"/>
      <w:r w:rsidR="007D7F9F" w:rsidRPr="0048642E">
        <w:t xml:space="preserve"> </w:t>
      </w:r>
      <w:proofErr w:type="spellStart"/>
      <w:r w:rsidR="007D7F9F" w:rsidRPr="0048642E">
        <w:t>Statkevitj</w:t>
      </w:r>
      <w:proofErr w:type="spellEnd"/>
      <w:r w:rsidR="007D7F9F" w:rsidRPr="0048642E">
        <w:t xml:space="preserve">, </w:t>
      </w:r>
      <w:proofErr w:type="spellStart"/>
      <w:r w:rsidR="007D7F9F" w:rsidRPr="0048642E">
        <w:t>Mikalaj</w:t>
      </w:r>
      <w:proofErr w:type="spellEnd"/>
      <w:r w:rsidR="007D7F9F" w:rsidRPr="0048642E">
        <w:t xml:space="preserve"> </w:t>
      </w:r>
      <w:proofErr w:type="spellStart"/>
      <w:r w:rsidR="007D7F9F" w:rsidRPr="0048642E">
        <w:t>Khila</w:t>
      </w:r>
      <w:proofErr w:type="spellEnd"/>
      <w:r w:rsidR="007D7F9F" w:rsidRPr="0048642E">
        <w:t xml:space="preserve">, </w:t>
      </w:r>
      <w:proofErr w:type="spellStart"/>
      <w:r w:rsidR="007D7F9F" w:rsidRPr="0048642E">
        <w:t>Valjantsin</w:t>
      </w:r>
      <w:proofErr w:type="spellEnd"/>
      <w:r w:rsidR="007D7F9F" w:rsidRPr="0048642E">
        <w:t xml:space="preserve"> </w:t>
      </w:r>
      <w:proofErr w:type="spellStart"/>
      <w:r w:rsidR="007D7F9F" w:rsidRPr="0048642E">
        <w:t>Stefanovitj</w:t>
      </w:r>
      <w:proofErr w:type="spellEnd"/>
      <w:r w:rsidR="007D7F9F" w:rsidRPr="0048642E">
        <w:t xml:space="preserve">, Maksim </w:t>
      </w:r>
      <w:proofErr w:type="spellStart"/>
      <w:r w:rsidR="007D7F9F" w:rsidRPr="0048642E">
        <w:t>Znak</w:t>
      </w:r>
      <w:proofErr w:type="spellEnd"/>
      <w:r w:rsidR="007D7F9F" w:rsidRPr="0048642E">
        <w:t xml:space="preserve">, Viktar </w:t>
      </w:r>
      <w:proofErr w:type="spellStart"/>
      <w:r w:rsidR="007D7F9F" w:rsidRPr="0048642E">
        <w:t>Babaryka</w:t>
      </w:r>
      <w:proofErr w:type="spellEnd"/>
      <w:r w:rsidR="007D7F9F" w:rsidRPr="0048642E">
        <w:t xml:space="preserve">, </w:t>
      </w:r>
      <w:proofErr w:type="spellStart"/>
      <w:r w:rsidR="007D7F9F" w:rsidRPr="0048642E">
        <w:t>Ihar</w:t>
      </w:r>
      <w:proofErr w:type="spellEnd"/>
      <w:r w:rsidR="007D7F9F" w:rsidRPr="0048642E">
        <w:t xml:space="preserve"> </w:t>
      </w:r>
      <w:proofErr w:type="spellStart"/>
      <w:r w:rsidR="007D7F9F" w:rsidRPr="0048642E">
        <w:t>Losik</w:t>
      </w:r>
      <w:proofErr w:type="spellEnd"/>
      <w:r w:rsidR="007D7F9F" w:rsidRPr="0048642E">
        <w:t xml:space="preserve">, Andrzej </w:t>
      </w:r>
      <w:proofErr w:type="spellStart"/>
      <w:r w:rsidR="007D7F9F" w:rsidRPr="0048642E">
        <w:t>Poczobut</w:t>
      </w:r>
      <w:proofErr w:type="spellEnd"/>
      <w:r w:rsidR="007D7F9F" w:rsidRPr="0048642E">
        <w:t xml:space="preserve">, </w:t>
      </w:r>
      <w:proofErr w:type="spellStart"/>
      <w:r w:rsidR="007D7F9F" w:rsidRPr="0048642E">
        <w:t>Palina</w:t>
      </w:r>
      <w:proofErr w:type="spellEnd"/>
      <w:r w:rsidR="007D7F9F" w:rsidRPr="0048642E">
        <w:t xml:space="preserve"> </w:t>
      </w:r>
      <w:proofErr w:type="spellStart"/>
      <w:r w:rsidR="007D7F9F" w:rsidRPr="0048642E">
        <w:t>Sjarenda-Panasiuk</w:t>
      </w:r>
      <w:proofErr w:type="spellEnd"/>
      <w:r w:rsidR="007D7F9F" w:rsidRPr="0048642E">
        <w:t xml:space="preserve">, </w:t>
      </w:r>
      <w:proofErr w:type="spellStart"/>
      <w:r w:rsidR="007D7F9F" w:rsidRPr="0048642E">
        <w:t>Uladzimir</w:t>
      </w:r>
      <w:proofErr w:type="spellEnd"/>
      <w:r w:rsidR="007D7F9F" w:rsidRPr="0048642E">
        <w:t xml:space="preserve"> </w:t>
      </w:r>
      <w:proofErr w:type="spellStart"/>
      <w:r w:rsidR="007D7F9F" w:rsidRPr="0048642E">
        <w:t>Matskevitj</w:t>
      </w:r>
      <w:proofErr w:type="spellEnd"/>
      <w:r w:rsidR="007D7F9F" w:rsidRPr="0048642E">
        <w:t xml:space="preserve">, </w:t>
      </w:r>
      <w:proofErr w:type="spellStart"/>
      <w:r w:rsidR="007D7F9F" w:rsidRPr="0048642E">
        <w:t>Marfa</w:t>
      </w:r>
      <w:proofErr w:type="spellEnd"/>
      <w:r w:rsidR="007D7F9F" w:rsidRPr="0048642E">
        <w:t xml:space="preserve"> </w:t>
      </w:r>
      <w:proofErr w:type="spellStart"/>
      <w:r w:rsidR="007D7F9F" w:rsidRPr="0048642E">
        <w:t>Rabkova</w:t>
      </w:r>
      <w:proofErr w:type="spellEnd"/>
      <w:r w:rsidR="007D7F9F" w:rsidRPr="0048642E">
        <w:t xml:space="preserve">, </w:t>
      </w:r>
      <w:proofErr w:type="spellStart"/>
      <w:r w:rsidR="007D7F9F" w:rsidRPr="0048642E">
        <w:t>Uladzimir</w:t>
      </w:r>
      <w:proofErr w:type="spellEnd"/>
      <w:r w:rsidR="007D7F9F" w:rsidRPr="0048642E">
        <w:t xml:space="preserve"> </w:t>
      </w:r>
      <w:proofErr w:type="spellStart"/>
      <w:r w:rsidR="007D7F9F" w:rsidRPr="0048642E">
        <w:t>Labkovitj</w:t>
      </w:r>
      <w:proofErr w:type="spellEnd"/>
      <w:r w:rsidR="007D7F9F" w:rsidRPr="0048642E">
        <w:t xml:space="preserve">, </w:t>
      </w:r>
      <w:proofErr w:type="spellStart"/>
      <w:r w:rsidR="007D7F9F" w:rsidRPr="0048642E">
        <w:t>Aljaksandr</w:t>
      </w:r>
      <w:proofErr w:type="spellEnd"/>
      <w:r w:rsidR="007D7F9F" w:rsidRPr="0048642E">
        <w:t xml:space="preserve"> Jarasjuk, </w:t>
      </w:r>
      <w:proofErr w:type="spellStart"/>
      <w:r w:rsidR="007D7F9F" w:rsidRPr="0048642E">
        <w:t>Volha</w:t>
      </w:r>
      <w:proofErr w:type="spellEnd"/>
      <w:r w:rsidR="007D7F9F" w:rsidRPr="0048642E">
        <w:t xml:space="preserve"> </w:t>
      </w:r>
      <w:proofErr w:type="spellStart"/>
      <w:r w:rsidR="007D7F9F" w:rsidRPr="0048642E">
        <w:t>Brytsikava</w:t>
      </w:r>
      <w:proofErr w:type="spellEnd"/>
      <w:r w:rsidR="007D7F9F" w:rsidRPr="0048642E">
        <w:t xml:space="preserve">, </w:t>
      </w:r>
      <w:proofErr w:type="spellStart"/>
      <w:r w:rsidR="007D7F9F" w:rsidRPr="0048642E">
        <w:t>Aljaksandr</w:t>
      </w:r>
      <w:proofErr w:type="spellEnd"/>
      <w:r w:rsidR="007D7F9F" w:rsidRPr="0048642E">
        <w:t xml:space="preserve"> </w:t>
      </w:r>
      <w:proofErr w:type="spellStart"/>
      <w:r w:rsidR="007D7F9F" w:rsidRPr="0048642E">
        <w:t>Kapsjul</w:t>
      </w:r>
      <w:proofErr w:type="spellEnd"/>
      <w:r w:rsidR="007D7F9F" w:rsidRPr="0048642E">
        <w:t xml:space="preserve">, Jana </w:t>
      </w:r>
      <w:proofErr w:type="spellStart"/>
      <w:r w:rsidR="007D7F9F" w:rsidRPr="0048642E">
        <w:t>Pintjuk</w:t>
      </w:r>
      <w:proofErr w:type="spellEnd"/>
      <w:r w:rsidR="007D7F9F" w:rsidRPr="0048642E">
        <w:t xml:space="preserve">, </w:t>
      </w:r>
      <w:proofErr w:type="spellStart"/>
      <w:r w:rsidR="007D7F9F" w:rsidRPr="0048642E">
        <w:t>Mikalaj</w:t>
      </w:r>
      <w:proofErr w:type="spellEnd"/>
      <w:r w:rsidR="007D7F9F" w:rsidRPr="0048642E">
        <w:t xml:space="preserve"> </w:t>
      </w:r>
      <w:proofErr w:type="spellStart"/>
      <w:r w:rsidR="007D7F9F" w:rsidRPr="0048642E">
        <w:t>Bankou</w:t>
      </w:r>
      <w:proofErr w:type="spellEnd"/>
      <w:r w:rsidR="007D7F9F" w:rsidRPr="0048642E">
        <w:t xml:space="preserve">, Andrej </w:t>
      </w:r>
      <w:proofErr w:type="spellStart"/>
      <w:r w:rsidR="007D7F9F" w:rsidRPr="0048642E">
        <w:t>Navitski</w:t>
      </w:r>
      <w:proofErr w:type="spellEnd"/>
      <w:r w:rsidR="007D7F9F" w:rsidRPr="0048642E">
        <w:t xml:space="preserve">, </w:t>
      </w:r>
      <w:proofErr w:type="spellStart"/>
      <w:r w:rsidR="007D7F9F" w:rsidRPr="0048642E">
        <w:t>Henryk</w:t>
      </w:r>
      <w:proofErr w:type="spellEnd"/>
      <w:r w:rsidR="007D7F9F" w:rsidRPr="0048642E">
        <w:t xml:space="preserve"> </w:t>
      </w:r>
      <w:proofErr w:type="spellStart"/>
      <w:r w:rsidR="007D7F9F" w:rsidRPr="0048642E">
        <w:t>Akalatovitj</w:t>
      </w:r>
      <w:proofErr w:type="spellEnd"/>
      <w:r w:rsidR="007D7F9F" w:rsidRPr="0048642E">
        <w:t xml:space="preserve">, </w:t>
      </w:r>
      <w:proofErr w:type="spellStart"/>
      <w:r w:rsidR="007D7F9F" w:rsidRPr="0048642E">
        <w:t>Uladzimir</w:t>
      </w:r>
      <w:proofErr w:type="spellEnd"/>
      <w:r w:rsidR="007D7F9F" w:rsidRPr="0048642E">
        <w:t xml:space="preserve"> </w:t>
      </w:r>
      <w:proofErr w:type="spellStart"/>
      <w:r w:rsidR="007D7F9F" w:rsidRPr="0048642E">
        <w:t>Kniha</w:t>
      </w:r>
      <w:proofErr w:type="spellEnd"/>
      <w:r w:rsidR="007D7F9F" w:rsidRPr="0048642E">
        <w:t xml:space="preserve">, </w:t>
      </w:r>
      <w:proofErr w:type="spellStart"/>
      <w:r w:rsidR="007D7F9F" w:rsidRPr="0048642E">
        <w:t>Dzmitrij</w:t>
      </w:r>
      <w:proofErr w:type="spellEnd"/>
      <w:r w:rsidR="007D7F9F" w:rsidRPr="0048642E">
        <w:t xml:space="preserve"> </w:t>
      </w:r>
      <w:proofErr w:type="spellStart"/>
      <w:r w:rsidR="007D7F9F" w:rsidRPr="0048642E">
        <w:t>Kuchuk</w:t>
      </w:r>
      <w:proofErr w:type="spellEnd"/>
      <w:r w:rsidR="007D7F9F" w:rsidRPr="0048642E">
        <w:t xml:space="preserve">, Pavel </w:t>
      </w:r>
      <w:proofErr w:type="spellStart"/>
      <w:r w:rsidR="007D7F9F" w:rsidRPr="0048642E">
        <w:t>Sevjarynets</w:t>
      </w:r>
      <w:proofErr w:type="spellEnd"/>
      <w:r w:rsidR="007D7F9F" w:rsidRPr="0048642E">
        <w:t xml:space="preserve"> med flera, varav många har allvarliga hälsoproblem utan tillgång till lämplig sjukvård samt får utstå isolering, misshandel och tortyr.</w:t>
      </w:r>
    </w:p>
    <w:p w:rsidR="00246E66" w:rsidRPr="0048642E" w:rsidRDefault="00246E66" w:rsidP="00246E66">
      <w:pPr>
        <w:pStyle w:val="NormalHanging12a"/>
      </w:pPr>
      <w:r w:rsidRPr="0048642E">
        <w:t>6.</w:t>
      </w:r>
      <w:r w:rsidRPr="0048642E">
        <w:tab/>
        <w:t>Europaparlamentet anser att gripandet och domen på grundval av politiskt motiverade anklagelser mot Mikalaj Khila, en lokalanställd vid EU:s delegation i Minsk, är ett brott mot diplomatisk praxis gentemot EU. Parlamentet uppmanar EU och dess medlemsstater att snabbt komma med ett trovärdigt svar.</w:t>
      </w:r>
    </w:p>
    <w:p w:rsidR="00246E66" w:rsidRPr="0048642E" w:rsidRDefault="00246E66" w:rsidP="00246E66">
      <w:pPr>
        <w:pStyle w:val="NormalHanging12a"/>
      </w:pPr>
      <w:r w:rsidRPr="0048642E">
        <w:t>7.</w:t>
      </w:r>
      <w:r w:rsidRPr="0048642E">
        <w:tab/>
        <w:t>Europaparlamentet lovordar motståndskraften hos det belarusiska civila samhället och de demokratiska krafterna. Parlamentet bekräftar på nytt sin solidaritet med det belarusiska folket och sitt stöd för deras legitima strävanden efter en demokratisk och europeisk framtid. Parlamentet uttrycker solidaritet med de belarusiska demokratiska krafterna och organisationer i det civila samhället i deras ansträngningar för att inrätta ett självständigt, demokratiskt och välmående Belarus. Parlamentet står fast vid sitt åtagande att arbeta med de demokratiska krafterna, det civila samhället och oberoende medier till förmån för det belarusiska folket.</w:t>
      </w:r>
    </w:p>
    <w:p w:rsidR="00246E66" w:rsidRPr="0048642E" w:rsidRDefault="00246E66" w:rsidP="00246E66">
      <w:pPr>
        <w:pStyle w:val="NormalHanging12a"/>
      </w:pPr>
      <w:r w:rsidRPr="0048642E">
        <w:t>8.</w:t>
      </w:r>
      <w:r w:rsidRPr="0048642E">
        <w:tab/>
        <w:t>Europaparlamentet uppmanar EU och dess medlemsstater att fortsätta att utreda kränkningar av de mänskliga rättigheterna i Belarus och att stödja åtgärder för ansvarsskyldighet, bland annat genom universell jurisdiktion. Parlamentet uppmanar EU och dess medlemsstater att på grundval av universell jurisdiktion utreda de brott mot mänskligheten som Lukasjenkaregimen begått i Belarus och på EU:s territorium och att, i enlighet med Litauens exempel, hänskjuta situationen i Belarus till Internationella brottmålsdomstolen för utredning i den mån det är möjligt och att överväga att inrätta en internationell domstol för att lagföra Lukasjenkaregimens brott. Parlamentet uppmanar medlemsstaterna att tillåta belarusiska advokater som utvisats av regimen att praktisera på EU:s territorium för att tillhandahålla rättsligt bistånd till förföljda belarusier.</w:t>
      </w:r>
    </w:p>
    <w:p w:rsidR="00246E66" w:rsidRPr="0048642E" w:rsidRDefault="00246E66" w:rsidP="00246E66">
      <w:pPr>
        <w:pStyle w:val="NormalHanging12a"/>
      </w:pPr>
      <w:r w:rsidRPr="0048642E">
        <w:t>9.</w:t>
      </w:r>
      <w:r w:rsidRPr="0048642E">
        <w:tab/>
        <w:t>Europaparlamentet framhåller det ovärderliga arbete som människorättsförsvarare och företrädare för det civila samhället utför i Belarus när det gäller övervakning, dokumentation och rapportering av de allvarliga människorättskränkningar och brott mot mänskligheten som äger rum i landet, i syfte att säkerställa efterföljande ansvarsskyldighet och rättvisa för offren.</w:t>
      </w:r>
    </w:p>
    <w:p w:rsidR="00246E66" w:rsidRPr="0048642E" w:rsidRDefault="00246E66" w:rsidP="00246E66">
      <w:pPr>
        <w:pStyle w:val="NormalHanging12a"/>
      </w:pPr>
      <w:r w:rsidRPr="0048642E">
        <w:t>10.</w:t>
      </w:r>
      <w:r w:rsidRPr="0048642E">
        <w:tab/>
        <w:t>Europaparlamentet upprepar sin uppmaning till EU och dess medlemsstater att stödja politiska fångar och deras familjer, bland annat genom att kräva bevis på var de politiska fångarna befinner sig, begära att de friges, förenkla förfarandena för dem som flyr Belarus att få visum och id-handlingar och tillhandahålla rehabilitering och andra typer av stöd. Parlamentet uppmanar EU:s delegation och medlemsstaternas ambassader i Belarus att fortsätta att observera och övervaka rättegångarna mot alla politiska fångar.</w:t>
      </w:r>
    </w:p>
    <w:p w:rsidR="00246E66" w:rsidRPr="0048642E" w:rsidRDefault="00246E66" w:rsidP="00246E66">
      <w:pPr>
        <w:pStyle w:val="NormalHanging12a"/>
        <w:keepNext/>
        <w:keepLines/>
        <w:widowControl/>
      </w:pPr>
      <w:r w:rsidRPr="0048642E">
        <w:t>11.</w:t>
      </w:r>
      <w:r w:rsidRPr="0048642E">
        <w:tab/>
        <w:t>Europaparlamentet betonar vikten av att skydda belarusier i exil från Lukasjenkaregimens förföljelse och att ge dem möjligheter att vistas och arbeta lagligt i EU. Parlamentet uppmanar EU och dess medlemsstater att ta upp frågan om missbruk av internationella arresteringsorder inom Interpol och uppmanar de berörda länderna att inte utlämna belarusiska medborgare som har flytt från regimen och som kommer att utsättas för förföljelse när de återvänder till Belarus.</w:t>
      </w:r>
    </w:p>
    <w:p w:rsidR="00246E66" w:rsidRPr="0048642E" w:rsidRDefault="00246E66" w:rsidP="00246E66">
      <w:pPr>
        <w:pStyle w:val="NormalHanging12a"/>
      </w:pPr>
      <w:r w:rsidRPr="0048642E">
        <w:t>12.</w:t>
      </w:r>
      <w:r w:rsidRPr="0048642E">
        <w:tab/>
        <w:t>Europaparlamentet beklagar djupt att repressiva åtgärder i Belarus har utvidgats till att omfatta angrepp på religionsfriheten genom antagandet av lagen om samvetsfrihet och religiösa organisationer, vilket allvarligt kränker den grundläggande rätten till religions</w:t>
      </w:r>
      <w:r w:rsidRPr="0048642E">
        <w:noBreakHyphen/>
        <w:t>, samvets- och trosfrihet. Parlamentet uppmanar med kraft Lukasjenkaregimen att omedelbart stoppa förföljelsen av religiösa samfund och kyrkor.</w:t>
      </w:r>
    </w:p>
    <w:p w:rsidR="00246E66" w:rsidRPr="0048642E" w:rsidRDefault="00246E66" w:rsidP="00246E66">
      <w:pPr>
        <w:pStyle w:val="NormalHanging12a"/>
      </w:pPr>
      <w:r w:rsidRPr="0048642E">
        <w:t>13.</w:t>
      </w:r>
      <w:r w:rsidRPr="0048642E">
        <w:tab/>
        <w:t>Europaparlamentet efterlyser fortsatt EU-stöd till de belarusiska demokratiska krafterna under ledning av Svjatlana Tsichanouskaja. Parlamentet upprepar behovet av att stödja de belarusiska demokratiska krafterna, det civila samhället, studenter, journalister, fackföreningsledare, yrkesverksamma i exil och andra genom att ge dem visum, stipendier, bidrag och möjligheter att skapa nätverk. Parlamentet uppmuntrar företrädarna för de demokratiska krafterna i Belarus att upprätthålla och främja enhet.</w:t>
      </w:r>
    </w:p>
    <w:p w:rsidR="00246E66" w:rsidRPr="0048642E" w:rsidRDefault="00246E66" w:rsidP="00246E66">
      <w:pPr>
        <w:pStyle w:val="NormalHanging12a"/>
      </w:pPr>
      <w:r w:rsidRPr="0048642E">
        <w:t>14.</w:t>
      </w:r>
      <w:r w:rsidRPr="0048642E">
        <w:tab/>
        <w:t>Europaparlamentet fördömer Lukasjenkaregimens delaktighet i Rysslands anfallskrig mot Ukraina och fördömer dess avsiktliga underordning av Belarus till Ryssland i en så kallad unionsstat som omfattar de politiska, geopolitiska, ekonomiska, militära och kulturella områdena. Parlamentet upprepar behovet av att bidra till att stärka den belarusiska nationella identiteten och det belarusiska språket och att bekämpa Lukasjenkaregimens samt Kremls och dess proxyaktörers snedvridning och manipulering av Belarus historia.</w:t>
      </w:r>
    </w:p>
    <w:p w:rsidR="00246E66" w:rsidRPr="0048642E" w:rsidRDefault="00246E66" w:rsidP="00246E66">
      <w:pPr>
        <w:pStyle w:val="NormalHanging12a"/>
      </w:pPr>
      <w:r w:rsidRPr="0048642E">
        <w:t>15.</w:t>
      </w:r>
      <w:r w:rsidRPr="0048642E">
        <w:tab/>
      </w:r>
      <w:r w:rsidR="007D7F9F" w:rsidRPr="0048642E">
        <w:t>Europaparlamentet uppmanar med kraft EU och dess internationella partner att bredda och stärka sanktionerna mot personer och enheter som är ansvariga för förtrycket i Belarus och för Belarus deltagande i Rysslands anfallskrig mot Ukraina, och samtidigt täppa till kryphålen i sanktionerna och ta itu med de huvudsakliga inkomstkällor som finansierar regimen, såsom export av kaliumklorid och andra gödselmedel. Parlamentet uppmanar EU att vidta sanktioner mot belarusiska enheter och personer som är ansvariga för tvångsarbete för politiska fångar samt för de varor som produceras med användning av sådant tvångsarbete.</w:t>
      </w:r>
    </w:p>
    <w:p w:rsidR="00246E66" w:rsidRPr="0048642E" w:rsidRDefault="00246E66" w:rsidP="00246E66">
      <w:pPr>
        <w:pStyle w:val="NormalHanging12a"/>
      </w:pPr>
      <w:r w:rsidRPr="0048642E">
        <w:t>16.</w:t>
      </w:r>
      <w:r w:rsidRPr="0048642E">
        <w:tab/>
        <w:t>Europaparlamentet uppmanar med kraft EU och internationella partner att omedelbart identifiera, frysa och hitta lagliga vägar att beslagta tillgångar som tillhör det belarusiska ledarskapet och relaterade belarusiska enheter som deltar i den ryska krigsinsatsen, samt tillgångar som tillhör enheter och personer som leder Lukasjenkas så kallade valkampanj, inbegripet Belarus fackföreningsförbund, såsom Juryj Sianko, Hanna Varfalamejeva och Valeryj Kursevitj. Parlamentet uppmanar företag i EU och väst att upphöra med sin verksamhet i Belarus.</w:t>
      </w:r>
    </w:p>
    <w:p w:rsidR="00246E66" w:rsidRPr="0048642E" w:rsidRDefault="00246E66" w:rsidP="00246E66">
      <w:pPr>
        <w:pStyle w:val="NormalHanging12a"/>
        <w:keepNext/>
        <w:keepLines/>
        <w:widowControl/>
      </w:pPr>
      <w:r w:rsidRPr="0048642E">
        <w:t>17.</w:t>
      </w:r>
      <w:r w:rsidRPr="0048642E">
        <w:tab/>
        <w:t>Europaparlamentet uppmanar EU och dess medlemsstater att fortsätta att ta upp situationen i Belarus i alla relevanta internationella organisationer, särskilt Organisationen för säkerhet och samarbete i Europa, FN och dess fackorgan samt ILO, i syfte att stärka den internationella granskningen av människorättskränkningarna och de internationella insatserna som svar på situationen i Belarus. Parlamentet uppmanar medlemsstaterna att se till att arbetet med att dokumentera och utkräva ansvar för internationella brott som begåtts av Lukasjenkaregimen fortsätter samt att stärka OHCHR:s undersökning av människorättssituationen i Belarus, genom att ge fullt stöd till FN:s oberoende expertgrupp för människorättssituationen i Belarus och genom att bevara mandatet för FN:s särskilda rapportör om situationen för de mänskliga rättigheterna i Belarus för att övervaka pågående kränkningar av de mänskliga rättigheterna.</w:t>
      </w:r>
    </w:p>
    <w:p w:rsidR="00246E66" w:rsidRPr="0048642E" w:rsidRDefault="00246E66" w:rsidP="00246E66">
      <w:pPr>
        <w:pStyle w:val="NormalHanging12a"/>
      </w:pPr>
      <w:r w:rsidRPr="0048642E">
        <w:t>18.</w:t>
      </w:r>
      <w:r w:rsidRPr="0048642E">
        <w:tab/>
        <w:t>Europaparlamentet fördömer den olagliga förflyttningen av tusentals barn, inbegripet föräldralösa, från ryskockuperade områden i Ukraina till så kallade fritidsläger i Belarus, där de utsätts för russifiering och indoktrinering. Parlamentet fördömer med kraft belarusiska Röda Korsets delaktighet i den olagliga deporteringen av ukrainska barn.</w:t>
      </w:r>
    </w:p>
    <w:p w:rsidR="00246E66" w:rsidRPr="0048642E" w:rsidRDefault="00246E66" w:rsidP="00246E66">
      <w:pPr>
        <w:pStyle w:val="NormalHanging12a"/>
      </w:pPr>
      <w:r w:rsidRPr="0048642E">
        <w:t>19.</w:t>
      </w:r>
      <w:r w:rsidRPr="0048642E">
        <w:tab/>
      </w:r>
      <w:r w:rsidR="007D7F9F" w:rsidRPr="0048642E">
        <w:t xml:space="preserve">Europaparlamentet fördömer skarpt att Lukasjenkaregimen </w:t>
      </w:r>
      <w:r w:rsidR="008067BA" w:rsidRPr="0048642E">
        <w:t xml:space="preserve">använder migration som ett vapen och </w:t>
      </w:r>
      <w:r w:rsidR="007D7F9F" w:rsidRPr="0048642E">
        <w:t>instrument för att destabilisera angränsand</w:t>
      </w:r>
      <w:bookmarkStart w:id="7" w:name="_GoBack"/>
      <w:bookmarkEnd w:id="7"/>
      <w:r w:rsidR="007D7F9F" w:rsidRPr="0048642E">
        <w:t>e EU-medlemsstater, genom att iscensätta irreguljära migrationsströmmar, vilket kränker de mänskliga rättigheterna, exploaterar utsatta personer och hotar den regionala stabiliteten. Parlamentet uppmanar EU och dess medlemsstater att arbeta fram en samordnad insats för att motverka detta hybridhot samtidigt som man skyddar EU:s yttre gränser och skyddar utsatta personers rättigheter och säkerhet.</w:t>
      </w:r>
    </w:p>
    <w:p w:rsidR="00246E66" w:rsidRPr="0048642E" w:rsidRDefault="00246E66" w:rsidP="00246E66">
      <w:pPr>
        <w:pStyle w:val="NormalHanging12a"/>
      </w:pPr>
      <w:r w:rsidRPr="0048642E">
        <w:t>20.</w:t>
      </w:r>
      <w:r w:rsidRPr="0048642E">
        <w:tab/>
        <w:t>Europaparlamentet uppmanar med kraft Belarus att omvandla alla dödsdomar, införa ett moratorium för dödsstraff och gå in för ett permanent avskaffande av dödsstraffet.</w:t>
      </w:r>
    </w:p>
    <w:p w:rsidR="004E6516" w:rsidRPr="004E6516" w:rsidRDefault="00246E66" w:rsidP="004E6516">
      <w:pPr>
        <w:pStyle w:val="NormalHanging12a"/>
      </w:pPr>
      <w:r w:rsidRPr="0048642E">
        <w:t>21.</w:t>
      </w:r>
      <w:r w:rsidRPr="0048642E">
        <w:tab/>
        <w:t>Europaparlamentet uppdrar åt talmannen att översända denna resolution till vice ordföranden för kommissionen/unionens höga representant för utrikes frågor och säkerhetspolitik, berörda EU-institutioner, medlemsstaternas regeringar och parlament, Organisationen för säkerhet och samarbete i Europa, Europarådet, FN:s högkommissarie för mänskliga rättigheter, Japans regering, företrädare för de belarusiska demokratiska krafterna och de belarusiska de facto-myndigheterna.</w:t>
      </w:r>
    </w:p>
    <w:p w:rsidR="00E365E1" w:rsidRPr="004E6516" w:rsidRDefault="00E365E1" w:rsidP="009300E6"/>
    <w:sectPr w:rsidR="00E365E1" w:rsidRPr="004E6516" w:rsidSect="004E65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0E6" w:rsidRPr="004E6516" w:rsidRDefault="009300E6">
      <w:r w:rsidRPr="004E6516">
        <w:separator/>
      </w:r>
    </w:p>
  </w:endnote>
  <w:endnote w:type="continuationSeparator" w:id="0">
    <w:p w:rsidR="009300E6" w:rsidRPr="004E6516" w:rsidRDefault="009300E6">
      <w:r w:rsidRPr="004E65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5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5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5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0E6" w:rsidRPr="004E6516" w:rsidRDefault="009300E6">
      <w:r w:rsidRPr="004E6516">
        <w:separator/>
      </w:r>
    </w:p>
  </w:footnote>
  <w:footnote w:type="continuationSeparator" w:id="0">
    <w:p w:rsidR="009300E6" w:rsidRPr="004E6516" w:rsidRDefault="009300E6">
      <w:r w:rsidRPr="004E65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5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5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5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2025"/>
    <w:docVar w:name="dvlangue" w:val="SV"/>
    <w:docVar w:name="dvnumam" w:val="0"/>
    <w:docVar w:name="dvpe" w:val="768.970"/>
    <w:docVar w:name="dvtitre" w:val="Europaparlamentets resolution av den xx xx 2024 om behovet att agera mot det fortsatta förtrycket och det riggade valet i Belarus(2024/3014(RSP))"/>
  </w:docVars>
  <w:rsids>
    <w:rsidRoot w:val="009300E6"/>
    <w:rsid w:val="00002272"/>
    <w:rsid w:val="00064002"/>
    <w:rsid w:val="000677B9"/>
    <w:rsid w:val="000831BA"/>
    <w:rsid w:val="000A42CC"/>
    <w:rsid w:val="000E7DD9"/>
    <w:rsid w:val="0010095E"/>
    <w:rsid w:val="00125B37"/>
    <w:rsid w:val="00176F3C"/>
    <w:rsid w:val="00187494"/>
    <w:rsid w:val="001F32AE"/>
    <w:rsid w:val="00215BD2"/>
    <w:rsid w:val="00246E66"/>
    <w:rsid w:val="002767FF"/>
    <w:rsid w:val="002B18FE"/>
    <w:rsid w:val="002B5493"/>
    <w:rsid w:val="0031607E"/>
    <w:rsid w:val="00343214"/>
    <w:rsid w:val="00361C00"/>
    <w:rsid w:val="00395FA1"/>
    <w:rsid w:val="003E15D4"/>
    <w:rsid w:val="00411CCE"/>
    <w:rsid w:val="0041666E"/>
    <w:rsid w:val="00421060"/>
    <w:rsid w:val="00471C19"/>
    <w:rsid w:val="004725AE"/>
    <w:rsid w:val="0048642E"/>
    <w:rsid w:val="004867E3"/>
    <w:rsid w:val="00494A28"/>
    <w:rsid w:val="004C0004"/>
    <w:rsid w:val="004C5D52"/>
    <w:rsid w:val="004E6516"/>
    <w:rsid w:val="0050519A"/>
    <w:rsid w:val="005072A1"/>
    <w:rsid w:val="00514517"/>
    <w:rsid w:val="00545827"/>
    <w:rsid w:val="00560270"/>
    <w:rsid w:val="005C2568"/>
    <w:rsid w:val="005F1B17"/>
    <w:rsid w:val="006037C0"/>
    <w:rsid w:val="006631B6"/>
    <w:rsid w:val="00680577"/>
    <w:rsid w:val="006F74FA"/>
    <w:rsid w:val="00721AAA"/>
    <w:rsid w:val="00731ADD"/>
    <w:rsid w:val="00734777"/>
    <w:rsid w:val="00747932"/>
    <w:rsid w:val="00751A4A"/>
    <w:rsid w:val="00756632"/>
    <w:rsid w:val="00762C74"/>
    <w:rsid w:val="00786EC0"/>
    <w:rsid w:val="007D1690"/>
    <w:rsid w:val="007D7F9F"/>
    <w:rsid w:val="007E22AD"/>
    <w:rsid w:val="008067BA"/>
    <w:rsid w:val="00817416"/>
    <w:rsid w:val="00842779"/>
    <w:rsid w:val="00865F67"/>
    <w:rsid w:val="00881A7B"/>
    <w:rsid w:val="008840E5"/>
    <w:rsid w:val="00887B3E"/>
    <w:rsid w:val="008C2AC6"/>
    <w:rsid w:val="009300E6"/>
    <w:rsid w:val="00930C23"/>
    <w:rsid w:val="0093193B"/>
    <w:rsid w:val="009509D8"/>
    <w:rsid w:val="00950B64"/>
    <w:rsid w:val="00981893"/>
    <w:rsid w:val="009C67B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188503D-5B12-4B16-8042-E9249037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46E66"/>
    <w:pPr>
      <w:spacing w:after="240"/>
      <w:ind w:left="567" w:hanging="567"/>
    </w:pPr>
  </w:style>
  <w:style w:type="paragraph" w:customStyle="1" w:styleId="EPComma">
    <w:name w:val="EPComma"/>
    <w:basedOn w:val="Normal"/>
    <w:link w:val="EPCommaChar"/>
    <w:rsid w:val="00246E66"/>
    <w:pPr>
      <w:spacing w:before="480" w:after="240"/>
    </w:pPr>
  </w:style>
  <w:style w:type="character" w:customStyle="1" w:styleId="EPCommaChar">
    <w:name w:val="EPComma Char"/>
    <w:basedOn w:val="DefaultParagraphFont"/>
    <w:link w:val="EPComma"/>
    <w:rsid w:val="00246E66"/>
    <w:rPr>
      <w:sz w:val="24"/>
      <w:lang w:val="sv-SE"/>
    </w:rPr>
  </w:style>
  <w:style w:type="paragraph" w:styleId="BalloonText">
    <w:name w:val="Balloon Text"/>
    <w:basedOn w:val="Normal"/>
    <w:link w:val="BalloonTextChar"/>
    <w:rsid w:val="008067BA"/>
    <w:rPr>
      <w:rFonts w:ascii="Segoe UI" w:hAnsi="Segoe UI" w:cs="Segoe UI"/>
      <w:sz w:val="18"/>
      <w:szCs w:val="18"/>
    </w:rPr>
  </w:style>
  <w:style w:type="character" w:customStyle="1" w:styleId="BalloonTextChar">
    <w:name w:val="Balloon Text Char"/>
    <w:basedOn w:val="DefaultParagraphFont"/>
    <w:link w:val="BalloonText"/>
    <w:rsid w:val="008067BA"/>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9CB48-BCD1-4E29-BC35-EB5FD872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2745</Words>
  <Characters>18034</Characters>
  <Application>Microsoft Office Word</Application>
  <DocSecurity>0</DocSecurity>
  <Lines>150</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2025-01-22T13:24:00Z</dcterms:created>
  <dcterms:modified xsi:type="dcterms:W3CDTF">2025-01-22T13:24:00Z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B10-0055/2025</vt:lpwstr>
  </property>
  <property fmtid="{D5CDD505-2E9C-101B-9397-08002B2CF9AE}" pid="4" name="&lt;Type&gt;">
    <vt:lpwstr>RR</vt:lpwstr>
  </property>
</Properties>
</file>