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F1FDD" w:rsidTr="0010095E">
        <w:trPr>
          <w:trHeight w:hRule="exact" w:val="1418"/>
        </w:trPr>
        <w:tc>
          <w:tcPr>
            <w:tcW w:w="6804" w:type="dxa"/>
            <w:shd w:val="clear" w:color="auto" w:fill="auto"/>
            <w:vAlign w:val="center"/>
          </w:tcPr>
          <w:p w:rsidR="00751A4A" w:rsidRPr="005F1FDD" w:rsidRDefault="00D0422C" w:rsidP="0010095E">
            <w:pPr>
              <w:pStyle w:val="EPName"/>
            </w:pPr>
            <w:r w:rsidRPr="005F1FDD">
              <w:t>European Parliament</w:t>
            </w:r>
          </w:p>
          <w:p w:rsidR="00751A4A" w:rsidRPr="005F1FDD" w:rsidRDefault="005F1B17" w:rsidP="005F1B17">
            <w:pPr>
              <w:pStyle w:val="EPTerm"/>
              <w:rPr>
                <w:rStyle w:val="HideTWBExt"/>
                <w:noProof w:val="0"/>
                <w:vanish w:val="0"/>
                <w:color w:val="auto"/>
              </w:rPr>
            </w:pPr>
            <w:r w:rsidRPr="005F1FDD">
              <w:t>2024</w:t>
            </w:r>
            <w:r w:rsidR="00817416" w:rsidRPr="005F1FDD">
              <w:t>-202</w:t>
            </w:r>
            <w:r w:rsidRPr="005F1FDD">
              <w:t>9</w:t>
            </w:r>
          </w:p>
        </w:tc>
        <w:tc>
          <w:tcPr>
            <w:tcW w:w="2268" w:type="dxa"/>
            <w:shd w:val="clear" w:color="auto" w:fill="auto"/>
          </w:tcPr>
          <w:p w:rsidR="00751A4A" w:rsidRPr="005F1FDD" w:rsidRDefault="00187494" w:rsidP="0010095E">
            <w:pPr>
              <w:pStyle w:val="EPLogo"/>
            </w:pPr>
            <w:r w:rsidRPr="005F1FD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F1FDD" w:rsidRDefault="00D058B8" w:rsidP="004C5D52">
      <w:pPr>
        <w:pStyle w:val="LineTop"/>
      </w:pPr>
    </w:p>
    <w:p w:rsidR="00680577" w:rsidRPr="005F1FDD" w:rsidRDefault="00D0422C" w:rsidP="00680577">
      <w:pPr>
        <w:pStyle w:val="EPBodyTA1"/>
      </w:pPr>
      <w:r w:rsidRPr="005F1FDD">
        <w:t>TEXTS ADOPTED</w:t>
      </w:r>
    </w:p>
    <w:p w:rsidR="00D058B8" w:rsidRPr="005F1FDD" w:rsidRDefault="00D058B8" w:rsidP="00D058B8">
      <w:pPr>
        <w:pStyle w:val="LineBottom"/>
      </w:pPr>
    </w:p>
    <w:p w:rsidR="00D0422C" w:rsidRPr="005F1FDD" w:rsidRDefault="00D0422C" w:rsidP="00D0422C">
      <w:pPr>
        <w:pStyle w:val="ATHeading1"/>
      </w:pPr>
      <w:bookmarkStart w:id="0" w:name="TANumber"/>
      <w:r w:rsidRPr="005F1FDD">
        <w:t>P10_</w:t>
      </w:r>
      <w:proofErr w:type="gramStart"/>
      <w:r w:rsidRPr="005F1FDD">
        <w:t>TA(</w:t>
      </w:r>
      <w:proofErr w:type="gramEnd"/>
      <w:r w:rsidRPr="005F1FDD">
        <w:t>2025)000</w:t>
      </w:r>
      <w:bookmarkEnd w:id="0"/>
      <w:r w:rsidR="00622CBE">
        <w:t>5</w:t>
      </w:r>
      <w:bookmarkStart w:id="1" w:name="_GoBack"/>
      <w:bookmarkEnd w:id="1"/>
    </w:p>
    <w:p w:rsidR="00D0422C" w:rsidRPr="005F1FDD" w:rsidRDefault="00D0422C" w:rsidP="00D0422C">
      <w:pPr>
        <w:pStyle w:val="ATHeading2"/>
      </w:pPr>
      <w:bookmarkStart w:id="2" w:name="title"/>
      <w:r w:rsidRPr="005F1FDD">
        <w:t xml:space="preserve">Case of </w:t>
      </w:r>
      <w:proofErr w:type="spellStart"/>
      <w:r w:rsidRPr="005F1FDD">
        <w:t>Boualem</w:t>
      </w:r>
      <w:proofErr w:type="spellEnd"/>
      <w:r w:rsidRPr="005F1FDD">
        <w:t xml:space="preserve"> </w:t>
      </w:r>
      <w:proofErr w:type="spellStart"/>
      <w:r w:rsidRPr="005F1FDD">
        <w:t>Sansal</w:t>
      </w:r>
      <w:proofErr w:type="spellEnd"/>
      <w:r w:rsidRPr="005F1FDD">
        <w:t xml:space="preserve"> in Algeria</w:t>
      </w:r>
      <w:bookmarkEnd w:id="2"/>
    </w:p>
    <w:p w:rsidR="00D0422C" w:rsidRPr="005F1FDD" w:rsidRDefault="00D0422C" w:rsidP="00D0422C">
      <w:pPr>
        <w:rPr>
          <w:i/>
          <w:vanish/>
        </w:rPr>
      </w:pPr>
      <w:r w:rsidRPr="005F1FDD">
        <w:rPr>
          <w:i/>
        </w:rPr>
        <w:fldChar w:fldCharType="begin"/>
      </w:r>
      <w:r w:rsidRPr="005F1FDD">
        <w:rPr>
          <w:i/>
        </w:rPr>
        <w:instrText xml:space="preserve"> TC"(</w:instrText>
      </w:r>
      <w:bookmarkStart w:id="3" w:name="DocNumber"/>
      <w:r w:rsidRPr="005F1FDD">
        <w:rPr>
          <w:i/>
        </w:rPr>
        <w:instrText>B10-0087</w:instrText>
      </w:r>
      <w:r w:rsidR="007A54D2">
        <w:rPr>
          <w:i/>
        </w:rPr>
        <w:instrText>, 0089, 0091, 0092 and 0093</w:instrText>
      </w:r>
      <w:r w:rsidRPr="005F1FDD">
        <w:rPr>
          <w:i/>
        </w:rPr>
        <w:instrText>/2025</w:instrText>
      </w:r>
      <w:bookmarkEnd w:id="3"/>
      <w:r w:rsidRPr="005F1FDD">
        <w:rPr>
          <w:i/>
        </w:rPr>
        <w:instrText xml:space="preserve">)"\l3 \n&gt; \* MERGEFORMAT </w:instrText>
      </w:r>
      <w:r w:rsidRPr="005F1FDD">
        <w:rPr>
          <w:i/>
        </w:rPr>
        <w:fldChar w:fldCharType="end"/>
      </w:r>
    </w:p>
    <w:p w:rsidR="00D0422C" w:rsidRPr="005F1FDD" w:rsidRDefault="00D0422C" w:rsidP="00D0422C">
      <w:pPr>
        <w:rPr>
          <w:vanish/>
        </w:rPr>
      </w:pPr>
      <w:bookmarkStart w:id="4" w:name="PE"/>
      <w:r w:rsidRPr="005F1FDD">
        <w:rPr>
          <w:vanish/>
        </w:rPr>
        <w:t>PE769.109</w:t>
      </w:r>
      <w:bookmarkEnd w:id="4"/>
    </w:p>
    <w:p w:rsidR="00D0422C" w:rsidRPr="005F1FDD" w:rsidRDefault="00D0422C" w:rsidP="007A54D2">
      <w:pPr>
        <w:pStyle w:val="ATHeading3"/>
      </w:pPr>
      <w:bookmarkStart w:id="5" w:name="Sujet"/>
      <w:r w:rsidRPr="005F1FDD">
        <w:t xml:space="preserve">European Parliament resolution of </w:t>
      </w:r>
      <w:r w:rsidR="007A54D2">
        <w:t>23</w:t>
      </w:r>
      <w:r w:rsidRPr="005F1FDD">
        <w:t xml:space="preserve"> </w:t>
      </w:r>
      <w:r w:rsidR="007A54D2">
        <w:t>January</w:t>
      </w:r>
      <w:r w:rsidRPr="005F1FDD">
        <w:t xml:space="preserve"> 202</w:t>
      </w:r>
      <w:r w:rsidR="007A54D2">
        <w:t>5</w:t>
      </w:r>
      <w:r w:rsidRPr="005F1FDD">
        <w:t xml:space="preserve"> on the case of </w:t>
      </w:r>
      <w:proofErr w:type="spellStart"/>
      <w:r w:rsidRPr="005F1FDD">
        <w:t>Boualem</w:t>
      </w:r>
      <w:proofErr w:type="spellEnd"/>
      <w:r w:rsidRPr="005F1FDD">
        <w:t xml:space="preserve"> </w:t>
      </w:r>
      <w:proofErr w:type="spellStart"/>
      <w:r w:rsidRPr="005F1FDD">
        <w:t>Sansal</w:t>
      </w:r>
      <w:proofErr w:type="spellEnd"/>
      <w:r w:rsidRPr="005F1FDD">
        <w:t xml:space="preserve"> in Algeria</w:t>
      </w:r>
      <w:bookmarkEnd w:id="5"/>
      <w:r w:rsidRPr="005F1FDD">
        <w:t xml:space="preserve"> </w:t>
      </w:r>
      <w:bookmarkStart w:id="6" w:name="References"/>
      <w:r w:rsidRPr="005F1FDD">
        <w:t>(2025/2512(RSP))</w:t>
      </w:r>
      <w:bookmarkEnd w:id="6"/>
    </w:p>
    <w:p w:rsidR="00FA4B9F" w:rsidRPr="005F1FDD" w:rsidRDefault="00FA4B9F" w:rsidP="00FA4B9F">
      <w:pPr>
        <w:pStyle w:val="EPComma"/>
      </w:pPr>
      <w:bookmarkStart w:id="7" w:name="TextBodyBegin"/>
      <w:bookmarkEnd w:id="7"/>
      <w:r w:rsidRPr="005F1FDD">
        <w:rPr>
          <w:i/>
        </w:rPr>
        <w:t>The European Parliament</w:t>
      </w:r>
      <w:r w:rsidRPr="005F1FDD">
        <w:t>,</w:t>
      </w:r>
    </w:p>
    <w:p w:rsidR="00FA4B9F" w:rsidRPr="005F1FDD" w:rsidRDefault="00FA4B9F" w:rsidP="007A54D2">
      <w:pPr>
        <w:pStyle w:val="NormalHanging12a"/>
        <w:widowControl/>
      </w:pPr>
      <w:r w:rsidRPr="005F1FDD">
        <w:t>–</w:t>
      </w:r>
      <w:r w:rsidRPr="005F1FDD">
        <w:tab/>
        <w:t>having regard to its previous resolutions on Algeria,</w:t>
      </w:r>
    </w:p>
    <w:p w:rsidR="00FA4B9F" w:rsidRPr="005F1FDD" w:rsidRDefault="00FA4B9F" w:rsidP="007A54D2">
      <w:pPr>
        <w:pStyle w:val="NormalHanging12a"/>
        <w:widowControl/>
      </w:pPr>
      <w:r w:rsidRPr="005F1FDD">
        <w:t>–</w:t>
      </w:r>
      <w:r w:rsidRPr="005F1FDD">
        <w:tab/>
        <w:t>having regard to Rules 150(5) and 136(4) of its Rules of Procedure,</w:t>
      </w:r>
    </w:p>
    <w:p w:rsidR="00FA4B9F" w:rsidRPr="005F1FDD" w:rsidRDefault="00FA4B9F" w:rsidP="007A54D2">
      <w:pPr>
        <w:pStyle w:val="NormalHanging12a"/>
        <w:widowControl/>
      </w:pPr>
      <w:proofErr w:type="gramStart"/>
      <w:r w:rsidRPr="005F1FDD">
        <w:t>A.</w:t>
      </w:r>
      <w:r w:rsidRPr="005F1FDD">
        <w:rPr>
          <w:rFonts w:eastAsiaTheme="minorHAnsi"/>
          <w:szCs w:val="24"/>
          <w:lang w:eastAsia="en-US"/>
        </w:rPr>
        <w:tab/>
      </w:r>
      <w:r w:rsidRPr="005F1FDD">
        <w:t xml:space="preserve">whereas on 16 November 2024 the Algerian authorities arrested French-Algerian writer </w:t>
      </w:r>
      <w:proofErr w:type="spellStart"/>
      <w:r w:rsidRPr="005F1FDD">
        <w:t>Boualem</w:t>
      </w:r>
      <w:proofErr w:type="spellEnd"/>
      <w:r w:rsidRPr="005F1FDD">
        <w:t xml:space="preserve"> </w:t>
      </w:r>
      <w:proofErr w:type="spellStart"/>
      <w:r w:rsidRPr="005F1FDD">
        <w:t>Sansal</w:t>
      </w:r>
      <w:proofErr w:type="spellEnd"/>
      <w:r w:rsidRPr="005F1FDD">
        <w:t xml:space="preserve">, who had publicly taken a robust stance against the authoritarian regime, calling for freedom of expression in Algeria; whereas his whereabouts remained unknown for over a week, during which time he was denied access to his family and legal counsel, contrary to international law; whereas </w:t>
      </w:r>
      <w:proofErr w:type="spellStart"/>
      <w:r w:rsidRPr="005F1FDD">
        <w:t>Sansal</w:t>
      </w:r>
      <w:proofErr w:type="spellEnd"/>
      <w:r w:rsidRPr="005F1FDD">
        <w:t xml:space="preserve"> was interrogated without his lawyer, violating his right to a fair trial; whereas he was subsequently charged with national security-related offences under Article 87bis of the Algerian Penal Code, a provision frequently used against government critics, including human rights defenders; whereas </w:t>
      </w:r>
      <w:proofErr w:type="spellStart"/>
      <w:r w:rsidRPr="005F1FDD">
        <w:t>Sansal</w:t>
      </w:r>
      <w:proofErr w:type="spellEnd"/>
      <w:r w:rsidRPr="005F1FDD">
        <w:t xml:space="preserve"> has been hospitalised several times;</w:t>
      </w:r>
      <w:proofErr w:type="gramEnd"/>
    </w:p>
    <w:p w:rsidR="00FA4B9F" w:rsidRPr="005F1FDD" w:rsidRDefault="00FA4B9F" w:rsidP="007A54D2">
      <w:pPr>
        <w:pStyle w:val="NormalHanging12a"/>
        <w:widowControl/>
      </w:pPr>
      <w:r w:rsidRPr="005F1FDD">
        <w:rPr>
          <w:rFonts w:eastAsiaTheme="minorHAnsi"/>
          <w:szCs w:val="24"/>
          <w:lang w:eastAsia="en-US"/>
        </w:rPr>
        <w:t>B.</w:t>
      </w:r>
      <w:r w:rsidRPr="005F1FDD">
        <w:rPr>
          <w:rFonts w:eastAsiaTheme="minorHAnsi"/>
          <w:szCs w:val="24"/>
          <w:lang w:eastAsia="en-US"/>
        </w:rPr>
        <w:tab/>
      </w:r>
      <w:r w:rsidRPr="005F1FDD">
        <w:t>whereas Algeria is a signatory to the Universal Declaration of Human Rights; whereas Algeria has undertaken to respect and promote freedom of expression in full compliance with its international obligations, the EU-Algeria partnership priorities, and its Constitution; whereas new amendments to the Penal Code were adopted in 2024 imposing significant restrictions on freedom of expression;</w:t>
      </w:r>
    </w:p>
    <w:p w:rsidR="00FA4B9F" w:rsidRPr="005F1FDD" w:rsidRDefault="00FA4B9F" w:rsidP="007A54D2">
      <w:pPr>
        <w:pStyle w:val="NormalHanging12a"/>
        <w:widowControl/>
      </w:pPr>
      <w:proofErr w:type="gramStart"/>
      <w:r w:rsidRPr="005F1FDD">
        <w:rPr>
          <w:rFonts w:eastAsiaTheme="minorHAnsi"/>
          <w:szCs w:val="24"/>
          <w:lang w:eastAsia="en-US"/>
        </w:rPr>
        <w:t>C.</w:t>
      </w:r>
      <w:r w:rsidRPr="005F1FDD">
        <w:rPr>
          <w:rFonts w:eastAsiaTheme="minorHAnsi"/>
          <w:szCs w:val="24"/>
          <w:lang w:eastAsia="en-US"/>
        </w:rPr>
        <w:tab/>
      </w:r>
      <w:r w:rsidRPr="005F1FDD">
        <w:t>whereas freedom of expression in Algeria has deteriorated, with the country falling to 139th place on the 2024 World Press Freedom Index; whereas journalists have been placed under increasing pressure and are often detained and prosecuted; whereas at least 215 people are being held in Algeria as prisoners of opinion, according to Algerian human rights defenders; whereas censorship, trials and harsh punishment of independent media, often accused of colluding with foreign powers against national security, continue to increase;</w:t>
      </w:r>
      <w:proofErr w:type="gramEnd"/>
    </w:p>
    <w:p w:rsidR="00FA4B9F" w:rsidRPr="005F1FDD" w:rsidRDefault="00FA4B9F" w:rsidP="007A54D2">
      <w:pPr>
        <w:pStyle w:val="NormalHanging12a"/>
        <w:widowControl/>
      </w:pPr>
      <w:r w:rsidRPr="005F1FDD">
        <w:t>D.</w:t>
      </w:r>
      <w:r w:rsidRPr="005F1FDD">
        <w:tab/>
        <w:t>whereas between 2021 and 2024 the EU disbursed EUR 213 million to Algeria under the Multiannual Indicative Programme;</w:t>
      </w:r>
    </w:p>
    <w:p w:rsidR="00FA4B9F" w:rsidRPr="005F1FDD" w:rsidRDefault="00FA4B9F" w:rsidP="007A54D2">
      <w:pPr>
        <w:pStyle w:val="NormalHanging12a"/>
        <w:widowControl/>
      </w:pPr>
      <w:r w:rsidRPr="005F1FDD">
        <w:lastRenderedPageBreak/>
        <w:t>1.</w:t>
      </w:r>
      <w:r w:rsidRPr="005F1FDD">
        <w:tab/>
      </w:r>
      <w:proofErr w:type="gramStart"/>
      <w:r w:rsidRPr="005F1FDD">
        <w:t>Condemns</w:t>
      </w:r>
      <w:proofErr w:type="gramEnd"/>
      <w:r w:rsidRPr="005F1FDD">
        <w:t xml:space="preserve"> the arrest and detention of </w:t>
      </w:r>
      <w:proofErr w:type="spellStart"/>
      <w:r w:rsidRPr="005F1FDD">
        <w:t>Boualem</w:t>
      </w:r>
      <w:proofErr w:type="spellEnd"/>
      <w:r w:rsidRPr="005F1FDD">
        <w:t xml:space="preserve"> </w:t>
      </w:r>
      <w:proofErr w:type="spellStart"/>
      <w:r w:rsidRPr="005F1FDD">
        <w:t>Sansal</w:t>
      </w:r>
      <w:proofErr w:type="spellEnd"/>
      <w:r w:rsidRPr="005F1FDD">
        <w:t xml:space="preserve"> and calls for his immediate and unconditional release;</w:t>
      </w:r>
    </w:p>
    <w:p w:rsidR="00FA4B9F" w:rsidRPr="005F1FDD" w:rsidRDefault="00FA4B9F" w:rsidP="007A54D2">
      <w:pPr>
        <w:pStyle w:val="NormalHanging12a"/>
        <w:widowControl/>
      </w:pPr>
      <w:r w:rsidRPr="005F1FDD">
        <w:t>2.</w:t>
      </w:r>
      <w:r w:rsidRPr="005F1FDD">
        <w:tab/>
        <w:t xml:space="preserve">Equally condemns the arrests of all other activists, political prisoners, journalists, human rights defenders and others detained or sentenced for exercising their right to freedom of opinion and expression, including journalist </w:t>
      </w:r>
      <w:proofErr w:type="spellStart"/>
      <w:r w:rsidRPr="005F1FDD">
        <w:t>Abdelwakil</w:t>
      </w:r>
      <w:proofErr w:type="spellEnd"/>
      <w:r w:rsidRPr="005F1FDD">
        <w:t xml:space="preserve"> </w:t>
      </w:r>
      <w:proofErr w:type="spellStart"/>
      <w:r w:rsidRPr="005F1FDD">
        <w:t>Blamm</w:t>
      </w:r>
      <w:proofErr w:type="spellEnd"/>
      <w:r w:rsidRPr="005F1FDD">
        <w:t xml:space="preserve"> and writer </w:t>
      </w:r>
      <w:proofErr w:type="spellStart"/>
      <w:r w:rsidRPr="005F1FDD">
        <w:t>Tadjadit</w:t>
      </w:r>
      <w:proofErr w:type="spellEnd"/>
      <w:r w:rsidRPr="005F1FDD">
        <w:t xml:space="preserve"> Mohamed, and calls for their release;</w:t>
      </w:r>
    </w:p>
    <w:p w:rsidR="00FA4B9F" w:rsidRPr="005F1FDD" w:rsidRDefault="00FA4B9F" w:rsidP="007A54D2">
      <w:pPr>
        <w:pStyle w:val="NormalHanging12a"/>
        <w:widowControl/>
      </w:pPr>
      <w:r w:rsidRPr="005F1FDD">
        <w:t>3.</w:t>
      </w:r>
      <w:r w:rsidRPr="005F1FDD">
        <w:tab/>
      </w:r>
      <w:proofErr w:type="gramStart"/>
      <w:r w:rsidRPr="005F1FDD">
        <w:t>Urges</w:t>
      </w:r>
      <w:proofErr w:type="gramEnd"/>
      <w:r w:rsidRPr="005F1FDD">
        <w:t xml:space="preserve"> the EU institutions and the EU Delegation to publicly share their concerns with the Algerian authorities, and to organise a medical mission to assess </w:t>
      </w:r>
      <w:proofErr w:type="spellStart"/>
      <w:r w:rsidRPr="005F1FDD">
        <w:t>Sansal’s</w:t>
      </w:r>
      <w:proofErr w:type="spellEnd"/>
      <w:r w:rsidRPr="005F1FDD">
        <w:t xml:space="preserve"> health;</w:t>
      </w:r>
    </w:p>
    <w:p w:rsidR="00FA4B9F" w:rsidRPr="005F1FDD" w:rsidRDefault="00FA4B9F" w:rsidP="007A54D2">
      <w:pPr>
        <w:pStyle w:val="NormalHanging12a"/>
        <w:widowControl/>
      </w:pPr>
      <w:r w:rsidRPr="005F1FDD">
        <w:t>4.</w:t>
      </w:r>
      <w:r w:rsidRPr="005F1FDD">
        <w:tab/>
        <w:t>Calls on the Algerian authorities to review all repressive laws restricting freedoms, in particular Articles 87bis, 95bis and 196bis of Algeria’s Penal Code, and the judiciary’s independence, in order to protect the freedom of the press as enshrined in Article 54 of Algeria’s Constitution;</w:t>
      </w:r>
    </w:p>
    <w:p w:rsidR="00FA4B9F" w:rsidRPr="005F1FDD" w:rsidRDefault="00FA4B9F" w:rsidP="007A54D2">
      <w:pPr>
        <w:pStyle w:val="NormalHanging12a"/>
        <w:widowControl/>
      </w:pPr>
      <w:r w:rsidRPr="005F1FDD">
        <w:t>5.</w:t>
      </w:r>
      <w:r w:rsidRPr="005F1FDD">
        <w:tab/>
        <w:t xml:space="preserve">Reiterates, as enshrined in the EU-Algeria Partnership Priorities, the importance </w:t>
      </w:r>
      <w:r w:rsidRPr="005F1FDD">
        <w:rPr>
          <w:snapToGrid w:val="0"/>
        </w:rPr>
        <w:t xml:space="preserve">of the rule of law in order </w:t>
      </w:r>
      <w:r w:rsidRPr="005F1FDD">
        <w:t>to consolidate freedom of expression; stresses that renewing this agreement must be based upon continued and substantial progress in the aforementioned domains and underscores that all future disbursements of EU funds should consider the progress made in this regard;</w:t>
      </w:r>
    </w:p>
    <w:p w:rsidR="00E365E1" w:rsidRPr="005F1FDD" w:rsidRDefault="00FA4B9F" w:rsidP="007A54D2">
      <w:pPr>
        <w:pStyle w:val="NormalHanging12a"/>
        <w:widowControl/>
      </w:pPr>
      <w:r w:rsidRPr="005F1FDD">
        <w:t>6.</w:t>
      </w:r>
      <w:r w:rsidRPr="005F1FDD">
        <w:tab/>
        <w:t>Instructs its President to have this resolution translated into Arabic and forwarded to the Algerian Authorities, the Commission and the VP/HR.</w:t>
      </w:r>
    </w:p>
    <w:sectPr w:rsidR="00E365E1" w:rsidRPr="005F1FDD" w:rsidSect="005F1FD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22C" w:rsidRPr="005F1FDD" w:rsidRDefault="00D0422C">
      <w:r w:rsidRPr="005F1FDD">
        <w:separator/>
      </w:r>
    </w:p>
  </w:endnote>
  <w:endnote w:type="continuationSeparator" w:id="0">
    <w:p w:rsidR="00D0422C" w:rsidRPr="005F1FDD" w:rsidRDefault="00D0422C">
      <w:r w:rsidRPr="005F1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F1FD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F1FD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F1FD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22C" w:rsidRPr="005F1FDD" w:rsidRDefault="00D0422C">
      <w:r w:rsidRPr="005F1FDD">
        <w:separator/>
      </w:r>
    </w:p>
  </w:footnote>
  <w:footnote w:type="continuationSeparator" w:id="0">
    <w:p w:rsidR="00D0422C" w:rsidRPr="005F1FDD" w:rsidRDefault="00D0422C">
      <w:r w:rsidRPr="005F1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F1FD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F1FD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F1FD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87/2025"/>
    <w:docVar w:name="dvlangue" w:val="EN"/>
    <w:docVar w:name="dvnumam" w:val="0"/>
    <w:docVar w:name="dvpe" w:val="769.109"/>
    <w:docVar w:name="dvtitre" w:val="European Parliament resolution of xx Xxxx 2024 on the case of Boualem Sansal in Algeria(2025/2512(RSP))"/>
  </w:docVars>
  <w:rsids>
    <w:rsidRoot w:val="00D0422C"/>
    <w:rsid w:val="00002272"/>
    <w:rsid w:val="00013650"/>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1FDD"/>
    <w:rsid w:val="006037C0"/>
    <w:rsid w:val="00622CBE"/>
    <w:rsid w:val="006631B6"/>
    <w:rsid w:val="00680577"/>
    <w:rsid w:val="006F74FA"/>
    <w:rsid w:val="00731ADD"/>
    <w:rsid w:val="00734777"/>
    <w:rsid w:val="00747932"/>
    <w:rsid w:val="00751A4A"/>
    <w:rsid w:val="00756632"/>
    <w:rsid w:val="00762C74"/>
    <w:rsid w:val="00786EC0"/>
    <w:rsid w:val="007A54D2"/>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422C"/>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4B9F"/>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172EF"/>
  <w15:chartTrackingRefBased/>
  <w15:docId w15:val="{EBD39158-1B4C-4191-BFD6-C9E29AFE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FA4B9F"/>
    <w:pPr>
      <w:spacing w:after="240"/>
      <w:ind w:left="567" w:hanging="567"/>
    </w:pPr>
  </w:style>
  <w:style w:type="paragraph" w:customStyle="1" w:styleId="EPComma">
    <w:name w:val="EPComma"/>
    <w:basedOn w:val="Normal"/>
    <w:link w:val="EPCommaChar"/>
    <w:rsid w:val="00FA4B9F"/>
    <w:pPr>
      <w:spacing w:before="480" w:after="240"/>
    </w:pPr>
  </w:style>
  <w:style w:type="character" w:customStyle="1" w:styleId="EPCommaChar">
    <w:name w:val="EPComma Char"/>
    <w:basedOn w:val="DefaultParagraphFont"/>
    <w:link w:val="EPComma"/>
    <w:rsid w:val="00FA4B9F"/>
    <w:rPr>
      <w:sz w:val="24"/>
    </w:rPr>
  </w:style>
  <w:style w:type="paragraph" w:styleId="BalloonText">
    <w:name w:val="Balloon Text"/>
    <w:basedOn w:val="Normal"/>
    <w:link w:val="BalloonTextChar"/>
    <w:rsid w:val="007A54D2"/>
    <w:rPr>
      <w:rFonts w:ascii="Segoe UI" w:hAnsi="Segoe UI" w:cs="Segoe UI"/>
      <w:sz w:val="18"/>
      <w:szCs w:val="18"/>
    </w:rPr>
  </w:style>
  <w:style w:type="character" w:customStyle="1" w:styleId="BalloonTextChar">
    <w:name w:val="Balloon Text Char"/>
    <w:basedOn w:val="DefaultParagraphFont"/>
    <w:link w:val="BalloonText"/>
    <w:rsid w:val="007A54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AB2FF-42D5-4DC2-BCC3-77E23603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2025-01-23T11:31:00Z</dcterms:created>
  <dcterms:modified xsi:type="dcterms:W3CDTF">2025-01-23T11:31:00Z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B10-0087/2025</vt:lpwstr>
  </property>
  <property fmtid="{D5CDD505-2E9C-101B-9397-08002B2CF9AE}" pid="4" name="&lt;Type&gt;">
    <vt:lpwstr>RR</vt:lpwstr>
  </property>
</Properties>
</file>