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06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0629" w:rsidRDefault="008F0680" w:rsidP="0010095E">
            <w:pPr>
              <w:pStyle w:val="EPName"/>
            </w:pPr>
            <w:r w:rsidRPr="00E40629">
              <w:t>Parlament Europejski</w:t>
            </w:r>
          </w:p>
          <w:p w:rsidR="00751A4A" w:rsidRPr="00E406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629">
              <w:t>2024</w:t>
            </w:r>
            <w:r w:rsidR="00817416" w:rsidRPr="00E40629">
              <w:t>-202</w:t>
            </w:r>
            <w:r w:rsidRPr="00E406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40629" w:rsidRDefault="00187494" w:rsidP="0010095E">
            <w:pPr>
              <w:pStyle w:val="EPLogo"/>
            </w:pPr>
            <w:r w:rsidRPr="00E406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0629" w:rsidRDefault="00D058B8" w:rsidP="004C5D52">
      <w:pPr>
        <w:pStyle w:val="LineTop"/>
      </w:pPr>
    </w:p>
    <w:p w:rsidR="00680577" w:rsidRPr="00E40629" w:rsidRDefault="008F0680" w:rsidP="00680577">
      <w:pPr>
        <w:pStyle w:val="EPBodyTA1"/>
      </w:pPr>
      <w:r w:rsidRPr="00E40629">
        <w:t>TEKSTY PRZYJĘTE</w:t>
      </w:r>
    </w:p>
    <w:p w:rsidR="00D058B8" w:rsidRPr="00E40629" w:rsidRDefault="00D058B8" w:rsidP="00D058B8">
      <w:pPr>
        <w:pStyle w:val="LineBottom"/>
      </w:pPr>
    </w:p>
    <w:p w:rsidR="008F0680" w:rsidRPr="00E40629" w:rsidRDefault="008F0680" w:rsidP="008F0680">
      <w:pPr>
        <w:pStyle w:val="ATHeading1"/>
      </w:pPr>
      <w:bookmarkStart w:id="0" w:name="TANumber"/>
      <w:r w:rsidRPr="00E40629">
        <w:t>P10_TA(2025)000</w:t>
      </w:r>
      <w:bookmarkEnd w:id="0"/>
      <w:r w:rsidR="00EB7A90">
        <w:t>5</w:t>
      </w:r>
      <w:bookmarkStart w:id="1" w:name="_GoBack"/>
      <w:bookmarkEnd w:id="1"/>
    </w:p>
    <w:p w:rsidR="008F0680" w:rsidRPr="00FF7ABD" w:rsidRDefault="00FF7ABD" w:rsidP="008F0680">
      <w:pPr>
        <w:pStyle w:val="ATHeading2"/>
      </w:pPr>
      <w:r w:rsidRPr="00FF7ABD">
        <w:rPr>
          <w:bCs/>
        </w:rPr>
        <w:t xml:space="preserve">Sprawa </w:t>
      </w:r>
      <w:proofErr w:type="spellStart"/>
      <w:r w:rsidRPr="00FF7ABD">
        <w:rPr>
          <w:bCs/>
        </w:rPr>
        <w:t>Boualema</w:t>
      </w:r>
      <w:proofErr w:type="spellEnd"/>
      <w:r w:rsidRPr="00FF7ABD">
        <w:rPr>
          <w:bCs/>
        </w:rPr>
        <w:t xml:space="preserve"> </w:t>
      </w:r>
      <w:proofErr w:type="spellStart"/>
      <w:r w:rsidRPr="00FF7ABD">
        <w:rPr>
          <w:bCs/>
        </w:rPr>
        <w:t>Sansala</w:t>
      </w:r>
      <w:proofErr w:type="spellEnd"/>
      <w:r w:rsidRPr="00FF7ABD">
        <w:rPr>
          <w:bCs/>
        </w:rPr>
        <w:t xml:space="preserve"> w Algierii</w:t>
      </w:r>
    </w:p>
    <w:p w:rsidR="008F0680" w:rsidRPr="00E40629" w:rsidRDefault="008F0680" w:rsidP="008F0680">
      <w:pPr>
        <w:rPr>
          <w:i/>
          <w:vanish/>
        </w:rPr>
      </w:pPr>
      <w:r w:rsidRPr="00E40629">
        <w:rPr>
          <w:i/>
        </w:rPr>
        <w:fldChar w:fldCharType="begin"/>
      </w:r>
      <w:r w:rsidRPr="00E40629">
        <w:rPr>
          <w:i/>
        </w:rPr>
        <w:instrText xml:space="preserve"> TC"(</w:instrText>
      </w:r>
      <w:bookmarkStart w:id="2" w:name="DocNumber"/>
      <w:r w:rsidRPr="00E40629">
        <w:rPr>
          <w:i/>
        </w:rPr>
        <w:instrText>B10-0087</w:instrText>
      </w:r>
      <w:r w:rsidR="00FF7ABD">
        <w:rPr>
          <w:i/>
        </w:rPr>
        <w:instrText>, 0089, 0091, 0092 oraz</w:instrText>
      </w:r>
      <w:proofErr w:type="gramStart"/>
      <w:r w:rsidR="00FF7ABD">
        <w:rPr>
          <w:i/>
        </w:rPr>
        <w:instrText xml:space="preserve"> 0093</w:instrText>
      </w:r>
      <w:r w:rsidRPr="00E40629">
        <w:rPr>
          <w:i/>
        </w:rPr>
        <w:instrText>/2025</w:instrText>
      </w:r>
      <w:bookmarkEnd w:id="2"/>
      <w:r w:rsidRPr="00E40629">
        <w:rPr>
          <w:i/>
        </w:rPr>
        <w:instrText>)"\l</w:instrText>
      </w:r>
      <w:proofErr w:type="gramEnd"/>
      <w:r w:rsidRPr="00E40629">
        <w:rPr>
          <w:i/>
        </w:rPr>
        <w:instrText xml:space="preserve">3 \n&gt; \* MERGEFORMAT </w:instrText>
      </w:r>
      <w:r w:rsidRPr="00E40629">
        <w:rPr>
          <w:i/>
        </w:rPr>
        <w:fldChar w:fldCharType="end"/>
      </w:r>
    </w:p>
    <w:p w:rsidR="008F0680" w:rsidRPr="00E40629" w:rsidRDefault="008F0680" w:rsidP="008F0680">
      <w:pPr>
        <w:rPr>
          <w:vanish/>
        </w:rPr>
      </w:pPr>
      <w:bookmarkStart w:id="3" w:name="PE"/>
      <w:r w:rsidRPr="00E40629">
        <w:rPr>
          <w:vanish/>
        </w:rPr>
        <w:t>PE769.109</w:t>
      </w:r>
      <w:bookmarkEnd w:id="3"/>
    </w:p>
    <w:p w:rsidR="008F0680" w:rsidRPr="00E40629" w:rsidRDefault="008F0680" w:rsidP="008F0680">
      <w:pPr>
        <w:pStyle w:val="ATHeading3"/>
      </w:pPr>
      <w:bookmarkStart w:id="4" w:name="Sujet"/>
      <w:r w:rsidRPr="00E40629">
        <w:t xml:space="preserve">Rezolucja Parlamentu Europejskiego z dnia </w:t>
      </w:r>
      <w:r w:rsidR="00FF7ABD">
        <w:t>23 stycznia 2025</w:t>
      </w:r>
      <w:r w:rsidRPr="00E40629">
        <w:t xml:space="preserve"> r. w sprawie </w:t>
      </w:r>
      <w:proofErr w:type="spellStart"/>
      <w:r w:rsidRPr="00E40629">
        <w:t>Boualema</w:t>
      </w:r>
      <w:proofErr w:type="spellEnd"/>
      <w:r w:rsidRPr="00E40629">
        <w:t xml:space="preserve"> </w:t>
      </w:r>
      <w:proofErr w:type="spellStart"/>
      <w:r w:rsidRPr="00E40629">
        <w:t>Sansala</w:t>
      </w:r>
      <w:proofErr w:type="spellEnd"/>
      <w:r w:rsidRPr="00E40629">
        <w:t xml:space="preserve"> w Algierii</w:t>
      </w:r>
      <w:bookmarkEnd w:id="4"/>
      <w:r w:rsidRPr="00E40629">
        <w:t xml:space="preserve"> </w:t>
      </w:r>
      <w:bookmarkStart w:id="5" w:name="References"/>
      <w:r w:rsidRPr="00E40629">
        <w:t>(2025/2512(RSP))</w:t>
      </w:r>
      <w:bookmarkEnd w:id="5"/>
    </w:p>
    <w:p w:rsidR="008F0680" w:rsidRPr="00E40629" w:rsidRDefault="008F0680" w:rsidP="008F0680"/>
    <w:p w:rsidR="00E24DA7" w:rsidRPr="00E40629" w:rsidRDefault="00E24DA7" w:rsidP="00E24DA7">
      <w:pPr>
        <w:pStyle w:val="EPComma"/>
      </w:pPr>
      <w:bookmarkStart w:id="6" w:name="TextBodyBegin"/>
      <w:bookmarkEnd w:id="6"/>
      <w:r w:rsidRPr="00E40629">
        <w:rPr>
          <w:i/>
        </w:rPr>
        <w:t>Parlament Europejski</w:t>
      </w:r>
      <w:r w:rsidRPr="00E40629">
        <w:t>,</w:t>
      </w:r>
    </w:p>
    <w:p w:rsidR="00E24DA7" w:rsidRPr="00E40629" w:rsidRDefault="00E24DA7" w:rsidP="00E24DA7">
      <w:pPr>
        <w:pStyle w:val="NormalHanging12a"/>
      </w:pPr>
      <w:r w:rsidRPr="00E40629">
        <w:t>–</w:t>
      </w:r>
      <w:r w:rsidRPr="00E40629">
        <w:tab/>
        <w:t>uwzględniając swoje poprzednie rezolucje w sprawie Algierii,</w:t>
      </w:r>
    </w:p>
    <w:p w:rsidR="00E24DA7" w:rsidRPr="00E40629" w:rsidRDefault="00E24DA7" w:rsidP="00E24DA7">
      <w:pPr>
        <w:pStyle w:val="NormalHanging12a"/>
      </w:pPr>
      <w:r w:rsidRPr="00E40629">
        <w:t>–</w:t>
      </w:r>
      <w:r w:rsidRPr="00E40629">
        <w:tab/>
        <w:t>uwzględniając art. 150 ust. 5 i art. 136 ust. 4 Regulaminu,</w:t>
      </w:r>
    </w:p>
    <w:p w:rsidR="00E24DA7" w:rsidRPr="00E40629" w:rsidRDefault="00E24DA7" w:rsidP="00E24DA7">
      <w:pPr>
        <w:pStyle w:val="NormalHanging12a"/>
      </w:pPr>
      <w:r w:rsidRPr="00E40629">
        <w:t>A.</w:t>
      </w:r>
      <w:r w:rsidRPr="00E40629">
        <w:tab/>
      </w:r>
      <w:proofErr w:type="gramStart"/>
      <w:r w:rsidRPr="00E40629">
        <w:t>mając</w:t>
      </w:r>
      <w:proofErr w:type="gramEnd"/>
      <w:r w:rsidRPr="00E40629">
        <w:t xml:space="preserve"> na uwadze, że 16 listopada 2024 r. władze algierskie aresztowały francusko-algierskiego pisarza </w:t>
      </w:r>
      <w:proofErr w:type="spellStart"/>
      <w:r w:rsidRPr="00E40629">
        <w:t>Boualema</w:t>
      </w:r>
      <w:proofErr w:type="spellEnd"/>
      <w:r w:rsidRPr="00E40629">
        <w:t xml:space="preserve"> </w:t>
      </w:r>
      <w:proofErr w:type="spellStart"/>
      <w:r w:rsidRPr="00E40629">
        <w:t>Sansala</w:t>
      </w:r>
      <w:proofErr w:type="spellEnd"/>
      <w:r w:rsidRPr="00E40629">
        <w:t xml:space="preserve">, który publicznie zajął zdecydowane stanowisko wobec autorytarnego reżimu, apelując o wolność słowa w Algierii; mając na uwadze, że jego miejsce pobytu pozostawało nieznane przez ponad tydzień, a w tym czasie odmawiano mu kontaktu z rodziną i adwokatem, co jest sprzeczne z prawem międzynarodowym; mając na uwadze, że </w:t>
      </w:r>
      <w:proofErr w:type="spellStart"/>
      <w:r w:rsidRPr="00E40629">
        <w:t>Boualema</w:t>
      </w:r>
      <w:proofErr w:type="spellEnd"/>
      <w:r w:rsidRPr="00E40629">
        <w:t xml:space="preserve"> </w:t>
      </w:r>
      <w:proofErr w:type="spellStart"/>
      <w:r w:rsidRPr="00E40629">
        <w:t>Sansala</w:t>
      </w:r>
      <w:proofErr w:type="spellEnd"/>
      <w:r w:rsidRPr="00E40629">
        <w:t xml:space="preserve"> przesłuchano pod nieobecność adwokata, co stanowi naruszenie prawa do rzetelnego procesu sądowego; mając na uwadze, że następnie oskarżono go o przestępstwa dotyczące bezpieczeństwa narodowego na podstawie art. 87bis algierskiego kodeksu karnego, który to przepis jest często wykorzystywany przeciwko krytykom rządu, w tym obrońcom praw człowieka; mając na uwadze, że </w:t>
      </w:r>
      <w:proofErr w:type="spellStart"/>
      <w:r w:rsidRPr="00E40629">
        <w:t>Boualem</w:t>
      </w:r>
      <w:proofErr w:type="spellEnd"/>
      <w:r w:rsidRPr="00E40629">
        <w:t xml:space="preserve"> </w:t>
      </w:r>
      <w:proofErr w:type="spellStart"/>
      <w:r w:rsidRPr="00E40629">
        <w:t>Sansal</w:t>
      </w:r>
      <w:proofErr w:type="spellEnd"/>
      <w:r w:rsidRPr="00E40629">
        <w:t xml:space="preserve"> był kilkakrotnie hospitalizowany;</w:t>
      </w:r>
    </w:p>
    <w:p w:rsidR="00E24DA7" w:rsidRPr="00E40629" w:rsidRDefault="00E24DA7" w:rsidP="00E24DA7">
      <w:pPr>
        <w:pStyle w:val="NormalHanging12a"/>
      </w:pPr>
      <w:r w:rsidRPr="00E40629">
        <w:t>B.</w:t>
      </w:r>
      <w:r w:rsidRPr="00E40629">
        <w:tab/>
        <w:t>mając na uwadze, że Algieria podpisała Powszechną deklarację praw człowieka; mając na uwadze, że Algieria zobowiązała się do poszanowania i wspierania wolności słowa w pełnej zgodności ze swoimi zobowiązaniami międzynarodowymi, z priorytetami partnerstwa UE–Algieria i ze swoją konstytucją; mając na uwadze, że w 2024 r. przyjęto nowe zmiany w kodeksie karnym, które znacznie ograniczają wolność słowa;</w:t>
      </w:r>
    </w:p>
    <w:p w:rsidR="00E24DA7" w:rsidRPr="00E40629" w:rsidRDefault="00E24DA7" w:rsidP="00E24DA7">
      <w:pPr>
        <w:pStyle w:val="NormalHanging12a"/>
      </w:pPr>
      <w:r w:rsidRPr="00E40629">
        <w:t>C.</w:t>
      </w:r>
      <w:r w:rsidRPr="00E40629">
        <w:tab/>
      </w:r>
      <w:proofErr w:type="gramStart"/>
      <w:r w:rsidRPr="00E40629">
        <w:t>mając</w:t>
      </w:r>
      <w:proofErr w:type="gramEnd"/>
      <w:r w:rsidRPr="00E40629">
        <w:t xml:space="preserve"> na uwadze, że wolność słowa w Algierii zmniejszyła się – kraj ten zajął 139. </w:t>
      </w:r>
      <w:proofErr w:type="gramStart"/>
      <w:r w:rsidRPr="00E40629">
        <w:t>miejsce</w:t>
      </w:r>
      <w:proofErr w:type="gramEnd"/>
      <w:r w:rsidRPr="00E40629">
        <w:t xml:space="preserve"> w światowym rankingu wolności prasy z 2024 r.; mając na uwadze, że dziennikarze znajdują się pod coraz większą presją i często są przetrzymywani i ścigani; mając na uwadze, że według algierskich obrońców praw człowieka w Algierii przetrzymywanych jest co najmniej 215 więźniów sumienia; mając na uwadze, że nadal nasilają się cenzura, procesy sądowe i surowe karanie niezależnych mediów, często oskarżanych o zmowę z obcymi mocarstwami przeciwko bezpieczeństwu narodowemu;</w:t>
      </w:r>
    </w:p>
    <w:p w:rsidR="00E24DA7" w:rsidRPr="00E40629" w:rsidRDefault="00E24DA7" w:rsidP="00E24DA7">
      <w:pPr>
        <w:pStyle w:val="NormalHanging12a"/>
      </w:pPr>
      <w:r w:rsidRPr="00E40629">
        <w:lastRenderedPageBreak/>
        <w:t>D.</w:t>
      </w:r>
      <w:r w:rsidRPr="00E40629">
        <w:tab/>
      </w:r>
      <w:proofErr w:type="gramStart"/>
      <w:r w:rsidRPr="00E40629">
        <w:t>mając</w:t>
      </w:r>
      <w:proofErr w:type="gramEnd"/>
      <w:r w:rsidRPr="00E40629">
        <w:t xml:space="preserve"> na uwadze, że w latach 2021–2024 UE wypłaciła Algierii 213 mln EUR w ramach wieloletniego programu indykatywnego;</w:t>
      </w:r>
    </w:p>
    <w:p w:rsidR="00E24DA7" w:rsidRPr="00E40629" w:rsidRDefault="00E24DA7" w:rsidP="00E24DA7">
      <w:pPr>
        <w:pStyle w:val="NormalHanging12a"/>
      </w:pPr>
      <w:r w:rsidRPr="00E40629">
        <w:t>1.</w:t>
      </w:r>
      <w:r w:rsidRPr="00E40629">
        <w:tab/>
      </w:r>
      <w:proofErr w:type="gramStart"/>
      <w:r w:rsidRPr="00E40629">
        <w:t>potępia</w:t>
      </w:r>
      <w:proofErr w:type="gramEnd"/>
      <w:r w:rsidRPr="00E40629">
        <w:t xml:space="preserve"> aresztowanie i przetrzymywanie </w:t>
      </w:r>
      <w:proofErr w:type="spellStart"/>
      <w:r w:rsidRPr="00E40629">
        <w:t>Boualema</w:t>
      </w:r>
      <w:proofErr w:type="spellEnd"/>
      <w:r w:rsidRPr="00E40629">
        <w:t xml:space="preserve"> </w:t>
      </w:r>
      <w:proofErr w:type="spellStart"/>
      <w:r w:rsidRPr="00E40629">
        <w:t>Sansala</w:t>
      </w:r>
      <w:proofErr w:type="spellEnd"/>
      <w:r w:rsidRPr="00E40629">
        <w:t xml:space="preserve"> i apeluje o jego natychmiastowe i bezwarunkowe uwolnienie;</w:t>
      </w:r>
    </w:p>
    <w:p w:rsidR="00E24DA7" w:rsidRPr="00E40629" w:rsidRDefault="00E24DA7" w:rsidP="00E24DA7">
      <w:pPr>
        <w:pStyle w:val="NormalHanging12a"/>
      </w:pPr>
      <w:r w:rsidRPr="00E40629">
        <w:t>2.</w:t>
      </w:r>
      <w:r w:rsidRPr="00E40629">
        <w:tab/>
      </w:r>
      <w:proofErr w:type="gramStart"/>
      <w:r w:rsidRPr="00E40629">
        <w:t>potępia</w:t>
      </w:r>
      <w:proofErr w:type="gramEnd"/>
      <w:r w:rsidRPr="00E40629">
        <w:t xml:space="preserve"> również aresztowania wszystkich innych działaczy, więźniów politycznych, dziennikarzy, obrońców praw człowieka i innych osób zatrzymanych lub skazanych za korzystanie z prawa do wolności opinii i wolności słowa, wśród których są dziennikarz </w:t>
      </w:r>
      <w:proofErr w:type="spellStart"/>
      <w:r w:rsidRPr="00E40629">
        <w:t>Abdelwakil</w:t>
      </w:r>
      <w:proofErr w:type="spellEnd"/>
      <w:r w:rsidRPr="00E40629">
        <w:t xml:space="preserve"> </w:t>
      </w:r>
      <w:proofErr w:type="spellStart"/>
      <w:r w:rsidRPr="00E40629">
        <w:t>Blamm</w:t>
      </w:r>
      <w:proofErr w:type="spellEnd"/>
      <w:r w:rsidRPr="00E40629">
        <w:t xml:space="preserve"> i pisarz </w:t>
      </w:r>
      <w:proofErr w:type="spellStart"/>
      <w:r w:rsidRPr="00E40629">
        <w:t>Tadjadit</w:t>
      </w:r>
      <w:proofErr w:type="spellEnd"/>
      <w:r w:rsidRPr="00E40629">
        <w:t xml:space="preserve"> </w:t>
      </w:r>
      <w:proofErr w:type="spellStart"/>
      <w:r w:rsidRPr="00E40629">
        <w:t>Mohamed</w:t>
      </w:r>
      <w:proofErr w:type="spellEnd"/>
      <w:r w:rsidRPr="00E40629">
        <w:t>, oraz apeluje o ich uwolnienie;</w:t>
      </w:r>
    </w:p>
    <w:p w:rsidR="00E24DA7" w:rsidRPr="00E40629" w:rsidRDefault="00E24DA7" w:rsidP="00E24DA7">
      <w:pPr>
        <w:pStyle w:val="NormalHanging12a"/>
      </w:pPr>
      <w:r w:rsidRPr="00E40629">
        <w:t>3.</w:t>
      </w:r>
      <w:r w:rsidRPr="00E40629">
        <w:tab/>
      </w:r>
      <w:proofErr w:type="gramStart"/>
      <w:r w:rsidRPr="00E40629">
        <w:t>apeluje</w:t>
      </w:r>
      <w:proofErr w:type="gramEnd"/>
      <w:r w:rsidRPr="00E40629">
        <w:t xml:space="preserve"> do instytucji unijnych i do delegatury UE, aby publicznie poinformowały władze algierskie o swoich zastrzeżeniach i zorganizowały misję medyczną w celu oceny stanu zdrowia </w:t>
      </w:r>
      <w:proofErr w:type="spellStart"/>
      <w:r w:rsidRPr="00E40629">
        <w:t>Boualema</w:t>
      </w:r>
      <w:proofErr w:type="spellEnd"/>
      <w:r w:rsidRPr="00E40629">
        <w:t xml:space="preserve"> </w:t>
      </w:r>
      <w:proofErr w:type="spellStart"/>
      <w:r w:rsidRPr="00E40629">
        <w:t>Sansala</w:t>
      </w:r>
      <w:proofErr w:type="spellEnd"/>
      <w:r w:rsidRPr="00E40629">
        <w:t>;</w:t>
      </w:r>
    </w:p>
    <w:p w:rsidR="00E24DA7" w:rsidRPr="00E40629" w:rsidRDefault="00E24DA7" w:rsidP="00E24DA7">
      <w:pPr>
        <w:pStyle w:val="NormalHanging12a"/>
      </w:pPr>
      <w:r w:rsidRPr="00E40629">
        <w:t>4.</w:t>
      </w:r>
      <w:r w:rsidRPr="00E40629">
        <w:tab/>
      </w:r>
      <w:proofErr w:type="gramStart"/>
      <w:r w:rsidRPr="00E40629">
        <w:t>wzywa</w:t>
      </w:r>
      <w:proofErr w:type="gramEnd"/>
      <w:r w:rsidRPr="00E40629">
        <w:t xml:space="preserve"> władze algierskie, aby dokonały przeglądu wszystkich represyjnych przepisów ograniczających wolności – w szczególności art. 87bis, art. 95bis i art. 196bis algierskiego kodeksu karnego – i niezależność sądownictwa w celu ochrony wolności prasy zgodnie z art. 54 konstytucji Algierii;</w:t>
      </w:r>
    </w:p>
    <w:p w:rsidR="00E24DA7" w:rsidRPr="00E40629" w:rsidRDefault="00E24DA7" w:rsidP="00E24DA7">
      <w:pPr>
        <w:pStyle w:val="NormalHanging12a"/>
      </w:pPr>
      <w:r w:rsidRPr="00E40629">
        <w:t>5.</w:t>
      </w:r>
      <w:r w:rsidRPr="00E40629">
        <w:tab/>
      </w:r>
      <w:proofErr w:type="gramStart"/>
      <w:r w:rsidRPr="00E40629">
        <w:t>przypomina</w:t>
      </w:r>
      <w:proofErr w:type="gramEnd"/>
      <w:r w:rsidRPr="00E40629">
        <w:t xml:space="preserve"> – zgodnie z priorytetami partnerstwa UE–Algieria – o znaczeniu </w:t>
      </w:r>
      <w:r w:rsidRPr="00E40629">
        <w:rPr>
          <w:snapToGrid w:val="0"/>
        </w:rPr>
        <w:t xml:space="preserve">praworządności dla </w:t>
      </w:r>
      <w:r w:rsidRPr="00E40629">
        <w:t>ugruntowania wolności słowa; zaznacza, że odnowienie tej umowy musi opierać się na ciągłych i znacznych postępach w wyżej wspomnianych dziedzinach, i podkreśla, że w przyszłości przy wypłatach środków unijnych należy uwzględniać te postępy;</w:t>
      </w:r>
    </w:p>
    <w:p w:rsidR="00E40629" w:rsidRPr="00E40629" w:rsidRDefault="00E24DA7" w:rsidP="00E40629">
      <w:pPr>
        <w:pStyle w:val="NormalHanging12a"/>
      </w:pPr>
      <w:r w:rsidRPr="00E40629">
        <w:t>6.</w:t>
      </w:r>
      <w:r w:rsidRPr="00E40629">
        <w:tab/>
      </w:r>
      <w:proofErr w:type="gramStart"/>
      <w:r w:rsidRPr="00E40629">
        <w:t>zobowiązuje</w:t>
      </w:r>
      <w:proofErr w:type="gramEnd"/>
      <w:r w:rsidRPr="00E40629">
        <w:t xml:space="preserve"> swoją przewodniczącą, aby zleciła tłumaczenie niniejszej rezolucji na język arabski i przekazała ją władzom algierskim, Komisji i wiceprzewodniczącej/wysokiej przedstawicielce.</w:t>
      </w:r>
    </w:p>
    <w:p w:rsidR="00E365E1" w:rsidRPr="00E40629" w:rsidRDefault="00E365E1" w:rsidP="008F0680"/>
    <w:sectPr w:rsidR="00E365E1" w:rsidRPr="00E40629" w:rsidSect="00E406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680" w:rsidRPr="00E40629" w:rsidRDefault="008F0680">
      <w:r w:rsidRPr="00E40629">
        <w:separator/>
      </w:r>
    </w:p>
  </w:endnote>
  <w:endnote w:type="continuationSeparator" w:id="0">
    <w:p w:rsidR="008F0680" w:rsidRPr="00E40629" w:rsidRDefault="008F0680">
      <w:r w:rsidRPr="00E406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6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6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6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680" w:rsidRPr="00E40629" w:rsidRDefault="008F0680">
      <w:r w:rsidRPr="00E40629">
        <w:separator/>
      </w:r>
    </w:p>
  </w:footnote>
  <w:footnote w:type="continuationSeparator" w:id="0">
    <w:p w:rsidR="008F0680" w:rsidRPr="00E40629" w:rsidRDefault="008F0680">
      <w:r w:rsidRPr="00E406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6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6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6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PL"/>
    <w:docVar w:name="dvnumam" w:val="0"/>
    <w:docVar w:name="dvpe" w:val="769.109"/>
    <w:docVar w:name="dvtitre" w:val="Rezolucja Parlamentu Europejskiego z dnia  2024 r. w sprawie Boualema Sansala w Algierii(2025/2512(RSP))"/>
  </w:docVars>
  <w:rsids>
    <w:rsidRoot w:val="008F06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68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DA7"/>
    <w:rsid w:val="00E365E1"/>
    <w:rsid w:val="00E40629"/>
    <w:rsid w:val="00E820A4"/>
    <w:rsid w:val="00EB006A"/>
    <w:rsid w:val="00EB4772"/>
    <w:rsid w:val="00EB7A9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D3AEB"/>
  <w15:chartTrackingRefBased/>
  <w15:docId w15:val="{6841A82F-642B-4668-A099-4D9BF12F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24DA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24DA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24DA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7FB19-27E5-4C2E-8D20-134D40DF4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2025-01-23T11:33:00Z</dcterms:created>
  <dcterms:modified xsi:type="dcterms:W3CDTF">2025-01-23T11:33:00Z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