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6F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6F8E" w:rsidRDefault="00C24A39" w:rsidP="0010095E">
            <w:pPr>
              <w:pStyle w:val="EPName"/>
            </w:pPr>
            <w:r w:rsidRPr="00156F8E">
              <w:t>Parlamento Europeu</w:t>
            </w:r>
          </w:p>
          <w:p w:rsidR="00751A4A" w:rsidRPr="00156F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6F8E">
              <w:t>2024</w:t>
            </w:r>
            <w:r w:rsidR="00817416" w:rsidRPr="00156F8E">
              <w:t>-202</w:t>
            </w:r>
            <w:r w:rsidRPr="00156F8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6F8E" w:rsidRDefault="00187494" w:rsidP="0010095E">
            <w:pPr>
              <w:pStyle w:val="EPLogo"/>
            </w:pPr>
            <w:r w:rsidRPr="00156F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6F8E" w:rsidRDefault="00D058B8" w:rsidP="004C5D52">
      <w:pPr>
        <w:pStyle w:val="LineTop"/>
      </w:pPr>
    </w:p>
    <w:p w:rsidR="00680577" w:rsidRPr="00156F8E" w:rsidRDefault="00C24A39" w:rsidP="00680577">
      <w:pPr>
        <w:pStyle w:val="EPBodyTA1"/>
      </w:pPr>
      <w:r w:rsidRPr="00156F8E">
        <w:t>TEXTOS APROVADOS</w:t>
      </w:r>
    </w:p>
    <w:p w:rsidR="00D058B8" w:rsidRPr="00156F8E" w:rsidRDefault="00D058B8" w:rsidP="00D058B8">
      <w:pPr>
        <w:pStyle w:val="LineBottom"/>
      </w:pPr>
    </w:p>
    <w:p w:rsidR="00C24A39" w:rsidRPr="00156F8E" w:rsidRDefault="00C24A39" w:rsidP="00C24A39">
      <w:pPr>
        <w:pStyle w:val="ATHeading1"/>
      </w:pPr>
      <w:bookmarkStart w:id="0" w:name="TANumber"/>
      <w:r w:rsidRPr="00156F8E">
        <w:t>P10_</w:t>
      </w:r>
      <w:proofErr w:type="gramStart"/>
      <w:r w:rsidRPr="00156F8E">
        <w:t>TA(</w:t>
      </w:r>
      <w:proofErr w:type="gramEnd"/>
      <w:r w:rsidRPr="00156F8E">
        <w:t>2025)000</w:t>
      </w:r>
      <w:bookmarkEnd w:id="0"/>
      <w:r w:rsidR="002B6B1C">
        <w:t>5</w:t>
      </w:r>
      <w:bookmarkStart w:id="1" w:name="_GoBack"/>
      <w:bookmarkEnd w:id="1"/>
    </w:p>
    <w:p w:rsidR="00C24A39" w:rsidRPr="00156F8E" w:rsidRDefault="00C24A39" w:rsidP="00C24A39">
      <w:pPr>
        <w:pStyle w:val="ATHeading2"/>
      </w:pPr>
      <w:bookmarkStart w:id="2" w:name="title"/>
      <w:r w:rsidRPr="00156F8E">
        <w:t xml:space="preserve">O caso de </w:t>
      </w:r>
      <w:proofErr w:type="spellStart"/>
      <w:r w:rsidRPr="00156F8E">
        <w:t>Boualem</w:t>
      </w:r>
      <w:proofErr w:type="spellEnd"/>
      <w:r w:rsidRPr="00156F8E">
        <w:t xml:space="preserve"> </w:t>
      </w:r>
      <w:proofErr w:type="spellStart"/>
      <w:r w:rsidRPr="00156F8E">
        <w:t>Sansal</w:t>
      </w:r>
      <w:proofErr w:type="spellEnd"/>
      <w:r w:rsidRPr="00156F8E">
        <w:t xml:space="preserve"> na Argélia</w:t>
      </w:r>
      <w:bookmarkEnd w:id="2"/>
    </w:p>
    <w:p w:rsidR="00C24A39" w:rsidRPr="00156F8E" w:rsidRDefault="00C24A39" w:rsidP="00C24A39">
      <w:pPr>
        <w:rPr>
          <w:i/>
          <w:vanish/>
        </w:rPr>
      </w:pPr>
      <w:r w:rsidRPr="00156F8E">
        <w:rPr>
          <w:i/>
        </w:rPr>
        <w:fldChar w:fldCharType="begin"/>
      </w:r>
      <w:r w:rsidRPr="00156F8E">
        <w:rPr>
          <w:i/>
        </w:rPr>
        <w:instrText xml:space="preserve"> TC"(</w:instrText>
      </w:r>
      <w:bookmarkStart w:id="3" w:name="DocNumber"/>
      <w:r w:rsidRPr="00156F8E">
        <w:rPr>
          <w:i/>
        </w:rPr>
        <w:instrText>B10-0087, 0089, 0091, 0092 e 0093/2025</w:instrText>
      </w:r>
      <w:bookmarkEnd w:id="3"/>
      <w:r w:rsidRPr="00156F8E">
        <w:rPr>
          <w:i/>
        </w:rPr>
        <w:instrText xml:space="preserve">)"\l3 \n&gt; \* MERGEFORMAT </w:instrText>
      </w:r>
      <w:r w:rsidRPr="00156F8E">
        <w:rPr>
          <w:i/>
        </w:rPr>
        <w:fldChar w:fldCharType="end"/>
      </w:r>
    </w:p>
    <w:p w:rsidR="00C24A39" w:rsidRPr="00156F8E" w:rsidRDefault="00C24A39" w:rsidP="00C24A39">
      <w:pPr>
        <w:rPr>
          <w:vanish/>
        </w:rPr>
      </w:pPr>
      <w:bookmarkStart w:id="4" w:name="PE"/>
      <w:r w:rsidRPr="00156F8E">
        <w:rPr>
          <w:vanish/>
        </w:rPr>
        <w:t>PE769.109</w:t>
      </w:r>
      <w:bookmarkEnd w:id="4"/>
    </w:p>
    <w:p w:rsidR="00C24A39" w:rsidRPr="00156F8E" w:rsidRDefault="00C24A39" w:rsidP="00C24A39">
      <w:pPr>
        <w:pStyle w:val="ATHeading3"/>
      </w:pPr>
      <w:bookmarkStart w:id="5" w:name="Sujet"/>
      <w:r w:rsidRPr="00156F8E">
        <w:t xml:space="preserve">Resolução do Parlamento Europeu, de </w:t>
      </w:r>
      <w:r w:rsidR="00156F8E">
        <w:t>23</w:t>
      </w:r>
      <w:r w:rsidRPr="00156F8E">
        <w:t xml:space="preserve"> de </w:t>
      </w:r>
      <w:r w:rsidR="00156F8E">
        <w:t>janeiro</w:t>
      </w:r>
      <w:r w:rsidRPr="00156F8E">
        <w:t xml:space="preserve"> de 2025, sobre o caso de </w:t>
      </w:r>
      <w:proofErr w:type="spellStart"/>
      <w:r w:rsidRPr="00156F8E">
        <w:t>Boualem</w:t>
      </w:r>
      <w:proofErr w:type="spellEnd"/>
      <w:r w:rsidRPr="00156F8E">
        <w:t xml:space="preserve"> </w:t>
      </w:r>
      <w:proofErr w:type="spellStart"/>
      <w:r w:rsidRPr="00156F8E">
        <w:t>Sansal</w:t>
      </w:r>
      <w:proofErr w:type="spellEnd"/>
      <w:r w:rsidRPr="00156F8E">
        <w:t xml:space="preserve"> na Argélia</w:t>
      </w:r>
      <w:bookmarkEnd w:id="5"/>
      <w:r w:rsidRPr="00156F8E">
        <w:t xml:space="preserve"> </w:t>
      </w:r>
      <w:bookmarkStart w:id="6" w:name="References"/>
      <w:r w:rsidRPr="00156F8E">
        <w:t>(2025/2512(RSP))</w:t>
      </w:r>
      <w:bookmarkEnd w:id="6"/>
    </w:p>
    <w:p w:rsidR="00AD5F1C" w:rsidRPr="00156F8E" w:rsidRDefault="00AD5F1C" w:rsidP="00AD5F1C">
      <w:pPr>
        <w:pStyle w:val="EPComma"/>
      </w:pPr>
      <w:bookmarkStart w:id="7" w:name="TextBodyBegin"/>
      <w:bookmarkEnd w:id="7"/>
      <w:r w:rsidRPr="00156F8E">
        <w:rPr>
          <w:i/>
        </w:rPr>
        <w:t>O Parlamento Europeu</w:t>
      </w:r>
      <w:r w:rsidRPr="00156F8E">
        <w:t>,</w:t>
      </w:r>
    </w:p>
    <w:p w:rsidR="00AD5F1C" w:rsidRPr="00156F8E" w:rsidRDefault="00AD5F1C" w:rsidP="00AD5F1C">
      <w:pPr>
        <w:pStyle w:val="NormalHanging12a"/>
      </w:pPr>
      <w:r w:rsidRPr="00156F8E">
        <w:t>–</w:t>
      </w:r>
      <w:r w:rsidRPr="00156F8E">
        <w:tab/>
        <w:t>Tendo em conta as suas anteriores resoluções sobre a Argélia,</w:t>
      </w:r>
    </w:p>
    <w:p w:rsidR="00AD5F1C" w:rsidRPr="00156F8E" w:rsidRDefault="00AD5F1C" w:rsidP="00AD5F1C">
      <w:pPr>
        <w:pStyle w:val="NormalHanging12a"/>
      </w:pPr>
      <w:r w:rsidRPr="00156F8E">
        <w:t>–</w:t>
      </w:r>
      <w:r w:rsidRPr="00156F8E">
        <w:tab/>
        <w:t>Tendo em conta o artigo 150.º, n.º 5, e o artigo 136.º, n.º 4, do seu Regimento,</w:t>
      </w:r>
    </w:p>
    <w:p w:rsidR="00AD5F1C" w:rsidRPr="00156F8E" w:rsidRDefault="00AD5F1C" w:rsidP="00AD5F1C">
      <w:pPr>
        <w:pStyle w:val="NormalHanging12a"/>
      </w:pPr>
      <w:r w:rsidRPr="00156F8E">
        <w:t>A.</w:t>
      </w:r>
      <w:r w:rsidRPr="00156F8E">
        <w:tab/>
        <w:t xml:space="preserve">Considerando que, em 16 de novembro de 2024, as autoridades argelinas detiveram </w:t>
      </w:r>
      <w:proofErr w:type="spellStart"/>
      <w:r w:rsidRPr="00156F8E">
        <w:t>Boualem</w:t>
      </w:r>
      <w:proofErr w:type="spellEnd"/>
      <w:r w:rsidRPr="00156F8E">
        <w:t xml:space="preserve"> </w:t>
      </w:r>
      <w:proofErr w:type="spellStart"/>
      <w:r w:rsidRPr="00156F8E">
        <w:t>Sansal</w:t>
      </w:r>
      <w:proofErr w:type="spellEnd"/>
      <w:r w:rsidRPr="00156F8E">
        <w:t>, escritor franco</w:t>
      </w:r>
      <w:r w:rsidRPr="00156F8E">
        <w:noBreakHyphen/>
        <w:t>argelino, que tinha adotado publicamente uma posição firme contra o regime autoritário, apelando à liberdade de expressão na Argélia</w:t>
      </w:r>
      <w:r w:rsidR="002B4DD8">
        <w:t>; considerando que</w:t>
      </w:r>
      <w:r w:rsidRPr="00156F8E">
        <w:t xml:space="preserve"> o seu paradeiro permaneceu desconhecido durante mais de uma semana, período durante o qual lhe foi recusado acesso à família e a aconselhamento jurídico, em oposição ao direito internacional</w:t>
      </w:r>
      <w:r w:rsidR="002B4DD8">
        <w:t>; considerando que</w:t>
      </w:r>
      <w:r w:rsidRPr="00156F8E">
        <w:t xml:space="preserve"> </w:t>
      </w:r>
      <w:proofErr w:type="spellStart"/>
      <w:r w:rsidRPr="00156F8E">
        <w:t>Sansal</w:t>
      </w:r>
      <w:proofErr w:type="spellEnd"/>
      <w:r w:rsidRPr="00156F8E">
        <w:t xml:space="preserve"> foi interrogado sem a presença do seu advogado, violando o seu direito a um julgamento justo</w:t>
      </w:r>
      <w:r w:rsidR="002B4DD8">
        <w:t>; considerando que</w:t>
      </w:r>
      <w:r w:rsidRPr="00156F8E">
        <w:t xml:space="preserve"> foi posteriormente acusado de crimes relacionados com a segurança nacional ao abrigo do artigo 87.º</w:t>
      </w:r>
      <w:r w:rsidRPr="00156F8E">
        <w:noBreakHyphen/>
        <w:t>A do Código Penal argelino, uma disposição frequentemente utilizada contra críticos do governo, incluindo defensores dos direitos humanos</w:t>
      </w:r>
      <w:r w:rsidR="002B4DD8">
        <w:t>; considerando que</w:t>
      </w:r>
      <w:r w:rsidRPr="00156F8E">
        <w:t xml:space="preserve"> </w:t>
      </w:r>
      <w:proofErr w:type="spellStart"/>
      <w:r w:rsidRPr="00156F8E">
        <w:t>Sansal</w:t>
      </w:r>
      <w:proofErr w:type="spellEnd"/>
      <w:r w:rsidRPr="00156F8E">
        <w:t xml:space="preserve"> foi hospitalizado várias vezes;</w:t>
      </w:r>
    </w:p>
    <w:p w:rsidR="00AD5F1C" w:rsidRPr="00156F8E" w:rsidRDefault="00AD5F1C" w:rsidP="00AD5F1C">
      <w:pPr>
        <w:pStyle w:val="NormalHanging12a"/>
      </w:pPr>
      <w:proofErr w:type="gramStart"/>
      <w:r w:rsidRPr="00156F8E">
        <w:t>B.</w:t>
      </w:r>
      <w:r w:rsidRPr="00156F8E">
        <w:tab/>
        <w:t>Considerando</w:t>
      </w:r>
      <w:proofErr w:type="gramEnd"/>
      <w:r w:rsidRPr="00156F8E">
        <w:t xml:space="preserve"> que a Argélia é signatária da Declaração Universal dos Direitos Humanos</w:t>
      </w:r>
      <w:r w:rsidR="002B4DD8">
        <w:t>; considerando que</w:t>
      </w:r>
      <w:r w:rsidRPr="00156F8E">
        <w:t xml:space="preserve"> a Argélia se comprometeu a respeitar e a promover a liberdade de expressão, no pleno respeito das suas obrigações internacionais, das prioridades da parceria UE</w:t>
      </w:r>
      <w:r w:rsidRPr="00156F8E">
        <w:noBreakHyphen/>
        <w:t>Argélia e da sua Constituição</w:t>
      </w:r>
      <w:r w:rsidR="002B4DD8">
        <w:t>; considerando que</w:t>
      </w:r>
      <w:r w:rsidRPr="00156F8E">
        <w:t>, em 2024, foram adotadas novas alterações ao Código Penal, impondo restrições significativas à liberdade de expressão;</w:t>
      </w:r>
    </w:p>
    <w:p w:rsidR="00AD5F1C" w:rsidRPr="00156F8E" w:rsidRDefault="00AD5F1C" w:rsidP="00AD5F1C">
      <w:pPr>
        <w:pStyle w:val="NormalHanging12a"/>
      </w:pPr>
      <w:r w:rsidRPr="00156F8E">
        <w:t>C.</w:t>
      </w:r>
      <w:r w:rsidRPr="00156F8E">
        <w:tab/>
        <w:t>Considerando que a liberdade de expressão na Argélia se deteriorou, tendo o país caído para o 139.º lugar no Índice Mundial da Liberdade de Imprensa de 2024</w:t>
      </w:r>
      <w:r w:rsidR="002B4DD8">
        <w:t>; considerando que</w:t>
      </w:r>
      <w:r w:rsidRPr="00156F8E">
        <w:t xml:space="preserve"> os jornalistas estão sujeitos a uma pressão cada vez maior e são frequentemente detidos e julgados</w:t>
      </w:r>
      <w:r w:rsidR="002B4DD8">
        <w:t>; considerando que</w:t>
      </w:r>
      <w:r w:rsidRPr="00156F8E">
        <w:t>, de acordo com defensores dos direitos humanos argelinos, pelo menos 215 pessoas estão detidas na Argélia como prisioneiros de opinião</w:t>
      </w:r>
      <w:r w:rsidR="002B4DD8">
        <w:t>; considerando que</w:t>
      </w:r>
      <w:r w:rsidRPr="00156F8E">
        <w:t xml:space="preserve"> a censura, os julgamentos e a punição severa de meios de comunicação social independentes, frequentemente acusados de conluio com potências </w:t>
      </w:r>
      <w:r w:rsidRPr="00156F8E">
        <w:lastRenderedPageBreak/>
        <w:t>estrangeiras contra a segurança nacional, continuam a aumentar;</w:t>
      </w:r>
    </w:p>
    <w:p w:rsidR="00AD5F1C" w:rsidRPr="00156F8E" w:rsidRDefault="00AD5F1C" w:rsidP="00AD5F1C">
      <w:pPr>
        <w:pStyle w:val="NormalHanging12a"/>
      </w:pPr>
      <w:r w:rsidRPr="00156F8E">
        <w:t>D.</w:t>
      </w:r>
      <w:r w:rsidRPr="00156F8E">
        <w:tab/>
        <w:t xml:space="preserve">Considerando que, entre 2021 e 2024, a UE entregou 213 milhões de </w:t>
      </w:r>
      <w:r w:rsidR="00D77524">
        <w:t>EUR</w:t>
      </w:r>
      <w:r w:rsidR="00D77524" w:rsidRPr="00156F8E">
        <w:t xml:space="preserve"> </w:t>
      </w:r>
      <w:r w:rsidRPr="00156F8E">
        <w:t>à Argélia ao abrigo do programa indicativo plurianual;</w:t>
      </w:r>
    </w:p>
    <w:p w:rsidR="00AD5F1C" w:rsidRPr="00156F8E" w:rsidRDefault="00AD5F1C" w:rsidP="00AD5F1C">
      <w:pPr>
        <w:pStyle w:val="NormalHanging12a"/>
      </w:pPr>
      <w:proofErr w:type="gramStart"/>
      <w:r w:rsidRPr="00156F8E">
        <w:t>1.</w:t>
      </w:r>
      <w:r w:rsidRPr="00156F8E">
        <w:tab/>
        <w:t>Condena</w:t>
      </w:r>
      <w:proofErr w:type="gramEnd"/>
      <w:r w:rsidRPr="00156F8E">
        <w:t xml:space="preserve"> a detenção de </w:t>
      </w:r>
      <w:proofErr w:type="spellStart"/>
      <w:r w:rsidRPr="00156F8E">
        <w:t>Boualem</w:t>
      </w:r>
      <w:proofErr w:type="spellEnd"/>
      <w:r w:rsidRPr="00156F8E">
        <w:t xml:space="preserve"> </w:t>
      </w:r>
      <w:proofErr w:type="spellStart"/>
      <w:r w:rsidRPr="00156F8E">
        <w:t>Sansal</w:t>
      </w:r>
      <w:proofErr w:type="spellEnd"/>
      <w:r w:rsidRPr="00156F8E">
        <w:t xml:space="preserve"> e solicita a sua libertação imediata e incondicional;</w:t>
      </w:r>
    </w:p>
    <w:p w:rsidR="00AD5F1C" w:rsidRPr="00156F8E" w:rsidRDefault="00AD5F1C" w:rsidP="00AD5F1C">
      <w:pPr>
        <w:pStyle w:val="NormalHanging12a"/>
      </w:pPr>
      <w:proofErr w:type="gramStart"/>
      <w:r w:rsidRPr="00156F8E">
        <w:t>2.</w:t>
      </w:r>
      <w:r w:rsidRPr="00156F8E">
        <w:tab/>
        <w:t>Condena</w:t>
      </w:r>
      <w:proofErr w:type="gramEnd"/>
      <w:r w:rsidRPr="00156F8E">
        <w:t xml:space="preserve"> igualmente as detenções de todos os outros ativistas, presos políticos, jornalistas, defensores dos direitos humanos e outras pessoas detidas ou condenadas por exercerem o seu direito à liberdade de opinião e de expressão, incluindo o jornalista </w:t>
      </w:r>
      <w:proofErr w:type="spellStart"/>
      <w:r w:rsidRPr="00156F8E">
        <w:t>Abdelwakil</w:t>
      </w:r>
      <w:proofErr w:type="spellEnd"/>
      <w:r w:rsidRPr="00156F8E">
        <w:t xml:space="preserve"> </w:t>
      </w:r>
      <w:proofErr w:type="spellStart"/>
      <w:r w:rsidRPr="00156F8E">
        <w:t>Blamm</w:t>
      </w:r>
      <w:proofErr w:type="spellEnd"/>
      <w:r w:rsidRPr="00156F8E">
        <w:t xml:space="preserve"> e o escritor </w:t>
      </w:r>
      <w:proofErr w:type="spellStart"/>
      <w:r w:rsidRPr="00156F8E">
        <w:t>Tadjadit</w:t>
      </w:r>
      <w:proofErr w:type="spellEnd"/>
      <w:r w:rsidRPr="00156F8E">
        <w:t xml:space="preserve"> Mohamed, e solicita a sua libertação;</w:t>
      </w:r>
    </w:p>
    <w:p w:rsidR="00AD5F1C" w:rsidRPr="00156F8E" w:rsidRDefault="00AD5F1C" w:rsidP="00AD5F1C">
      <w:pPr>
        <w:pStyle w:val="NormalHanging12a"/>
      </w:pPr>
      <w:proofErr w:type="gramStart"/>
      <w:r w:rsidRPr="00156F8E">
        <w:t>3.</w:t>
      </w:r>
      <w:r w:rsidRPr="00156F8E">
        <w:tab/>
        <w:t>Insta</w:t>
      </w:r>
      <w:proofErr w:type="gramEnd"/>
      <w:r w:rsidRPr="00156F8E">
        <w:t xml:space="preserve"> as instituições da UE e a Delegação da UE a partilharem publicamente as suas preocupações relativamente às autoridades argelinas e a organizarem uma missão médica para avaliar a saúde de </w:t>
      </w:r>
      <w:proofErr w:type="spellStart"/>
      <w:r w:rsidRPr="00156F8E">
        <w:t>Sansal</w:t>
      </w:r>
      <w:proofErr w:type="spellEnd"/>
      <w:r w:rsidRPr="00156F8E">
        <w:t>;</w:t>
      </w:r>
    </w:p>
    <w:p w:rsidR="00AD5F1C" w:rsidRPr="00156F8E" w:rsidRDefault="00AD5F1C" w:rsidP="00AD5F1C">
      <w:pPr>
        <w:pStyle w:val="NormalHanging12a"/>
      </w:pPr>
      <w:proofErr w:type="gramStart"/>
      <w:r w:rsidRPr="00156F8E">
        <w:t>4.</w:t>
      </w:r>
      <w:r w:rsidRPr="00156F8E">
        <w:tab/>
        <w:t>Exorta</w:t>
      </w:r>
      <w:proofErr w:type="gramEnd"/>
      <w:r w:rsidRPr="00156F8E">
        <w:t xml:space="preserve"> as autoridades argelinas a reverem todas as leis repressivas que restringem liberdades, em especial os artigos 87.º</w:t>
      </w:r>
      <w:r w:rsidRPr="00156F8E">
        <w:noBreakHyphen/>
        <w:t>A, 95.º</w:t>
      </w:r>
      <w:r w:rsidRPr="00156F8E">
        <w:noBreakHyphen/>
        <w:t>A e 196.º</w:t>
      </w:r>
      <w:r w:rsidRPr="00156F8E">
        <w:noBreakHyphen/>
        <w:t>A do Código Penal argelino, e a independência do poder judicial, a fim de proteger a liberdade de imprensa consagrada no artigo 54.º da Constituição da Argélia;</w:t>
      </w:r>
    </w:p>
    <w:p w:rsidR="00AD5F1C" w:rsidRPr="00156F8E" w:rsidRDefault="00AD5F1C" w:rsidP="00AD5F1C">
      <w:pPr>
        <w:pStyle w:val="NormalHanging12a"/>
      </w:pPr>
      <w:proofErr w:type="gramStart"/>
      <w:r w:rsidRPr="00156F8E">
        <w:t>5.</w:t>
      </w:r>
      <w:r w:rsidRPr="00156F8E">
        <w:tab/>
        <w:t>Reitera</w:t>
      </w:r>
      <w:proofErr w:type="gramEnd"/>
      <w:r w:rsidRPr="00156F8E">
        <w:t>, tal como consagrado nas Prioridades da Parceria UE</w:t>
      </w:r>
      <w:r w:rsidRPr="00156F8E">
        <w:noBreakHyphen/>
        <w:t xml:space="preserve">Argélia, a importância </w:t>
      </w:r>
      <w:r w:rsidRPr="00156F8E">
        <w:rPr>
          <w:snapToGrid w:val="0"/>
        </w:rPr>
        <w:t xml:space="preserve">do Estado de direito </w:t>
      </w:r>
      <w:r w:rsidRPr="00156F8E">
        <w:t>para consolidar a liberdade de expressão; salienta que a renovação desse acordo se deve basear em progressos contínuos e substanciais nos domínios supracitados e sublinha que todas as entregas futuras de fundos da UE devem ter em conta os progressos realizados a esse respeito;</w:t>
      </w:r>
    </w:p>
    <w:p w:rsidR="00E365E1" w:rsidRPr="00156F8E" w:rsidRDefault="00AD5F1C" w:rsidP="00156F8E">
      <w:pPr>
        <w:pStyle w:val="NormalHanging12a"/>
      </w:pPr>
      <w:proofErr w:type="gramStart"/>
      <w:r w:rsidRPr="00156F8E">
        <w:t>6.</w:t>
      </w:r>
      <w:r w:rsidRPr="00156F8E">
        <w:tab/>
        <w:t>Encarrega</w:t>
      </w:r>
      <w:proofErr w:type="gramEnd"/>
      <w:r w:rsidRPr="00156F8E">
        <w:t xml:space="preserve"> a sua Presidente de assegurar a tradução da presente resolução para árabe e de a transmitir às autoridades argelinas, à Comissão e à VP/AR.</w:t>
      </w:r>
    </w:p>
    <w:sectPr w:rsidR="00E365E1" w:rsidRPr="00156F8E" w:rsidSect="009055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A39" w:rsidRPr="009055A7" w:rsidRDefault="00C24A39">
      <w:r w:rsidRPr="009055A7">
        <w:separator/>
      </w:r>
    </w:p>
  </w:endnote>
  <w:endnote w:type="continuationSeparator" w:id="0">
    <w:p w:rsidR="00C24A39" w:rsidRPr="009055A7" w:rsidRDefault="00C24A39">
      <w:r w:rsidRPr="009055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A39" w:rsidRPr="009055A7" w:rsidRDefault="00C24A39">
      <w:r w:rsidRPr="009055A7">
        <w:separator/>
      </w:r>
    </w:p>
  </w:footnote>
  <w:footnote w:type="continuationSeparator" w:id="0">
    <w:p w:rsidR="00C24A39" w:rsidRPr="009055A7" w:rsidRDefault="00C24A39">
      <w:r w:rsidRPr="009055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, 0089, 0091, 0092 e 0093/2025"/>
    <w:docVar w:name="dvlangue" w:val="PT"/>
    <w:docVar w:name="dvnumam" w:val="0"/>
    <w:docVar w:name="dvpe" w:val="769.109"/>
    <w:docVar w:name="dvtitre" w:val="Resolução do Parlamento Europeu, de ... de ... de 2025, sobre o caso de Boualem Sansal na Argélia(2025/2512(RSP))"/>
  </w:docVars>
  <w:rsids>
    <w:rsidRoot w:val="00C24A39"/>
    <w:rsid w:val="00002272"/>
    <w:rsid w:val="00064002"/>
    <w:rsid w:val="000677B9"/>
    <w:rsid w:val="000831BA"/>
    <w:rsid w:val="000A42CC"/>
    <w:rsid w:val="000E7DD9"/>
    <w:rsid w:val="0010095E"/>
    <w:rsid w:val="00125B37"/>
    <w:rsid w:val="00156F8E"/>
    <w:rsid w:val="00187494"/>
    <w:rsid w:val="001F32AE"/>
    <w:rsid w:val="002767FF"/>
    <w:rsid w:val="002B18FE"/>
    <w:rsid w:val="002B4DD8"/>
    <w:rsid w:val="002B5493"/>
    <w:rsid w:val="002B6B1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5A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F1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A39"/>
    <w:rsid w:val="00C61C0C"/>
    <w:rsid w:val="00C941CB"/>
    <w:rsid w:val="00CC2357"/>
    <w:rsid w:val="00CF071A"/>
    <w:rsid w:val="00D058B8"/>
    <w:rsid w:val="00D56C11"/>
    <w:rsid w:val="00D7752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FA61F"/>
  <w15:chartTrackingRefBased/>
  <w15:docId w15:val="{74E3D9EE-D70C-4802-BF75-AB55177E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D5F1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D5F1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D5F1C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89293-2DE2-4F3E-A313-05C0CD6F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2025-01-23T11:30:00Z</dcterms:created>
  <dcterms:modified xsi:type="dcterms:W3CDTF">2025-01-23T11:30:00Z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B10-0087, 0089, 0091, 0092 e 0093/2025</vt:lpwstr>
  </property>
  <property fmtid="{D5CDD505-2E9C-101B-9397-08002B2CF9AE}" pid="4" name="&lt;Type&gt;">
    <vt:lpwstr>RR</vt:lpwstr>
  </property>
</Properties>
</file>