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P10_TA(2025)0006</w:t>
      </w:r>
      <w:bookmarkEnd w:id="1"/>
    </w:p>
    <w:p>
      <w:pPr>
        <w:pStyle w:val="ATHeading2"/>
      </w:pPr>
      <w:bookmarkStart w:id="2" w:name="title"/>
      <w:r>
        <w:t>Dezinformácie a falšovanie histórie zo strany Ruska na ospravedlnenie jeho útočnej vojny proti Ukrajine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B10-0074, 0075, 0076, 0077 a 0079/2025</w:instrText>
      </w:r>
      <w:bookmarkEnd w:id="3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PE"/>
      <w:r>
        <w:rPr>
          <w:vanish/>
        </w:rPr>
        <w:t>PE769.096</w:t>
      </w:r>
      <w:bookmarkEnd w:id="4"/>
    </w:p>
    <w:p>
      <w:pPr>
        <w:pStyle w:val="ATHeading3"/>
      </w:pPr>
      <w:bookmarkStart w:id="5" w:name="Sujet"/>
      <w:r>
        <w:t>Uznesenie Európskeho parlamentu z 23. januára 2025 o dezinformáciách a falšovaní histórie zo strany Ruska na ospravedlnenie jeho útočnej vojny proti Ukrajine</w:t>
      </w:r>
      <w:bookmarkEnd w:id="5"/>
      <w:r>
        <w:t xml:space="preserve"> </w:t>
      </w:r>
      <w:bookmarkStart w:id="6" w:name="References"/>
      <w:r>
        <w:t>(2024/2988(RSP))</w:t>
      </w:r>
      <w:bookmarkEnd w:id="6"/>
    </w:p>
    <w:p>
      <w:pPr>
        <w:pStyle w:val="EPComma"/>
      </w:pPr>
      <w:bookmarkStart w:id="7" w:name="TextBodyBegin"/>
      <w:bookmarkEnd w:id="7"/>
      <w:r>
        <w:rPr>
          <w:i/>
          <w:iCs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svoje predchádzajúce uznesenia o ruskej útočnej vojne proti Ukrajine,</w:t>
      </w:r>
    </w:p>
    <w:p>
      <w:pPr>
        <w:pStyle w:val="NormalHanging12a"/>
      </w:pPr>
      <w:r>
        <w:t>–</w:t>
      </w:r>
      <w:r>
        <w:tab/>
        <w:t>so zreteľom na svoje predchádzajúce uznesenia o historickej pamäti,</w:t>
      </w:r>
    </w:p>
    <w:p>
      <w:pPr>
        <w:pStyle w:val="NormalHanging12a"/>
      </w:pPr>
      <w:r>
        <w:t>–</w:t>
      </w:r>
      <w:r>
        <w:tab/>
        <w:t>so zreteľom na Chartu Organizácie Spojených národov,</w:t>
      </w:r>
    </w:p>
    <w:p>
      <w:pPr>
        <w:pStyle w:val="NormalHanging12a"/>
      </w:pPr>
      <w:r>
        <w:t>–</w:t>
      </w:r>
      <w:r>
        <w:tab/>
        <w:t>so zreteľom na Rímsky štatút Medzinárodného trestného súdu,</w:t>
      </w:r>
    </w:p>
    <w:p>
      <w:pPr>
        <w:pStyle w:val="NormalHanging12a"/>
      </w:pPr>
      <w:r>
        <w:t>–</w:t>
      </w:r>
      <w:r>
        <w:tab/>
        <w:t>so zreteľom na Ženevské dohovory,</w:t>
      </w:r>
    </w:p>
    <w:p>
      <w:pPr>
        <w:pStyle w:val="NormalHanging12a"/>
      </w:pPr>
      <w:r>
        <w:t>–</w:t>
      </w:r>
      <w:r>
        <w:tab/>
        <w:t>so zreteľom na článok 136 ods. 2 a 4 rokovacieho poriadku,</w:t>
      </w:r>
    </w:p>
    <w:p>
      <w:pPr>
        <w:pStyle w:val="NormalHanging12a"/>
      </w:pPr>
      <w:r>
        <w:t>A.</w:t>
      </w:r>
      <w:r>
        <w:tab/>
        <w:t>keďže ruský režim vyhlásil 24. februára 2022 začiatok „špeciálnej vojenskej operácie“ na Ukrajine na základe nepravdivých tvrdení, že musí chrániť civilné obyvateľstvo;</w:t>
      </w:r>
    </w:p>
    <w:p>
      <w:pPr>
        <w:pStyle w:val="NormalHanging12a"/>
      </w:pPr>
      <w:r>
        <w:t>B.</w:t>
      </w:r>
      <w:r>
        <w:tab/>
        <w:t>keďže Ruská federácia od 24. februára 2022 v skutočnosti vedie nevyprovokovanú, neodôvodnenú a protiprávnu útočnú vojnu proti Ukrajine, čím pokračuje v agresii začatej v roku 2014, a svojimi agresívnymi krokmi proti zvrchovanosti, nezávislosti a územnej celistvosti Ukrajiny ďalej neustále porušuje zásady Charty OSN a neskrývane a hrubo porušuje medzinárodné humanitárne právo, ktoré sa stanovuje v Ženevských dohovoroch z roku 1949, najmä masívnym využívaním cielených útokov na civilné obyvateľstvo, obývané oblasti a civilnú infraštruktúru;</w:t>
      </w:r>
    </w:p>
    <w:p>
      <w:pPr>
        <w:pStyle w:val="NormalHanging12a"/>
        <w:rPr>
          <w:szCs w:val="24"/>
        </w:rPr>
      </w:pPr>
      <w:r>
        <w:t>C.</w:t>
      </w:r>
      <w:r>
        <w:tab/>
        <w:t>keďže Valné zhromaždenie OSN vo svojej rezolúcii z 2. marca 2022 okamžite kvalifikovalo vojnu Ruska proti Ukrajine ako akt agresie, ktorý je v rozpore s článkom 2 ods. 4 Charty OSN, a vo svojej rezolúcii zo 14. novembra 2022 uznalo, že voči Ruskej federácii treba vyvodiť zodpovednosť za jej útočnú vojnu, ako aj právnu a finančnú zodpovednosť za jej medzinárodne protiprávne konanie a že by mala za spôsobenú ujmu a škody vyplácať reparácie;</w:t>
      </w:r>
    </w:p>
    <w:p>
      <w:pPr>
        <w:pStyle w:val="NormalHanging12a"/>
        <w:rPr>
          <w:szCs w:val="24"/>
        </w:rPr>
      </w:pPr>
      <w:r>
        <w:lastRenderedPageBreak/>
        <w:t>D.</w:t>
      </w:r>
      <w:r>
        <w:tab/>
      </w:r>
      <w:r>
        <w:rPr>
          <w:u w:color="000000"/>
          <w14:textOutline w14:w="0" w14:cap="flat" w14:cmpd="sng" w14:algn="ctr">
            <w14:noFill/>
            <w14:prstDash w14:val="solid"/>
            <w14:bevel/>
          </w14:textOutline>
        </w:rPr>
        <w:t>keďže agresia Ruska voči Ukrajine nie je ojedinelým činom, ale pokračovaním jeho imperialistickej politiky, ktorej súčasťou bola aj vojna proti Čečensku a vojenská agresia voči Gruzínsku v roku 2008 a okupácia Krymu a začiatok vojny na Donbase v roku 2014;</w:t>
      </w:r>
    </w:p>
    <w:p>
      <w:pPr>
        <w:pStyle w:val="NormalHanging12a"/>
      </w:pPr>
      <w:r>
        <w:t>E.</w:t>
      </w:r>
      <w:r>
        <w:tab/>
        <w:t>keďže začiatku rozsiahlej útočnej vojny Ruska proti susednej Ukrajine predchádzalo niekoľko verejných vyhlásení prezidenta Ruskej federácie, ktorých cieľom bolo ospravedlniť použitie sily historickým revizionizmom, nepravdivými tvrdeniami a nezákonnými požiadavkami na uznanie jeho výlučných záujmov na Ukrajine a v iných susedných krajinách;</w:t>
      </w:r>
    </w:p>
    <w:p>
      <w:pPr>
        <w:pStyle w:val="NormalHanging12a"/>
      </w:pPr>
      <w:r>
        <w:t>F.</w:t>
      </w:r>
      <w:r>
        <w:tab/>
        <w:t>keďže ruský režim vo veľkej miere využíva dezinformácie, okrem iného aj také, ktoré vychádzajú z prekrútených historických argumentov, ako aj manipuláciu s informáciami a zasahovanie zo zahraničia v snahe ospravedlniť svoje trestné činy agresie, podnecovať ruské obyvateľstvo k tomu, aby podporovalo nezákonný režim a protiprávnu útočnú vojnu Ruska proti susednej Ukrajine, zasahovať do demokratických procesov v iných krajinách a obmedziť podporu, ktorú jeho vlastné obyvateľstvo prejavuje pokračujúcej medzinárodnej pomoci a podpore Ukrajine v ruskej útočnej vojne; keďže ruský režim popiera samostatnú národnú identitu Ukrajiny a nepravdivo tvrdí, že je súčasť „ruského sveta“ („</w:t>
      </w:r>
      <w:proofErr w:type="spellStart"/>
      <w:r>
        <w:t>russkij</w:t>
      </w:r>
      <w:proofErr w:type="spellEnd"/>
      <w:r>
        <w:t xml:space="preserve"> </w:t>
      </w:r>
      <w:proofErr w:type="spellStart"/>
      <w:r>
        <w:t>mir</w:t>
      </w:r>
      <w:proofErr w:type="spellEnd"/>
      <w:r>
        <w:t xml:space="preserve">“), čo je </w:t>
      </w:r>
      <w:proofErr w:type="spellStart"/>
      <w:r>
        <w:t>naratív</w:t>
      </w:r>
      <w:proofErr w:type="spellEnd"/>
      <w:r>
        <w:t xml:space="preserve"> zakorenený v imperialistickej ideológii; keďže Rusko na okupovaných územiach Ukrajiny ničí pamätníky </w:t>
      </w:r>
      <w:proofErr w:type="spellStart"/>
      <w:r>
        <w:t>Holodomoru</w:t>
      </w:r>
      <w:proofErr w:type="spellEnd"/>
      <w:r>
        <w:t xml:space="preserve"> a obnovuje odstránené pamätníky Lenina;</w:t>
      </w:r>
    </w:p>
    <w:p>
      <w:pPr>
        <w:pStyle w:val="NormalHanging12a"/>
      </w:pPr>
      <w:r>
        <w:t>G.</w:t>
      </w:r>
      <w:r>
        <w:tab/>
        <w:t xml:space="preserve">keďže Rusko nielenže neuznalo neospravedlniteľnú počiatočnú úlohu Sovietskeho zväzu v raných fázach druhej svetovej vojny, ktorú zohrával napríklad uzatvorením Zmluvy o neútočení z roku 1939 medzi nacistickým Nemeckom a Zväzom sovietskych socialistických republík (Sovietskym zväzom) a jej tajných protokolov, bežne označovanej ako pakt </w:t>
      </w:r>
      <w:proofErr w:type="spellStart"/>
      <w:r>
        <w:t>Molotov-Ribbentrop</w:t>
      </w:r>
      <w:proofErr w:type="spellEnd"/>
      <w:r>
        <w:t xml:space="preserve"> z roku 1939, v ktorom sa oba totalitné režimy spriahli s cieľom rozdeliť Európu na výlučné sféry vplyvu, a neprevzalo zodpovednosť za mnohé zverstvá a masové zločiny spáchané na územiach okupovaných Sovietskym zväzom, ale súčasný ruský režim takisto účelovo zneužíva históriu a vytvoril okolo druhej svetovej vojny kult „víťazstva“, aby ideologicky zmobilizoval obyvateľstvo a zmanipuloval ho tak, aby mal v protiprávnej útočnej vojne jeho podporu;</w:t>
      </w:r>
    </w:p>
    <w:p>
      <w:pPr>
        <w:pStyle w:val="NormalHanging12a"/>
      </w:pPr>
      <w:r>
        <w:t>H.</w:t>
      </w:r>
      <w:r>
        <w:tab/>
        <w:t xml:space="preserve">keďže Rusko vypracovalo rastúcu dezinformačnú kampaň historického revizionizmu s cieľom poprieť ukrajinskú národnú identitu, štátnosť a samotnú existenciu a ospravedlniť svoje nároky na výlučnú sféru vplyvu, čo pripomína situáciu, keď sa Sovietsky zväz dohodol s nacistickým Nemeckom na invázii a okupácii častí Poľska a Rumunska, ako aj Estónska, Lotyšska, Litvy a Ukrajiny v pakte </w:t>
      </w:r>
      <w:proofErr w:type="spellStart"/>
      <w:r>
        <w:t>Molotov-Ribbentrop</w:t>
      </w:r>
      <w:proofErr w:type="spellEnd"/>
      <w:r>
        <w:t>; keďže Rusko týmto historickým revizionizmom dnes ohrozuje predovšetkým Poľsko a pobaltské štáty a ich zvrchovanosť;</w:t>
      </w:r>
    </w:p>
    <w:p>
      <w:pPr>
        <w:pStyle w:val="NormalHanging12a"/>
      </w:pPr>
      <w:r>
        <w:t>I.</w:t>
      </w:r>
      <w:r>
        <w:tab/>
        <w:t xml:space="preserve">keďže súčasný ruský režim premenil Deň víťazstva, ktorý sa každoročne oslavuje 9. mája, na nástroj vojnovej propagandy v Rusku prostredníctvom </w:t>
      </w:r>
      <w:proofErr w:type="spellStart"/>
      <w:r>
        <w:t>naratívu</w:t>
      </w:r>
      <w:proofErr w:type="spellEnd"/>
      <w:r>
        <w:t xml:space="preserve"> „oslobodenia Európy od nacizmu“, čím ignoruje následnú sovietsku okupáciu pobaltských štátov a podmanenie si strednej Európy; keďže tento </w:t>
      </w:r>
      <w:proofErr w:type="spellStart"/>
      <w:r>
        <w:t>naratív</w:t>
      </w:r>
      <w:proofErr w:type="spellEnd"/>
      <w:r>
        <w:t xml:space="preserve"> „oslobodenia od nacizmu“ sa dnes používa v útočnej vojne Ruska proti Ukrajine; </w:t>
      </w:r>
    </w:p>
    <w:p>
      <w:pPr>
        <w:pStyle w:val="NormalHanging12a"/>
      </w:pPr>
      <w:r>
        <w:t>J.</w:t>
      </w:r>
      <w:r>
        <w:tab/>
        <w:t xml:space="preserve">keďže v niektorých členských štátoch sú komunistické symboly, ako aj symboly pokračujúcej agresie Ruska zákonom zakázané; keďže od roku 2009 si 23. august v celej EÚ pripomíname ako Európsky deň pamiatky obetí všetkých totalitných a </w:t>
      </w:r>
      <w:r>
        <w:lastRenderedPageBreak/>
        <w:t>autoritárskych režimov; keďže od roku 2003 si Európsky parlament každoročne pripomína obete masových sovietskych deportácií;</w:t>
      </w:r>
    </w:p>
    <w:p>
      <w:pPr>
        <w:pStyle w:val="NormalHanging12a"/>
      </w:pPr>
      <w:r>
        <w:t>1.</w:t>
      </w:r>
      <w:r>
        <w:tab/>
        <w:t>opakovane čo najdôraznejšie odsudzuje nevyprovokovanú, protiprávnu a neodôvodnenú útočnú vojnu Ruska proti Ukrajine; vyzýva Rusko, aby bezodkladne ukončilo všetky vojenské operácie na Ukrajine a aby úplne a bezpodmienečne stiahlo všetky vojenské sily, zástupné sily a vojenské vybavenie z celého medzinárodne uznaného územia Ukrajiny, ukončilo nútené deportácie ukrajinských civilistov a prepustilo všetkých zadržiavaných a deportovaných Ukrajincov, najmä deti;</w:t>
      </w:r>
    </w:p>
    <w:p>
      <w:pPr>
        <w:pStyle w:val="NormalHanging12a"/>
      </w:pPr>
      <w:r>
        <w:t>2.</w:t>
      </w:r>
      <w:r>
        <w:tab/>
        <w:t>odmieta rôzne tvrdenia ruského režimu a považuje ich za márne pokusy o ospravedlnenie protiprávnej útočnej vojny, ktorá je zjavným porušením Charty OSN a zodpovednosti Ruskej federácie ako stáleho člena Bezpečnostnej rady OSN za zachovanie mieru a stability, a ktorú ako takú okamžite uznali ostatní stáli členovia Bezpečnostnej rady OSN a prevažná väčšina členov Valného zhromaždenia OSN; pripomína, že žiadny argument akejkoľvek povahy, či už politickej, hospodárskej, vojenskej, historickej alebo inej, nemôže slúžiť ako ospravedlnenie ruskej agresie voči Ukrajine;</w:t>
      </w:r>
    </w:p>
    <w:p>
      <w:pPr>
        <w:pStyle w:val="NormalHanging12a"/>
        <w:rPr>
          <w:rFonts w:eastAsia="Arial Unicode MS"/>
          <w:kern w:val="2"/>
          <w:szCs w:val="24"/>
          <w:u w:color="000000"/>
          <w:bdr w:val="nil"/>
        </w:rPr>
      </w:pPr>
      <w:r>
        <w:t>3.</w:t>
      </w:r>
      <w:r>
        <w:tab/>
        <w:t xml:space="preserve">odsudzuje systematické falšovanie a využívanie prekrútených historických argumentov ruským režimom, ako sú argumenty spojené s paktom </w:t>
      </w:r>
      <w:proofErr w:type="spellStart"/>
      <w:r>
        <w:t>Molotov-Ribbentrop</w:t>
      </w:r>
      <w:proofErr w:type="spellEnd"/>
      <w:r>
        <w:t>, v jeho snahe manipulovať ruskú verejnú mienku, a tak dosiahnuť, aby podporila trestné činy, ako je protiprávna útočná vojna proti susednej Ukrajine, oslabiť medzinárodnú podporu a pomoc Ukrajine a vymazať osobitú kultúrnu a historickú identitu Ukrajiny;</w:t>
      </w:r>
      <w:r>
        <w:rPr>
          <w:u w:color="000000"/>
        </w:rPr>
        <w:t xml:space="preserve"> odsudzuje tvrdenie Ruska, že má nárok na sféry výlučného vplyvu na úkor zvrchovanosti a územnej celistvosti iných štátov, ako nezlučiteľné s medzinárodným právom;</w:t>
      </w:r>
    </w:p>
    <w:p>
      <w:pPr>
        <w:pStyle w:val="NormalHanging12a"/>
      </w:pPr>
      <w:r>
        <w:rPr>
          <w:u w:color="000000"/>
        </w:rPr>
        <w:t>4.</w:t>
      </w:r>
      <w:r>
        <w:rPr>
          <w:u w:color="000000"/>
        </w:rPr>
        <w:tab/>
      </w:r>
      <w:r>
        <w:t xml:space="preserve">odsudzuje skutočnosť, že Ruská federácia nevyvodila zodpovednosť za sovietske zločiny a že zámerne bráni historickému výskumu tým, že zamedzuje prístup k sovietskym archívom a zatvára ich, a odsudzuje aj skutočnosť, že prijala právne predpisy, ktoré kriminalizujú pravdivý opis sovietskych a ruských zločinov, prenasleduje organizácie občianskej spoločnosti, ktoré vyšetrujú sovietske zločiny, a glorifikuje </w:t>
      </w:r>
      <w:proofErr w:type="spellStart"/>
      <w:r>
        <w:t>stalinistický</w:t>
      </w:r>
      <w:proofErr w:type="spellEnd"/>
      <w:r>
        <w:t xml:space="preserve"> totalitný režim a vracia sa k jeho metódam; domnieva sa, že beztrestnosť a absencia verejnej diskusie a vzdelávania, pokiaľ ide o fakticky presný opis dejín, umožnili súčasnému ruskému režimu obnoviť imperialistickú politiku a zneužívať históriu na svoje zločinecké účely; odsudzuje prenasledovanie organizácií občianskej spoločnosti, ktoré vyšetrujú sovietske zločiny alebo zločiny súčasného režimu, vrátane likvidácie organizácie International </w:t>
      </w:r>
      <w:proofErr w:type="spellStart"/>
      <w:r>
        <w:t>Memorial</w:t>
      </w:r>
      <w:proofErr w:type="spellEnd"/>
      <w:r>
        <w:t xml:space="preserve">, Centra ochrany ľudských práv </w:t>
      </w:r>
      <w:proofErr w:type="spellStart"/>
      <w:r>
        <w:t>Memorial</w:t>
      </w:r>
      <w:proofErr w:type="spellEnd"/>
      <w:r>
        <w:t xml:space="preserve"> a Moskovskej helsinskej skupiny, ako aj vynútené ukončenie činnosti </w:t>
      </w:r>
      <w:proofErr w:type="spellStart"/>
      <w:r>
        <w:t>Sacharovovho</w:t>
      </w:r>
      <w:proofErr w:type="spellEnd"/>
      <w:r>
        <w:t xml:space="preserve"> centra;</w:t>
      </w:r>
    </w:p>
    <w:p>
      <w:pPr>
        <w:pStyle w:val="NormalHanging12a"/>
      </w:pPr>
      <w:r>
        <w:t>5.</w:t>
      </w:r>
      <w:r>
        <w:tab/>
        <w:t>pripomína, že nerozlišujúce útoky Ruskej federácie na civilné obyvateľstvo Ukrajiny, ničenie civilnej infraštruktúry, používanie mučenia, sexuálneho násilia a znásilňovania ako vojnovej zbrane, deportácia tisícov ukrajinských občanov na územie Ruskej federácie, násilné premiestňovanie a adopcia ukrajinských detí a ďalšie závažné porušenia medzinárodného humanitárneho práva a ľudských práv predstavujú vojnové zločiny, za ktoré sa všetci páchatelia musia zodpovedať;</w:t>
      </w:r>
    </w:p>
    <w:p>
      <w:pPr>
        <w:pStyle w:val="NormalHanging12a"/>
      </w:pPr>
      <w:r>
        <w:t>6.</w:t>
      </w:r>
      <w:r>
        <w:tab/>
        <w:t xml:space="preserve">preto opakovane vyjadruje plnú podporu prebiehajúcemu vyšetrovaniu situácie na Ukrajine prokurátorom Medzinárodného trestného súdu na základe údajných vojnových zločinov, zločinov proti ľudskosti a genocídy; víta formálne pristúpenie Ukrajiny k </w:t>
      </w:r>
      <w:r>
        <w:lastRenderedPageBreak/>
        <w:t>Medzinárodnému trestnému súdu od 1. januára 2025 ako dôležitý príspevok k medzinárodnému úsiliu o vyvodenie zodpovednosti za závažné medzinárodné trestné činy; vyzýva EÚ, aby vyvinula ďalšie diplomatické úsilie na podporu ratifikácie Rímskeho štatútu a všetkých jeho zmien vo svete;</w:t>
      </w:r>
    </w:p>
    <w:p>
      <w:pPr>
        <w:pStyle w:val="NormalHanging12a"/>
      </w:pPr>
      <w:r>
        <w:t>7.</w:t>
      </w:r>
      <w:r>
        <w:tab/>
        <w:t>ďalej opätovne vyzýva na zriadenie osobitného tribunálu na vyšetrenie a stíhanie zločinu agresie zo strany vedenia Ruskej federácie voči Ukrajine; opätovne vyzýva Komisiu, Radu a Európsku službu pre vonkajšiu činnosť, aby poskytli všetku politickú, finančnú a praktickú podporu potrebnú na zriadenie osobitného tribunálu; vyjadruje svoju plnú podporu Medzinárodnému centru pre stíhanie zločinu agresie na Ukrajine, ktoré bude mať sídlo v Haagu a bude podporovať prebiehajúce úsilie spoločného vyšetrovacieho tímu, čo je prvým konkrétnym krokom k zriadeniu osobitného tribunálu;</w:t>
      </w:r>
    </w:p>
    <w:p>
      <w:pPr>
        <w:pStyle w:val="NormalHanging12a"/>
      </w:pPr>
      <w:r>
        <w:t>8.</w:t>
      </w:r>
      <w:r>
        <w:tab/>
        <w:t>naliehavo vyzýva EÚ a jej členské štáty, aby ešte viac zintenzívnili a koordinovali svoje úsilie, prípadne aj s podobne zmýšľajúcimi partnermi, v rýchlom a nekompromisnom boji proti ruským dezinformáciám a zahraničnej manipulácii s informáciami a zahraničnému zasahovaniu s cieľom chrániť integritu svojich demokratických procesov a posilniť odolnosť európskych spoločností, okrem iného aktívnou podporou mediálnej gramotnosti, ako aj podporou kvalitných médií a profesionálnej žurnalistiky, a to najmä investigatívnej žurnalistiky, ktorá odhaľuje ruskú propagandu, jej metódy a siete, a podporou výskumu nových hybridných technológií ovplyvňovania;</w:t>
      </w:r>
    </w:p>
    <w:p>
      <w:pPr>
        <w:pStyle w:val="NormalHanging12a"/>
      </w:pPr>
      <w:r>
        <w:t>9.</w:t>
      </w:r>
      <w:r>
        <w:tab/>
        <w:t xml:space="preserve">vyzýva EÚ, aby rozšírila svoje sankcie voči ruským médiám, ktoré vedú dezinformačné a </w:t>
      </w:r>
      <w:proofErr w:type="spellStart"/>
      <w:r>
        <w:t>manipulatívne</w:t>
      </w:r>
      <w:proofErr w:type="spellEnd"/>
      <w:r>
        <w:t xml:space="preserve"> kampane s cieľom podporiť a ospravedlniť útočnú vojnu Ruska proti Ukrajine, a vyzýva členské štáty, aby tieto sankcie urýchlene a dôrazne vykonávali a aby vyčlenili dostatočné zdroje na účinné riešenie tejto hybridnej vojny; vyzýva EÚ a členské štáty, aby posilnili podporu nezávislých ruských médií v exile, a tak umožnili vyjadrovanie rôznych názorov v </w:t>
      </w:r>
      <w:proofErr w:type="spellStart"/>
      <w:r>
        <w:t>ruskojazyčných</w:t>
      </w:r>
      <w:proofErr w:type="spellEnd"/>
      <w:r>
        <w:t xml:space="preserve"> médiách;</w:t>
      </w:r>
    </w:p>
    <w:p>
      <w:pPr>
        <w:pStyle w:val="NormalHanging12a"/>
      </w:pPr>
      <w:r>
        <w:t>10.</w:t>
      </w:r>
      <w:r>
        <w:tab/>
        <w:t xml:space="preserve">vyjadruje hlboké znepokojenie nad nedávnymi vyhláseniami vedenia spoločností prevádzkujúcich sociálne médiá, pokiaľ ide o uvoľnenie ich pravidiel overovania faktov a moderovania, a nad tým, ako to ďalej prispeje k vedeniu dezinformačnej kampane Ruska na celom svete; vyzýva Komisiu a členské štáty, aby v reakcii na tieto vyhlásenia spoločnosti </w:t>
      </w:r>
      <w:proofErr w:type="spellStart"/>
      <w:r>
        <w:t>Meta</w:t>
      </w:r>
      <w:proofErr w:type="spellEnd"/>
      <w:r>
        <w:t xml:space="preserve"> a predtým aj siete X dôsledne presadzovali akt o digitálnych službách, a to aj ako dôležitú súčasť boja proti ruským dezinformáciám;</w:t>
      </w:r>
    </w:p>
    <w:p>
      <w:pPr>
        <w:pStyle w:val="NormalHanging12a"/>
      </w:pPr>
      <w:r>
        <w:t>11.</w:t>
      </w:r>
      <w:r>
        <w:tab/>
        <w:t xml:space="preserve">vyzýva občanov EÚ, aby informácie hodnotili kriticky tým, že budú spochybňovať ich pôvod a účel, najmä keď sa týkajú </w:t>
      </w:r>
      <w:proofErr w:type="spellStart"/>
      <w:r>
        <w:t>naratívov</w:t>
      </w:r>
      <w:proofErr w:type="spellEnd"/>
      <w:r>
        <w:t xml:space="preserve"> spojených s Ruskom, a aby si overovali fakty prostredníctvom rozličných a spoľahlivých zdrojov a zabránili tak pokusom škodlivých zahraničných aktérov o manipuláciu;</w:t>
      </w:r>
    </w:p>
    <w:p>
      <w:pPr>
        <w:pStyle w:val="NormalHanging12a"/>
        <w:rPr>
          <w:bCs/>
          <w:szCs w:val="24"/>
        </w:rPr>
      </w:pPr>
      <w:r>
        <w:t>12.</w:t>
      </w:r>
      <w:r>
        <w:tab/>
        <w:t>odsudzuje zneužívanie pravoslávia Moskvou na geopolitické účely, najmä prostredníctvom využívania ruskej pravoslávnej cirkvi (moskovského patriarchátu) ako nástroja na ovplyvňovanie a kontrolu pravoslávneho obyvateľstva na Ukrajine, v Gruzínsku, Moldavsku, Srbsku a iných krajinách;</w:t>
      </w:r>
    </w:p>
    <w:p>
      <w:pPr>
        <w:pStyle w:val="NormalHanging12a"/>
        <w:rPr>
          <w:rFonts w:eastAsia="Arial Unicode MS"/>
          <w:kern w:val="2"/>
          <w:szCs w:val="24"/>
          <w:u w:color="000000"/>
          <w:bdr w:val="nil"/>
        </w:rPr>
      </w:pPr>
      <w:r>
        <w:t>13.</w:t>
      </w:r>
      <w:r>
        <w:tab/>
      </w:r>
      <w:r>
        <w:rPr>
          <w:u w:color="000000"/>
        </w:rPr>
        <w:t xml:space="preserve">reaguje na vyhlásenie </w:t>
      </w:r>
      <w:proofErr w:type="spellStart"/>
      <w:r>
        <w:rPr>
          <w:u w:color="000000"/>
        </w:rPr>
        <w:t>Verchovnej</w:t>
      </w:r>
      <w:proofErr w:type="spellEnd"/>
      <w:r>
        <w:rPr>
          <w:u w:color="000000"/>
        </w:rPr>
        <w:t xml:space="preserve"> rady Ukrajiny z 2. mája 2023 o ideológii </w:t>
      </w:r>
      <w:proofErr w:type="spellStart"/>
      <w:r>
        <w:rPr>
          <w:u w:color="000000"/>
        </w:rPr>
        <w:t>rušizmu</w:t>
      </w:r>
      <w:proofErr w:type="spellEnd"/>
      <w:r>
        <w:rPr>
          <w:u w:color="000000"/>
        </w:rPr>
        <w:t xml:space="preserve"> (t. j. ruského fašizmu) tým, že odsudzuje nacionalistickú imperialistickú ideológiu, politiku a praktiky súčasného ruského režimu; zdôrazňuje nezlučiteľnosť tejto ideológie, politiky a praxe s medzinárodným právom a európskymi hodnotami;</w:t>
      </w:r>
    </w:p>
    <w:p>
      <w:pPr>
        <w:pStyle w:val="NormalHanging12a"/>
        <w:rPr>
          <w:rFonts w:eastAsia="Arial Unicode MS"/>
          <w:kern w:val="2"/>
          <w:szCs w:val="24"/>
          <w:u w:color="000000"/>
          <w:bdr w:val="nil"/>
        </w:rPr>
      </w:pPr>
      <w:r>
        <w:lastRenderedPageBreak/>
        <w:t>14.</w:t>
      </w:r>
      <w:r>
        <w:tab/>
        <w:t xml:space="preserve">domnieva sa, že Rusko v snahe skresľovať, revidovať a prekrúcať ukrajinskú históriu oslabuje kolektívnu pamäť a identitu Európy ako celku a ohrozuje historickú pravdu, demokratické hodnoty a mier v Európe; vyzýva preto členské štáty, aby viac investovali do vzdelávania a výskumu spoločnej histórie Európy a európskeho historického povedomia a podporovali projekty, ktoré prispievajú k lepšiemu pochopeniu dôsledkov rozdelenia Európy počas studenej vojny; </w:t>
      </w:r>
      <w:r>
        <w:rPr>
          <w:u w:color="000000"/>
        </w:rPr>
        <w:t>vyjadruje podporu vybudovaniu celoeurópskeho pamätníka obetiam totalitných režimov 20. storočia v Bruseli; vyjadruje poľutovanie nad pokračujúcim používaním symbolov totalitných režimov na verejných priestranstvách a žiada, aby sa v celej EÚ zakázalo používanie nacistických a sovietskych komunistických symbolov, ako aj symbolov pokračujúcej agresie Ruska voči Ukrajine;</w:t>
      </w:r>
    </w:p>
    <w:p>
      <w:pPr>
        <w:pStyle w:val="NormalHanging12a"/>
        <w:rPr>
          <w:rFonts w:eastAsia="Arial Unicode MS"/>
          <w:kern w:val="2"/>
          <w:szCs w:val="24"/>
          <w:u w:color="000000"/>
          <w:bdr w:val="nil"/>
        </w:rPr>
      </w:pPr>
      <w:r>
        <w:rPr>
          <w:u w:color="000000"/>
        </w:rPr>
        <w:t>15.</w:t>
      </w:r>
      <w:r>
        <w:rPr>
          <w:u w:color="000000"/>
        </w:rPr>
        <w:tab/>
      </w:r>
      <w:r>
        <w:t xml:space="preserve">vyjadruje želanie, aby EÚ a jej členské štáty podporovali lepšie poznanie a pochopenie ľudského utrpenia Európanov, ktoré spôsobil sovietsky režim v 20. storočí; v tejto súvislosti vyzýva na spomienku a úctu k obetiam sovietskych zločinov, ako sú masové deportácie vrátane deportácií krymských Tatárov a obyvateľstva z pobaltských krajín, systém gulagov, ukrajinský hladomor, masakre, ako bol napríklad </w:t>
      </w:r>
      <w:proofErr w:type="spellStart"/>
      <w:r>
        <w:t>Katynský</w:t>
      </w:r>
      <w:proofErr w:type="spellEnd"/>
      <w:r>
        <w:t xml:space="preserve"> masaker, a </w:t>
      </w:r>
      <w:proofErr w:type="spellStart"/>
      <w:r>
        <w:t>hornosliezska</w:t>
      </w:r>
      <w:proofErr w:type="spellEnd"/>
      <w:r>
        <w:t xml:space="preserve"> tragédia;</w:t>
      </w:r>
    </w:p>
    <w:p>
      <w:pPr>
        <w:pStyle w:val="NormalHanging12a"/>
      </w:pPr>
      <w:r>
        <w:t>16.</w:t>
      </w:r>
      <w:r>
        <w:tab/>
        <w:t>poveruje svoju predsedníčku, aby postúpila toto uznesenie podpredsedníčke Komisie/vysokej predstaviteľke Únie pre zahraničné veci a bezpečnostnú politiku, Rade, Komisii, vládam a parlamentom členských štátov, Rade Európy, Organizácii pre bezpečnosť a spoluprácu v Európe, prezidentovi, vláde a parlamentu Ukrajiny a ruským inštitúciám.</w:t>
      </w: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74, 0075, 0076, 0077 a 0079/2025"/>
    <w:docVar w:name="dvlangue" w:val="SK"/>
    <w:docVar w:name="dvnumam" w:val="0"/>
    <w:docVar w:name="dvpe" w:val="769.096"/>
    <w:docVar w:name="dvtitre" w:val="Uznesenie Európskeho parlamentu z 25. januára 2025 o dezinformáciách a falšovaní histórie zo strany Ruska na ospravedlnenie jeho útočnej vojny proti Ukrajine(2024/2988(RSP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CC6C76-4F4C-4D0A-BF5D-CA39B3814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Pr>
      <w:sz w:val="24"/>
      <w:lang w:val="sk-SK"/>
    </w:r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8E5E3-88E6-459E-908C-4BEF8D874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1866</Words>
  <Characters>12016</Characters>
  <Application>Microsoft Office Word</Application>
  <DocSecurity>0</DocSecurity>
  <Lines>100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2025-01-23T14:38:00Z</dcterms:created>
  <dcterms:modified xsi:type="dcterms:W3CDTF">2025-01-23T14:38:00Z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B10-0074, 0075, 0076, 0077 a 0079/2025</vt:lpwstr>
  </property>
  <property fmtid="{D5CDD505-2E9C-101B-9397-08002B2CF9AE}" pid="4" name="&lt;Type&gt;">
    <vt:lpwstr>RR</vt:lpwstr>
  </property>
</Properties>
</file>