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32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3243" w:rsidRDefault="00D67A29" w:rsidP="0010095E">
            <w:pPr>
              <w:pStyle w:val="EPName"/>
            </w:pPr>
            <w:r w:rsidRPr="00023243">
              <w:t>Evropský parlament</w:t>
            </w:r>
          </w:p>
          <w:p w:rsidR="00751A4A" w:rsidRPr="000232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3243">
              <w:t>2024</w:t>
            </w:r>
            <w:r w:rsidR="00817416" w:rsidRPr="00023243">
              <w:t>-202</w:t>
            </w:r>
            <w:r w:rsidRPr="0002324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3243" w:rsidRDefault="00187494" w:rsidP="0010095E">
            <w:pPr>
              <w:pStyle w:val="EPLogo"/>
            </w:pPr>
            <w:r w:rsidRPr="000232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3243" w:rsidRDefault="00D058B8" w:rsidP="004C5D52">
      <w:pPr>
        <w:pStyle w:val="LineTop"/>
      </w:pPr>
    </w:p>
    <w:p w:rsidR="00680577" w:rsidRPr="00023243" w:rsidRDefault="00D67A29" w:rsidP="00680577">
      <w:pPr>
        <w:pStyle w:val="EPBodyTA1"/>
      </w:pPr>
      <w:r w:rsidRPr="00023243">
        <w:t>PŘIJATÉ TEXTY</w:t>
      </w:r>
    </w:p>
    <w:p w:rsidR="00D058B8" w:rsidRPr="00023243" w:rsidRDefault="00D058B8" w:rsidP="00D058B8">
      <w:pPr>
        <w:pStyle w:val="LineBottom"/>
      </w:pPr>
    </w:p>
    <w:p w:rsidR="00D67A29" w:rsidRPr="00023243" w:rsidRDefault="00D67A29" w:rsidP="00D67A29">
      <w:pPr>
        <w:pStyle w:val="ATHeading1"/>
      </w:pPr>
      <w:bookmarkStart w:id="0" w:name="TANumber"/>
      <w:r w:rsidRPr="00023243">
        <w:t>P10_TA(2025)00</w:t>
      </w:r>
      <w:bookmarkEnd w:id="0"/>
      <w:r w:rsidR="000718F8">
        <w:t>11</w:t>
      </w:r>
    </w:p>
    <w:p w:rsidR="00D67A29" w:rsidRPr="00023243" w:rsidRDefault="00CE6465" w:rsidP="00D67A29">
      <w:pPr>
        <w:pStyle w:val="ATHeading2"/>
      </w:pPr>
      <w:bookmarkStart w:id="1" w:name="title"/>
      <w:r w:rsidRPr="00CE6465">
        <w:t>Evropská centrální banka – výroční zpráva za rok 2024</w:t>
      </w:r>
      <w:bookmarkEnd w:id="1"/>
    </w:p>
    <w:p w:rsidR="00D67A29" w:rsidRPr="00023243" w:rsidRDefault="00D67A29" w:rsidP="00D67A29">
      <w:pPr>
        <w:rPr>
          <w:i/>
          <w:vanish/>
        </w:rPr>
      </w:pPr>
      <w:r w:rsidRPr="00023243">
        <w:rPr>
          <w:i/>
        </w:rPr>
        <w:fldChar w:fldCharType="begin"/>
      </w:r>
      <w:r w:rsidRPr="00023243">
        <w:rPr>
          <w:i/>
        </w:rPr>
        <w:instrText xml:space="preserve"> TC"(</w:instrText>
      </w:r>
      <w:bookmarkStart w:id="2" w:name="DocNumber"/>
      <w:r w:rsidRPr="00023243">
        <w:rPr>
          <w:i/>
        </w:rPr>
        <w:instrText>A10-0003/2025</w:instrText>
      </w:r>
      <w:bookmarkEnd w:id="2"/>
      <w:r w:rsidRPr="00023243">
        <w:rPr>
          <w:i/>
        </w:rPr>
        <w:instrText xml:space="preserve"> - Zpravodajka: Anouk Van Brug)"\l3 \n&gt; \* MERGEFORMAT </w:instrText>
      </w:r>
      <w:r w:rsidRPr="00023243">
        <w:rPr>
          <w:i/>
        </w:rPr>
        <w:fldChar w:fldCharType="end"/>
      </w:r>
    </w:p>
    <w:p w:rsidR="00D67A29" w:rsidRPr="00023243" w:rsidRDefault="00D67A29" w:rsidP="00D67A29">
      <w:pPr>
        <w:rPr>
          <w:vanish/>
        </w:rPr>
      </w:pPr>
      <w:bookmarkStart w:id="3" w:name="Commission"/>
      <w:r w:rsidRPr="00023243">
        <w:rPr>
          <w:vanish/>
        </w:rPr>
        <w:t>Hospodářský a měnový výbor</w:t>
      </w:r>
      <w:bookmarkEnd w:id="3"/>
    </w:p>
    <w:p w:rsidR="00D67A29" w:rsidRPr="00023243" w:rsidRDefault="00D67A29" w:rsidP="00D67A29">
      <w:pPr>
        <w:rPr>
          <w:vanish/>
        </w:rPr>
      </w:pPr>
      <w:bookmarkStart w:id="4" w:name="PE"/>
      <w:r w:rsidRPr="00023243">
        <w:rPr>
          <w:vanish/>
        </w:rPr>
        <w:t>PE765.056</w:t>
      </w:r>
      <w:bookmarkEnd w:id="4"/>
    </w:p>
    <w:p w:rsidR="00D67A29" w:rsidRPr="00023243" w:rsidRDefault="00D67A29" w:rsidP="00D67A29">
      <w:pPr>
        <w:pStyle w:val="ATHeading3"/>
      </w:pPr>
      <w:bookmarkStart w:id="5" w:name="Sujet"/>
      <w:r w:rsidRPr="00023243">
        <w:t xml:space="preserve">Usnesení </w:t>
      </w:r>
      <w:r w:rsidR="00CE6465">
        <w:t xml:space="preserve">Evropského parlamentu ze dne </w:t>
      </w:r>
      <w:r w:rsidR="000718F8">
        <w:t>11</w:t>
      </w:r>
      <w:r w:rsidR="00CE6465">
        <w:t>. února</w:t>
      </w:r>
      <w:r w:rsidRPr="00023243">
        <w:t xml:space="preserve"> 2025 o Evropské centrální bance – výroční zpráva za rok 2024</w:t>
      </w:r>
      <w:bookmarkEnd w:id="5"/>
      <w:r w:rsidRPr="00023243">
        <w:t xml:space="preserve"> </w:t>
      </w:r>
      <w:bookmarkStart w:id="6" w:name="References"/>
      <w:r w:rsidRPr="00023243">
        <w:t>(2024/2054(INI))</w:t>
      </w:r>
      <w:bookmarkEnd w:id="6"/>
    </w:p>
    <w:p w:rsidR="0032373C" w:rsidRPr="00023243" w:rsidRDefault="0032373C" w:rsidP="0032373C">
      <w:pPr>
        <w:pStyle w:val="EPComma"/>
      </w:pPr>
      <w:r w:rsidRPr="00023243">
        <w:rPr>
          <w:rStyle w:val="Italic"/>
        </w:rPr>
        <w:t>Evropský parlament</w:t>
      </w:r>
      <w:r w:rsidRPr="00023243">
        <w:t>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výroční zprávu Evropské centrální banky (ECB) za rok 2023,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 reakci ECB ze dne 18. dubna 2024 na podněty, které Parlament vyjádřil ve svém usnesení o výroční zprávě ECB za rok 2022</w:t>
      </w:r>
      <w:r w:rsidRPr="00023243">
        <w:rPr>
          <w:rStyle w:val="FootnoteReference"/>
        </w:rPr>
        <w:footnoteReference w:id="1"/>
      </w:r>
      <w:r w:rsidRPr="00023243">
        <w:t>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statut Evropského systému centrálních bank (ESCB) a ECB, zejména na články 2, 15 a 21 tohoto statutu,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 článek 119, čl. 123 odst. 1, článek 125, čl. 127 odst. 1 a 2, článek 130, čl. 282 odst. 2 a čl. 284 odst. 3 Smlouvy o fungování Evropské unie (SFEU),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články 3 a 13 Smlouvy o Evropské unii (SEU),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 xml:space="preserve">s ohledem na makroekonomické projekce pro eurozónu ze dne 7. března 2024, 6. června 2024, 12. září 2024 a 12. prosince 2024 vypracované odborníky </w:t>
      </w:r>
      <w:proofErr w:type="spellStart"/>
      <w:r w:rsidRPr="00023243">
        <w:t>Eurosystému</w:t>
      </w:r>
      <w:proofErr w:type="spellEnd"/>
      <w:r w:rsidRPr="00023243">
        <w:t>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 závěry Rady guvernérů ECB ze dne 25. ledna 2024, 7. března 2024, 11. dubna 2024, 6. června 2024, 18. července 2024, 12. září 2024,  17. října 2024 a 12. prosince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 xml:space="preserve">s ohledem na odhad inflace, který zveřejnil </w:t>
      </w:r>
      <w:proofErr w:type="spellStart"/>
      <w:r w:rsidRPr="00023243">
        <w:t>Eurostat</w:t>
      </w:r>
      <w:proofErr w:type="spellEnd"/>
      <w:r w:rsidRPr="00023243">
        <w:t xml:space="preserve"> dne </w:t>
      </w:r>
      <w:r w:rsidR="000718F8" w:rsidRPr="000718F8">
        <w:t>3. února 2025</w:t>
      </w:r>
      <w:r w:rsidRPr="00023243">
        <w:t>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 ekonomickou prognózu Komise z podzimu roku 2024, která byla zveřejněna dne 26. listopadu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 Světový ekonomický výhled Mezinárodního měnového fondu (MMF) zveřejněný v </w:t>
      </w:r>
      <w:r w:rsidR="000718F8" w:rsidRPr="000718F8">
        <w:t>lednu 2025</w:t>
      </w:r>
      <w:r w:rsidRPr="00023243">
        <w:t>,</w:t>
      </w:r>
    </w:p>
    <w:p w:rsidR="0032373C" w:rsidRPr="00023243" w:rsidRDefault="0032373C" w:rsidP="0032373C">
      <w:pPr>
        <w:pStyle w:val="NormalHanging12a"/>
      </w:pPr>
      <w:r w:rsidRPr="00023243">
        <w:lastRenderedPageBreak/>
        <w:t>–</w:t>
      </w:r>
      <w:r w:rsidRPr="00023243">
        <w:tab/>
        <w:t xml:space="preserve">s ohledem na měnové dialogy s prezidentkou ECB Christine </w:t>
      </w:r>
      <w:proofErr w:type="spellStart"/>
      <w:r w:rsidRPr="00023243">
        <w:t>Lagardeovou</w:t>
      </w:r>
      <w:proofErr w:type="spellEnd"/>
      <w:r w:rsidRPr="00023243">
        <w:t>, které proběhly dne 15. února 2024, 30. září 2024 a 4. prosince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své rozhodnutí ze dne 1. června 2023 o ujednáních ve formě výměny dopisů mezi Evropským parlamentem a ECB o struktuře postupů vzájemné interakce v oblasti centrálního bankovnictví</w:t>
      </w:r>
      <w:r w:rsidRPr="00023243">
        <w:rPr>
          <w:rStyle w:val="FootnoteReference"/>
        </w:rPr>
        <w:footnoteReference w:id="2"/>
      </w:r>
      <w:r w:rsidRPr="00023243">
        <w:t>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evropský pilíř sociálních práv,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schválení nástroje na ochranu transmise (TPI) Radou guvernérů ECB dne 21. července 2022,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návrh nařízení Evropského parlamentu a Rady o zavedení digitálního eura, který předložila Komise dne 28. června 2023 (</w:t>
      </w:r>
      <w:hyperlink r:id="rId9" w:history="1">
        <w:proofErr w:type="gramStart"/>
        <w:r w:rsidRPr="00CE6465">
          <w:t>COM(2023</w:t>
        </w:r>
        <w:proofErr w:type="gramEnd"/>
        <w:r w:rsidRPr="00CE6465">
          <w:t>)0369</w:t>
        </w:r>
      </w:hyperlink>
      <w:r w:rsidRPr="00023243">
        <w:t>),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první zprávu ECB o pokroku ze dne 24. června 2024 a na druhou zprávu o pokroku ze dne 2. prosince 2024 týkající se přípravné fáze projektu digitálního eura,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čtyři zprávy ECB o pokroku ze dne 13. července 2023, 24. dubna 2023, 21. prosince 2022 a 29. září 2022 týkající se fáze šetření projektu digitálního eura,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přezkum strategie měnové politiky ECB, který byl zahájen dne 23. ledna 2020 a dokončen dne 8. července 2021, a na nadcházející posouzení strategie měnové politiky v roce 2025,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 přezkum operačního rámce ECB zveřejněný dne 13. března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výroční zprávu ECB o mezinárodní úloze eura z června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 výsledky vůbec prvního zátěžového testu ECB zaměřeného na kybernetickou odolnost ze dne 26. července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 přezkum finanční stability ECB zveřejněný dne 20. listopadu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zveřejnění revidovaného nařízení o kapitálových požadavcích</w:t>
      </w:r>
      <w:r w:rsidRPr="00023243">
        <w:rPr>
          <w:rStyle w:val="FootnoteReference"/>
        </w:rPr>
        <w:footnoteReference w:id="3"/>
      </w:r>
      <w:r w:rsidRPr="00023243">
        <w:t xml:space="preserve"> (CRR III) a směrnice o kapitálových požadavcích</w:t>
      </w:r>
      <w:r w:rsidRPr="00023243">
        <w:rPr>
          <w:rStyle w:val="FootnoteReference"/>
        </w:rPr>
        <w:footnoteReference w:id="4"/>
      </w:r>
      <w:r w:rsidRPr="00023243">
        <w:t xml:space="preserve"> (CRD VI) v Úředním věstníku Evropské unie dne 19. června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 výsledky zátěžového testu ECB zaměřeného na rizika plynoucí ze změny klimatu ze dne 8. července 2022,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aktualizaci prohlášení ECB o životním prostředí za rok 2024,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plán ECB pro klima a přírodu na období 2024–2025,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 ohledem na čl. 142 odst. 1 jednacího řádu,</w:t>
      </w:r>
    </w:p>
    <w:p w:rsidR="0032373C" w:rsidRPr="00023243" w:rsidRDefault="0032373C" w:rsidP="0032373C">
      <w:pPr>
        <w:pStyle w:val="NormalHanging12a"/>
      </w:pPr>
      <w:r w:rsidRPr="00023243">
        <w:lastRenderedPageBreak/>
        <w:t>–</w:t>
      </w:r>
      <w:r w:rsidRPr="00023243">
        <w:tab/>
        <w:t>s ohledem na článek 55 jednacího řádu,</w:t>
      </w:r>
    </w:p>
    <w:p w:rsidR="0032373C" w:rsidRPr="00023243" w:rsidRDefault="0032373C" w:rsidP="0032373C">
      <w:pPr>
        <w:pStyle w:val="NormalHanging12a"/>
      </w:pPr>
      <w:r w:rsidRPr="00023243">
        <w:t>–</w:t>
      </w:r>
      <w:r w:rsidRPr="00023243">
        <w:tab/>
        <w:t>s ohledem na zprávu Hospodářského a měnového výboru (A10-0003/2025),</w:t>
      </w:r>
    </w:p>
    <w:p w:rsidR="0032373C" w:rsidRPr="00023243" w:rsidRDefault="0032373C" w:rsidP="0032373C">
      <w:pPr>
        <w:pStyle w:val="NormalHanging12a"/>
      </w:pPr>
      <w:r w:rsidRPr="00023243">
        <w:t>A.</w:t>
      </w:r>
      <w:r w:rsidRPr="00023243">
        <w:tab/>
        <w:t xml:space="preserve">vzhledem k tomu, že podle </w:t>
      </w:r>
      <w:proofErr w:type="spellStart"/>
      <w:r w:rsidRPr="00023243">
        <w:t>Eurostatu</w:t>
      </w:r>
      <w:proofErr w:type="spellEnd"/>
      <w:r w:rsidRPr="00023243">
        <w:t xml:space="preserve"> dosáhl harmonizovaný index spotřebitelských cen (HISC) v eurozóně v </w:t>
      </w:r>
      <w:r w:rsidR="000718F8">
        <w:t>prosinci</w:t>
      </w:r>
      <w:r w:rsidR="000718F8" w:rsidRPr="00023243">
        <w:t xml:space="preserve"> </w:t>
      </w:r>
      <w:r w:rsidRPr="00023243">
        <w:t>2024 úrovně 2,</w:t>
      </w:r>
      <w:r w:rsidR="000718F8">
        <w:t>4</w:t>
      </w:r>
      <w:r w:rsidRPr="00023243">
        <w:t> %;</w:t>
      </w:r>
    </w:p>
    <w:p w:rsidR="0032373C" w:rsidRPr="00023243" w:rsidRDefault="0032373C" w:rsidP="0032373C">
      <w:pPr>
        <w:pStyle w:val="NormalHanging12a"/>
      </w:pPr>
      <w:r w:rsidRPr="00023243">
        <w:t>B.</w:t>
      </w:r>
      <w:r w:rsidRPr="00023243">
        <w:tab/>
        <w:t xml:space="preserve">vzhledem k tomu, že podle makroekonomických projekcí pro eurozónu vypracovaných odborníky </w:t>
      </w:r>
      <w:proofErr w:type="spellStart"/>
      <w:r w:rsidRPr="00023243">
        <w:t>Eurosystému</w:t>
      </w:r>
      <w:proofErr w:type="spellEnd"/>
      <w:r w:rsidRPr="00023243">
        <w:t xml:space="preserve"> v prosinci 2024 by podle předpokladů měla inflace měřená prostřednictvím HISC v roce 2025 klesnout na 2,1 %, v roce 2026 na 1,9 % a v roce 2027 vzrůst na 2,1 %</w:t>
      </w:r>
      <w:r w:rsidRPr="00023243">
        <w:rPr>
          <w:rStyle w:val="FootnoteReference"/>
        </w:rPr>
        <w:footnoteReference w:id="5"/>
      </w:r>
      <w:r w:rsidRPr="00023243">
        <w:t>;</w:t>
      </w:r>
      <w:r w:rsidR="000718F8">
        <w:t xml:space="preserve"> </w:t>
      </w:r>
      <w:r w:rsidR="000718F8" w:rsidRPr="000718F8">
        <w:t>vzhledem k tomu, že podle odhadů se bude inflace v rámci eurozóny značně lišit;</w:t>
      </w:r>
    </w:p>
    <w:p w:rsidR="0032373C" w:rsidRPr="00023243" w:rsidRDefault="0032373C" w:rsidP="0032373C">
      <w:pPr>
        <w:pStyle w:val="NormalHanging12a"/>
      </w:pPr>
      <w:r w:rsidRPr="00023243">
        <w:t>C.</w:t>
      </w:r>
      <w:r w:rsidRPr="00023243">
        <w:tab/>
        <w:t>vzhledem k tomu, že prvořadým cílem ECB je udržovat cenovou stabilitu, kterou definuje jako 2% míru inflace ve střednědobém horizontu;</w:t>
      </w:r>
    </w:p>
    <w:p w:rsidR="0032373C" w:rsidRPr="00023243" w:rsidRDefault="0032373C" w:rsidP="0032373C">
      <w:pPr>
        <w:pStyle w:val="NormalHanging12a"/>
      </w:pPr>
      <w:r w:rsidRPr="00023243">
        <w:t>D.</w:t>
      </w:r>
      <w:r w:rsidRPr="00023243">
        <w:tab/>
        <w:t>vzhledem k tomu, že ECB by měla podporovat obecné hospodářské politiky EU, a přispívat tím k dosahování cílů EU stanovených v článku 3 SEU;</w:t>
      </w:r>
    </w:p>
    <w:p w:rsidR="0032373C" w:rsidRPr="00023243" w:rsidRDefault="0032373C" w:rsidP="0032373C">
      <w:pPr>
        <w:pStyle w:val="NormalHanging12a"/>
      </w:pPr>
      <w:r w:rsidRPr="00023243">
        <w:t>E.</w:t>
      </w:r>
      <w:r w:rsidRPr="00023243">
        <w:tab/>
        <w:t>vzhledem k tomu, že ECB je politicky nezávislá, takže ani orgány a agentury EU, ani vlády členských států by se ji neměly snažit ovlivňovat;</w:t>
      </w:r>
    </w:p>
    <w:p w:rsidR="0032373C" w:rsidRPr="00023243" w:rsidRDefault="0032373C" w:rsidP="0032373C">
      <w:pPr>
        <w:pStyle w:val="NormalHanging12a"/>
      </w:pPr>
      <w:r w:rsidRPr="00023243">
        <w:t>F.</w:t>
      </w:r>
      <w:r w:rsidRPr="00023243">
        <w:tab/>
        <w:t>vzhledem k tomu, že ECB může přijímat rozhodnutí, aby splnila svůj prvořadý cíl, kterým je zachování cenové stability, a to bez politických zásahů, kromě toho, že může být povolána k odpovědnosti;</w:t>
      </w:r>
    </w:p>
    <w:p w:rsidR="0032373C" w:rsidRPr="00023243" w:rsidRDefault="0032373C" w:rsidP="0032373C">
      <w:pPr>
        <w:pStyle w:val="NormalHanging12a"/>
      </w:pPr>
      <w:r w:rsidRPr="00023243">
        <w:t>G.</w:t>
      </w:r>
      <w:r w:rsidRPr="00023243">
        <w:tab/>
        <w:t>vzhledem k tomu, že politická nezávislost vyžaduje, aby se ECB zdržela politických kroků;</w:t>
      </w:r>
    </w:p>
    <w:p w:rsidR="0032373C" w:rsidRPr="00023243" w:rsidRDefault="0032373C" w:rsidP="0032373C">
      <w:pPr>
        <w:pStyle w:val="NormalHanging12a"/>
      </w:pPr>
      <w:r w:rsidRPr="00023243">
        <w:t>H.</w:t>
      </w:r>
      <w:r w:rsidRPr="00023243">
        <w:tab/>
        <w:t>vzhledem k tomu, že článek 123 SFEU a článek 21 statutu ESCB a ECB zakazují přímé měnové financování vlád; vzhledem k tomu, že ECB může nakupovat dluhové cenné papíry na sekundárním trhu, je-li to nezbytné pro dosažení jejích cílů;</w:t>
      </w:r>
    </w:p>
    <w:p w:rsidR="0032373C" w:rsidRPr="00023243" w:rsidRDefault="0032373C" w:rsidP="0032373C">
      <w:pPr>
        <w:pStyle w:val="NormalHanging12a"/>
      </w:pPr>
      <w:r w:rsidRPr="00023243">
        <w:t>I.</w:t>
      </w:r>
      <w:r w:rsidRPr="00023243">
        <w:tab/>
        <w:t xml:space="preserve">vzhledem k tomu, že </w:t>
      </w:r>
      <w:proofErr w:type="spellStart"/>
      <w:r w:rsidRPr="00023243">
        <w:t>Eurosystém</w:t>
      </w:r>
      <w:proofErr w:type="spellEnd"/>
      <w:r w:rsidRPr="00023243">
        <w:t xml:space="preserve"> byl vybudován na principu měnové dominance;</w:t>
      </w:r>
    </w:p>
    <w:p w:rsidR="0032373C" w:rsidRPr="00023243" w:rsidRDefault="0032373C" w:rsidP="0032373C">
      <w:pPr>
        <w:pStyle w:val="NormalHanging12a"/>
      </w:pPr>
      <w:r w:rsidRPr="00023243">
        <w:t>J.</w:t>
      </w:r>
      <w:r w:rsidRPr="00023243">
        <w:tab/>
        <w:t>vzhledem k tomu, že splátky jistiny ze splatných cenných papírů nakoupených v rámci programu nákupu aktiv (APP) již nejsou reinvestovány a splátky jistiny ze splatných cenných papírů zakoupených v rámci nouzového pandemického programu nákupu aktiv (PEPP) již nebudou reinvestovány od ledna 2025;</w:t>
      </w:r>
    </w:p>
    <w:p w:rsidR="0032373C" w:rsidRPr="00023243" w:rsidRDefault="0032373C" w:rsidP="0032373C">
      <w:pPr>
        <w:pStyle w:val="NormalHanging12a"/>
      </w:pPr>
      <w:r w:rsidRPr="00023243">
        <w:t>K.</w:t>
      </w:r>
      <w:r w:rsidRPr="00023243">
        <w:tab/>
        <w:t>vzhledem k tomu, že bankovní rezervy držené úvěrovými institucemi v ECB dosáhly v prosinci 2024 výše 3 bilionů EUR;</w:t>
      </w:r>
    </w:p>
    <w:p w:rsidR="0032373C" w:rsidRPr="00023243" w:rsidRDefault="0032373C" w:rsidP="0032373C">
      <w:pPr>
        <w:pStyle w:val="NormalHanging12a"/>
      </w:pPr>
      <w:r w:rsidRPr="00023243">
        <w:t>L.</w:t>
      </w:r>
      <w:r w:rsidRPr="00023243">
        <w:tab/>
        <w:t>vzhledem k tomu, že euro je druhou nejdůležitější měnou na světě;</w:t>
      </w:r>
    </w:p>
    <w:p w:rsidR="0032373C" w:rsidRPr="00023243" w:rsidRDefault="0032373C" w:rsidP="0032373C">
      <w:pPr>
        <w:pStyle w:val="NormalHanging12a"/>
      </w:pPr>
      <w:r w:rsidRPr="00023243">
        <w:t>M.</w:t>
      </w:r>
      <w:r w:rsidRPr="00023243">
        <w:tab/>
        <w:t xml:space="preserve">vzhledem k tomu, že ECB je odpovědná Parlamentu jako orgánu EU zastupujícímu občany EU; vzhledem k tomu, že tato odpovědnost je udržována na nejvyšší úrovni, a to pravidelným pořádáním měnového dialogu, pravidelnými vystoupeními prezidentky </w:t>
      </w:r>
      <w:r w:rsidRPr="00023243">
        <w:lastRenderedPageBreak/>
        <w:t>ECB na plenárních zasedáních Parlamentu a různými návštěvami a setkáními poslanců Parlamentu a členů správní rady ECB;</w:t>
      </w:r>
    </w:p>
    <w:p w:rsidR="0032373C" w:rsidRPr="00023243" w:rsidRDefault="0032373C" w:rsidP="0032373C">
      <w:pPr>
        <w:pStyle w:val="Normal12a24b"/>
      </w:pPr>
      <w:r w:rsidRPr="00023243">
        <w:rPr>
          <w:rStyle w:val="BoldItalic"/>
        </w:rPr>
        <w:t>Obecný přehled</w:t>
      </w:r>
    </w:p>
    <w:p w:rsidR="0032373C" w:rsidRPr="00023243" w:rsidRDefault="0032373C" w:rsidP="0032373C">
      <w:pPr>
        <w:pStyle w:val="NormalHanging12a"/>
      </w:pPr>
      <w:r w:rsidRPr="00023243">
        <w:t>1.</w:t>
      </w:r>
      <w:r w:rsidRPr="00023243">
        <w:tab/>
        <w:t>oceňuje úlohu ECB při zajišťování měnové a finanční stability, která je nezbytným předpokladem růstu a hospodářské stability; zdůrazňuje, že ECB je v tomto ohledu orgánem odpovědným za udržování cenové stability v eurozóně; konstatuje, že „aniž je dotčen cíl cenové stability, podporuje ESCB obecné hospodářské politiky v Unii“, jak je stanoveno v článku 127 SFEU;</w:t>
      </w:r>
    </w:p>
    <w:p w:rsidR="0032373C" w:rsidRPr="00023243" w:rsidRDefault="0032373C" w:rsidP="0032373C">
      <w:pPr>
        <w:pStyle w:val="NormalHanging12a"/>
      </w:pPr>
      <w:r w:rsidRPr="00023243">
        <w:t>2.</w:t>
      </w:r>
      <w:r w:rsidRPr="00023243">
        <w:tab/>
        <w:t>upozorňuje, že statutární nezávislost ECB zakotvená ve Smlouvách je předpokladem pro to, aby mohla plnit svůj mandát, tj. udržovat cenovou stabilitu v eurozóně, a přispívat tak k hospodářskému růstu, konkurenceschopnosti a tvorbě pracovních míst;</w:t>
      </w:r>
    </w:p>
    <w:p w:rsidR="0032373C" w:rsidRPr="00023243" w:rsidRDefault="0032373C" w:rsidP="0032373C">
      <w:pPr>
        <w:pStyle w:val="NormalHanging12a"/>
      </w:pPr>
      <w:r w:rsidRPr="00023243">
        <w:t>3.</w:t>
      </w:r>
      <w:r w:rsidRPr="00023243">
        <w:tab/>
        <w:t>vyzdvihuje význam politické nezávislosti ECB, která by měla zůstat nedotčena; zdůrazňuje, že tato nezávislost vyžaduje, aby se ECB zdržela politických kroků; vítá institucionální spolupráci, a zdůrazňuje tak význam odpovídající úrovně odpovědnosti vůči Parlamentu;</w:t>
      </w:r>
    </w:p>
    <w:p w:rsidR="0032373C" w:rsidRPr="00023243" w:rsidRDefault="0032373C" w:rsidP="0032373C">
      <w:pPr>
        <w:pStyle w:val="NormalHanging12a"/>
      </w:pPr>
      <w:r w:rsidRPr="00023243">
        <w:t>4.</w:t>
      </w:r>
      <w:r w:rsidRPr="00023243">
        <w:tab/>
        <w:t>vyzývá ECB a Evropský parlament, aby plně využívaly ujednání o odpovědnosti a transparentnosti a pokud možno tato opatření dále posilovaly, aniž by tím byla dotčena nezávislost ECB;</w:t>
      </w:r>
    </w:p>
    <w:p w:rsidR="0032373C" w:rsidRPr="00023243" w:rsidRDefault="0032373C" w:rsidP="0032373C">
      <w:pPr>
        <w:pStyle w:val="NormalHanging12a"/>
      </w:pPr>
      <w:r w:rsidRPr="00023243">
        <w:t>5.</w:t>
      </w:r>
      <w:r w:rsidRPr="00023243">
        <w:tab/>
        <w:t>uznává úsilí ECB o to, aby inflaci ve střednědobém horizontu stlačila zpět na úroveň odpovídající 2% cíli;</w:t>
      </w:r>
    </w:p>
    <w:p w:rsidR="0032373C" w:rsidRPr="00023243" w:rsidRDefault="0032373C" w:rsidP="0032373C">
      <w:pPr>
        <w:pStyle w:val="NormalHanging12a"/>
      </w:pPr>
      <w:r w:rsidRPr="00023243">
        <w:t>6.</w:t>
      </w:r>
      <w:r w:rsidRPr="00023243">
        <w:tab/>
        <w:t>zdůrazňuje, že měnová politika ECB, kterou plní svůj mandát, a fiskální politiky by měly fungovat souběžně s cílem pomoci evropským občanům a domácnostem i malým podnikům;</w:t>
      </w:r>
    </w:p>
    <w:p w:rsidR="0032373C" w:rsidRPr="00023243" w:rsidRDefault="0032373C" w:rsidP="0032373C">
      <w:pPr>
        <w:pStyle w:val="NormalHanging12a"/>
      </w:pPr>
      <w:r w:rsidRPr="00023243">
        <w:t>7.</w:t>
      </w:r>
      <w:r w:rsidRPr="00023243">
        <w:tab/>
        <w:t>bere na vědomí rozdíly mezi členskými státy, pokud jde o míru inflace, jež je vyšší, nebo nižší než 2% cíl ECB; zdůrazňuje, že inflace snižuje kupní sílu fixních příjmů, úspor a důchodů a narušuje signalizační funkci cen, která zajišťuje účinné přidělování zdrojů, a má tudíž negativní dopad na hospodářskou stabilitu;</w:t>
      </w:r>
    </w:p>
    <w:p w:rsidR="0032373C" w:rsidRPr="00023243" w:rsidRDefault="0032373C" w:rsidP="0032373C">
      <w:pPr>
        <w:pStyle w:val="NormalHanging12a"/>
      </w:pPr>
      <w:r w:rsidRPr="00023243">
        <w:t>8.</w:t>
      </w:r>
      <w:r w:rsidRPr="00023243">
        <w:tab/>
        <w:t>zdůrazňuje, že inflace vyvolala „krizi životních nákladů“, jež postihla občany EU; zdůrazňuje proto, že je naprosto nezbytné snížit inflaci na cílovou míru 2 %; konstatuje, že vysoká míra inflace postihuje neúměrně domácnosti s nižšími příjmy, které vynakládají větší část svého rozpočtu na nejnutnější výdaje; zdůrazňuje, že snížení celkové inflace na příslušnou cílovou úroveň je proto důležité rovněž pro zachování sociální soudržnosti;</w:t>
      </w:r>
    </w:p>
    <w:p w:rsidR="0032373C" w:rsidRPr="00023243" w:rsidRDefault="0032373C" w:rsidP="0032373C">
      <w:pPr>
        <w:pStyle w:val="NormalHanging12a"/>
      </w:pPr>
      <w:r w:rsidRPr="00023243">
        <w:t>9.</w:t>
      </w:r>
      <w:r w:rsidRPr="00023243">
        <w:tab/>
        <w:t>vyjadřuje politování nad tím, že jádrová inflace zůstává v eurozóně vysoká (2,7 % v </w:t>
      </w:r>
      <w:r w:rsidR="000718F8">
        <w:t>prosinci</w:t>
      </w:r>
      <w:r w:rsidR="000718F8" w:rsidRPr="00023243">
        <w:t xml:space="preserve"> </w:t>
      </w:r>
      <w:r w:rsidRPr="00023243">
        <w:t>2024), když v </w:t>
      </w:r>
      <w:r w:rsidR="000718F8">
        <w:t>prosinci</w:t>
      </w:r>
      <w:r w:rsidR="000718F8" w:rsidRPr="00023243">
        <w:t xml:space="preserve"> </w:t>
      </w:r>
      <w:r w:rsidRPr="00023243">
        <w:t>2024 vykázal</w:t>
      </w:r>
      <w:r w:rsidR="000718F8">
        <w:t>y</w:t>
      </w:r>
      <w:r w:rsidRPr="00023243">
        <w:t xml:space="preserve">  míru jádrové inflace nižší než 2 %</w:t>
      </w:r>
      <w:r w:rsidR="000718F8">
        <w:t xml:space="preserve"> </w:t>
      </w:r>
      <w:r w:rsidR="000718F8" w:rsidRPr="000718F8">
        <w:t>pouze tři členské státy eurozóny</w:t>
      </w:r>
      <w:r w:rsidRPr="00023243">
        <w:t>; připomíná, že tato situace vytváří hospodářskou nejistotu, odrazuje od vytváření úspor a zvyšuje životní náklady občanů, což má dopad zejména na osoby s pevnými a omezenými příjmy;</w:t>
      </w:r>
    </w:p>
    <w:p w:rsidR="0032373C" w:rsidRPr="00023243" w:rsidRDefault="0032373C" w:rsidP="0032373C">
      <w:pPr>
        <w:pStyle w:val="NormalHanging12a"/>
      </w:pPr>
      <w:r w:rsidRPr="00023243">
        <w:t>10.</w:t>
      </w:r>
      <w:r w:rsidRPr="00023243">
        <w:tab/>
        <w:t xml:space="preserve">zdůrazňuje, že udržování úrokových sazeb na příliš vysoké úrovni by mohlo poškodit hospodářský růst; vyzývá ECB, aby nesnižovala úrokové sazby příliš rychle vzhledem </w:t>
      </w:r>
      <w:r w:rsidRPr="00023243">
        <w:lastRenderedPageBreak/>
        <w:t>k riziku, že by míra inflace mohla znovu začít růst, přičemž již nyní přesahuje 2 %; zdůrazňuje klíčovou úlohu inflačních očekávání a skutečnost, že nadměrná volatilita míry inflace by mohla inflační očekávání narušit; vyzývá ECB, aby posoudila dopad změn úrokových sazeb na různá hospodářská odvětví, mimo jiné na kapitálově náročná odvětví;</w:t>
      </w:r>
    </w:p>
    <w:p w:rsidR="0032373C" w:rsidRPr="00023243" w:rsidRDefault="0032373C" w:rsidP="0032373C">
      <w:pPr>
        <w:pStyle w:val="NormalHanging12a"/>
      </w:pPr>
      <w:r w:rsidRPr="00023243">
        <w:t>11.</w:t>
      </w:r>
      <w:r w:rsidRPr="00023243">
        <w:tab/>
        <w:t>uznává, že rozhodnutí v oblasti měnové politiky přijatá Radou guvernérů ECB od inflační krize, která vyplývala z růstu cen energií, nasměrovala inflaci na cestu, jež je slučitelná s dosažením cíle cenové stability a zároveň zabránila závažnému zhoršení hospodářské činnosti nebo zaměstnanosti;</w:t>
      </w:r>
    </w:p>
    <w:p w:rsidR="0032373C" w:rsidRPr="00023243" w:rsidRDefault="0032373C" w:rsidP="0032373C">
      <w:pPr>
        <w:pStyle w:val="NormalHanging12a"/>
      </w:pPr>
      <w:r w:rsidRPr="00023243">
        <w:t>12.</w:t>
      </w:r>
      <w:r w:rsidRPr="00023243">
        <w:tab/>
        <w:t xml:space="preserve">připomíná, že </w:t>
      </w:r>
      <w:proofErr w:type="spellStart"/>
      <w:r w:rsidRPr="00023243">
        <w:t>Eurosystém</w:t>
      </w:r>
      <w:proofErr w:type="spellEnd"/>
      <w:r w:rsidRPr="00023243">
        <w:t xml:space="preserve"> byl vybudován na principu měnové dominance, a že hospodářská a měnová unie proto vyžaduje stabilní fiskální politiky v členských státech, aby mohla reagovat na vnější otřesy; připomíná, že je třeba odpovídajícím způsobem provádět nový fiskální rámec, aby byla zajištěna důvěryhodnost fiskálních politik na úrovni hospodářské a měnové unie; konstatuje, že dostatečný fiskální prostor členským státům rovněž umožňuje reagovat na vnější otřesy; bere na vědomí, že nová fiskální pravidla v tomto ohledu poskytují flexibilitu; poukazuje na to, že členské státy mohou posílit svou odolnost vůči vnějším otřesům prostřednictvím fiskálních opatření, ale i reforem podporujících růst;</w:t>
      </w:r>
    </w:p>
    <w:p w:rsidR="0032373C" w:rsidRPr="00023243" w:rsidRDefault="0032373C" w:rsidP="0032373C">
      <w:pPr>
        <w:pStyle w:val="NormalHanging12a"/>
      </w:pPr>
      <w:r w:rsidRPr="00023243">
        <w:t>13.</w:t>
      </w:r>
      <w:r w:rsidRPr="00023243">
        <w:tab/>
        <w:t>připomíná, že úsilí ECB o udržení inflace na nízké úrovni a tím o ochranu příjmů může doplnit obezřetná fiskální politika členských států; zdůrazňuje, že řešení nadměrného schodku veřejných financí a veřejného dluhu má zásadní význam pro udržení stabilního hospodářství, udržitelného růstu a pro to, aby měly vlády k dispozici politický prostor pro reakci na nepříznivé otřesy; v této souvislosti bere na vědomí nedávná zjištění přezkumu finanční stability týkající se vysoké úrovně zadlužení členských států;</w:t>
      </w:r>
    </w:p>
    <w:p w:rsidR="0032373C" w:rsidRPr="00023243" w:rsidRDefault="0032373C" w:rsidP="0032373C">
      <w:pPr>
        <w:pStyle w:val="NormalHanging12a"/>
      </w:pPr>
      <w:r w:rsidRPr="00023243">
        <w:t>14.</w:t>
      </w:r>
      <w:r w:rsidRPr="00023243">
        <w:tab/>
        <w:t>konstatuje, že měnová politika ECB zaměřená na plnění jejího primárního mandátu musí být posuzována z hlediska proporcionality; podotýká, že při tomto posuzování se zohledňuje dopad opatření měnové politiky na širší ekonomiku a hospodářskou politiku;</w:t>
      </w:r>
    </w:p>
    <w:p w:rsidR="0032373C" w:rsidRPr="00023243" w:rsidRDefault="0032373C" w:rsidP="0032373C">
      <w:pPr>
        <w:pStyle w:val="Normal12a24b"/>
      </w:pPr>
      <w:r w:rsidRPr="00023243">
        <w:rPr>
          <w:rStyle w:val="BoldItalic"/>
        </w:rPr>
        <w:t>Měnová politika</w:t>
      </w:r>
    </w:p>
    <w:p w:rsidR="0032373C" w:rsidRPr="00023243" w:rsidRDefault="0032373C" w:rsidP="0032373C">
      <w:pPr>
        <w:pStyle w:val="NormalHanging12a"/>
      </w:pPr>
      <w:r w:rsidRPr="00023243">
        <w:t>15.</w:t>
      </w:r>
      <w:r w:rsidRPr="00023243">
        <w:tab/>
        <w:t>vřele vítá skutečnost, že celková inflace klesla ze své nejvyšší hodnoty 10,6 % v říjnu 2022 na 2,</w:t>
      </w:r>
      <w:r w:rsidR="000718F8">
        <w:t>4</w:t>
      </w:r>
      <w:r w:rsidR="000718F8" w:rsidRPr="00023243">
        <w:t> </w:t>
      </w:r>
      <w:r w:rsidRPr="00023243">
        <w:t>% v </w:t>
      </w:r>
      <w:r w:rsidR="000718F8">
        <w:t>prosinci</w:t>
      </w:r>
      <w:r w:rsidRPr="00023243">
        <w:t xml:space="preserve"> 2024;</w:t>
      </w:r>
    </w:p>
    <w:p w:rsidR="0032373C" w:rsidRPr="00023243" w:rsidRDefault="0032373C" w:rsidP="0032373C">
      <w:pPr>
        <w:pStyle w:val="NormalHanging12a"/>
      </w:pPr>
      <w:r w:rsidRPr="00023243">
        <w:t>16.</w:t>
      </w:r>
      <w:r w:rsidRPr="00023243">
        <w:tab/>
        <w:t>vítá pokles jádrové inflace z její nejvyšší hodnoty 7,6 % v březnu 2023 na 2,7 % v </w:t>
      </w:r>
      <w:r w:rsidR="000718F8">
        <w:t>prosinci</w:t>
      </w:r>
      <w:r w:rsidR="000718F8" w:rsidRPr="00023243">
        <w:t xml:space="preserve"> </w:t>
      </w:r>
      <w:r w:rsidRPr="00023243">
        <w:t>2024, avšak vyjadřuje znepokojení nad její historicky a setrvale vysokou úrovní; se znepokojením konstatuje, že vysoká jádrová inflace by se mohla promítnout do vyšších hodnot celkové inflace;</w:t>
      </w:r>
    </w:p>
    <w:p w:rsidR="0032373C" w:rsidRPr="00023243" w:rsidRDefault="0032373C" w:rsidP="0032373C">
      <w:pPr>
        <w:pStyle w:val="NormalHanging12a"/>
      </w:pPr>
      <w:r w:rsidRPr="00023243">
        <w:t>17.</w:t>
      </w:r>
      <w:r w:rsidRPr="00023243">
        <w:tab/>
        <w:t>konstatuje, že ECB trvalo více než tři roky, než dosáhla úrovně inflace, která odpovídá její cílové úrovni 2 %; v této souvislosti připomíná nesprávný předpoklad ECB, že inflace měla být pouze přechodná;</w:t>
      </w:r>
    </w:p>
    <w:p w:rsidR="0032373C" w:rsidRPr="00023243" w:rsidRDefault="0032373C" w:rsidP="0032373C">
      <w:pPr>
        <w:pStyle w:val="NormalHanging12a"/>
      </w:pPr>
      <w:r w:rsidRPr="00023243">
        <w:t>18.</w:t>
      </w:r>
      <w:r w:rsidRPr="00023243">
        <w:tab/>
        <w:t>zdůrazňuje, že jednou z hlavních hnacích sil prudkého nárůstu inflace byly otřesy na straně nabídky, které pocházely především z vnějších zdrojů; uznává, že měnová politika má přímější dopad na míru inflace, pokud vychází především z faktorů poptávky, a nikoli z faktorů nabídky;</w:t>
      </w:r>
    </w:p>
    <w:p w:rsidR="0032373C" w:rsidRPr="00023243" w:rsidRDefault="0032373C" w:rsidP="0032373C">
      <w:pPr>
        <w:pStyle w:val="NormalHanging12a"/>
      </w:pPr>
      <w:r w:rsidRPr="00023243">
        <w:lastRenderedPageBreak/>
        <w:t>19.</w:t>
      </w:r>
      <w:r w:rsidRPr="00023243">
        <w:tab/>
        <w:t>vítá úsilí ECB o pravidelnou aktualizaci jejích modelů; vyzývá ECB, aby nadále přezkoumávala a zlepšovala své modely a jejich úlohu při tvorbě politiky vzhledem k jejich nedostatečné výkonnosti v posledních letech, aby bylo možné se poučit z předchozích krizí a zejména lépe rozlišovat mezi tím, zda zdroje inflace vycházejí z poptávky, nebo z nabídky; zdůrazňuje, že hospodářské otřesy na straně nabídky mohou být způsobeny mnoha zdroji, mimo jiné geopolitickými událostmi, katastrofami souvisejícími s klimatem nebo přírodními katastrofami a kybernetickými útoky;</w:t>
      </w:r>
    </w:p>
    <w:p w:rsidR="0032373C" w:rsidRPr="00023243" w:rsidRDefault="0032373C" w:rsidP="0032373C">
      <w:pPr>
        <w:pStyle w:val="NormalHanging12a"/>
      </w:pPr>
      <w:r w:rsidRPr="00023243">
        <w:t>20.</w:t>
      </w:r>
      <w:r w:rsidRPr="00023243">
        <w:tab/>
        <w:t>zdůrazňuje, že z důvodu reprezentativnosti i srovnatelnosti mezi zeměmi eurozóny je žádoucí zahrnout do indexu HISC nemovitosti obývané vlastníky (OOH); vyzývá k urychlení plánu s cílem zajistit rychlé začlenění OOH do indexu HISC; vítá závazek Rady guvernérů ECB, že bude jak ve svých hodnoceních měnové politiky, tak v rozhodnutích týkající se této politiky zohledňovat také dostupná inflační opatření ohledně čtvrtletního samostatného indexu OOH;</w:t>
      </w:r>
    </w:p>
    <w:p w:rsidR="0032373C" w:rsidRPr="00023243" w:rsidRDefault="0032373C" w:rsidP="0032373C">
      <w:pPr>
        <w:pStyle w:val="NormalHanging12a"/>
      </w:pPr>
      <w:r w:rsidRPr="00023243">
        <w:t>21.</w:t>
      </w:r>
      <w:r w:rsidRPr="00023243">
        <w:tab/>
        <w:t>podporuje rozhodnutí ECB omezit své programy nákupu aktiv, aby vyvážila podmínky likvidity na trhu a míru inflace, vzhledem k přebytečné likviditě na trhu a klesajícím úrovním inflace; oceňuje, že portfolio aktiv v rámci programů ECB zaměřených na jejich nákup má od roku 2023 klesající tendenci;</w:t>
      </w:r>
    </w:p>
    <w:p w:rsidR="0032373C" w:rsidRPr="00023243" w:rsidRDefault="0032373C" w:rsidP="0032373C">
      <w:pPr>
        <w:pStyle w:val="NormalHanging12a"/>
      </w:pPr>
      <w:r w:rsidRPr="00023243">
        <w:t>22.</w:t>
      </w:r>
      <w:r w:rsidRPr="00023243">
        <w:tab/>
        <w:t xml:space="preserve">zdůrazňuje, že v roce 2023 vedly úroky z držby bankovních rezerv komerčními bankami k tomu, že </w:t>
      </w:r>
      <w:proofErr w:type="spellStart"/>
      <w:r w:rsidRPr="00023243">
        <w:t>Eurosystém</w:t>
      </w:r>
      <w:proofErr w:type="spellEnd"/>
      <w:r w:rsidRPr="00023243">
        <w:t xml:space="preserve"> vyplatil úvěrovým institucím úroky ve výši 120 miliard EUR, tj. nejméně 0,8 % HDP eurozóny; domnívá se, že se jedná o významnou dotaci pro bankovní sektor; žádá ECB, aby tento problém zmírnila;</w:t>
      </w:r>
    </w:p>
    <w:p w:rsidR="0032373C" w:rsidRPr="00023243" w:rsidRDefault="0032373C" w:rsidP="0032373C">
      <w:pPr>
        <w:pStyle w:val="NormalHanging12a"/>
      </w:pPr>
      <w:r w:rsidRPr="00023243">
        <w:t>23.</w:t>
      </w:r>
      <w:r w:rsidRPr="00023243">
        <w:tab/>
        <w:t>zdůrazňuje, že programy nákupu aktiv ECB představují nekonvenční strategie použitelné pouze v dobách krize, které v případě, že nebudou pečlivě provedeny, mohou být v rozporu se zákazem měnového financování podle čl. 123 odst. 1 SFEU; vyzývá ECB, aby i nadále sledovala postupné snižování své rozvahy s cílem omezit dlouhodobé, potenciálně destabilizující účinky v eurozóně a zároveň sledovala růst a konkurenceschopnost hospodářství EU; vyzývá ECB, aby sdílela poznatky o dopadu programů nákupu aktiv na fungování finančních trhů, mj. o jejich dopadu na penzijní fondy a spolupráci v oblasti penzijního pojištění;</w:t>
      </w:r>
    </w:p>
    <w:p w:rsidR="0032373C" w:rsidRPr="00023243" w:rsidRDefault="0032373C" w:rsidP="0032373C">
      <w:pPr>
        <w:pStyle w:val="NormalHanging12a"/>
      </w:pPr>
      <w:r w:rsidRPr="00023243">
        <w:t>24.</w:t>
      </w:r>
      <w:r w:rsidRPr="00023243">
        <w:tab/>
        <w:t xml:space="preserve">zdůrazňuje, že z hlediska plnění mandátu ECB v oblasti cenové stability je zásadní rovnoměrná transmise měnové politiky; poukazuje na to, že nadměrné rozdíly ve výnosech státních dluhopisů způsobují, že úvěrové podmínky nejsou v souladu s jednotnou transmisí měnové politiky a nesmírně ztěžují snižování veřejného dluhu; bere na vědomí zavedení nástroje na ochranu transmise (TPI) v červenci 2022 jako nástroje na podporu účinné transmise měnové politiky; </w:t>
      </w:r>
    </w:p>
    <w:p w:rsidR="0032373C" w:rsidRPr="00023243" w:rsidRDefault="0032373C" w:rsidP="0032373C">
      <w:pPr>
        <w:pStyle w:val="NormalHanging12a"/>
      </w:pPr>
      <w:r w:rsidRPr="00023243">
        <w:t>25.</w:t>
      </w:r>
      <w:r w:rsidRPr="00023243">
        <w:tab/>
        <w:t>zdůrazňuje, že rozdílné úrokové sazby v eurozóně jsou – při neexistenci vážných finančních potíží – obecně důsledkem odlišných rizikových přirážek u státních dluhopisů, které mimo jiné odrážejí různé přístupy k fiskální politice; konstatuje, že intervence pomocí nástroje TPI mohou zakrývat základní fiskální výzvy; zdůrazňuje, že nástroj TPI by měl být za podmínek stanovených ECB používán pouze k řešení napětí na finančních trzích, které nesouvisí se základními ekonomickými veličinami; vyzývá členské státy, aby prováděly odpovědnou fiskální politiku a zajistily udržitelnou úroveň zadlužení, a zajistily si tak odolnost vůči současným i budoucím otřesům;</w:t>
      </w:r>
    </w:p>
    <w:p w:rsidR="0032373C" w:rsidRPr="00023243" w:rsidRDefault="0032373C" w:rsidP="0032373C">
      <w:pPr>
        <w:pStyle w:val="Normal12a24b"/>
        <w:keepNext/>
      </w:pPr>
      <w:r w:rsidRPr="00023243">
        <w:rPr>
          <w:rStyle w:val="BoldItalic"/>
        </w:rPr>
        <w:lastRenderedPageBreak/>
        <w:t xml:space="preserve">Digitální euro </w:t>
      </w:r>
    </w:p>
    <w:p w:rsidR="0032373C" w:rsidRDefault="0032373C" w:rsidP="0032373C">
      <w:pPr>
        <w:pStyle w:val="NormalHanging12a"/>
      </w:pPr>
      <w:r w:rsidRPr="00023243">
        <w:t>26.</w:t>
      </w:r>
      <w:r w:rsidRPr="00023243">
        <w:tab/>
      </w:r>
      <w:r w:rsidR="000718F8" w:rsidRPr="000718F8">
        <w:t xml:space="preserve">bere na vědomí </w:t>
      </w:r>
      <w:r w:rsidRPr="00023243">
        <w:t xml:space="preserve"> pokrok, kterého ECB dosáhla v projektu digitálního eura, </w:t>
      </w:r>
      <w:r w:rsidR="009523A6">
        <w:t>a vítá</w:t>
      </w:r>
      <w:r w:rsidR="009523A6" w:rsidRPr="00023243">
        <w:t> </w:t>
      </w:r>
      <w:r w:rsidRPr="00023243">
        <w:t xml:space="preserve">probíhající dialog mezi ECB a Parlamentem; zdůrazňuje, že </w:t>
      </w:r>
      <w:r w:rsidR="000718F8" w:rsidRPr="000718F8">
        <w:t xml:space="preserve">jakékoli </w:t>
      </w:r>
      <w:r w:rsidRPr="00023243">
        <w:t xml:space="preserve">digitální euro by mělo evropským občanům přinášet jasnou přidanou hodnotu, mj. posílenou strategickou autonomii v oblasti plateb, vyšší úroveň hospodářské soutěže na trhu s maloobchodními platbami, potenciál pro podporu inovací v oblasti plateb a financí, lepší finanční začlenění a spolehlivý systém záložních plateb </w:t>
      </w:r>
      <w:proofErr w:type="spellStart"/>
      <w:r w:rsidRPr="00023243">
        <w:t>offline</w:t>
      </w:r>
      <w:proofErr w:type="spellEnd"/>
      <w:r w:rsidRPr="00023243">
        <w:t xml:space="preserve">; vyzývá ECB, aby </w:t>
      </w:r>
      <w:r w:rsidR="000718F8" w:rsidRPr="000718F8">
        <w:t xml:space="preserve">tyto přínosy jasně prokázala předtím, než </w:t>
      </w:r>
      <w:proofErr w:type="spellStart"/>
      <w:r w:rsidR="000718F8" w:rsidRPr="000718F8">
        <w:t>spolunormotvůrci</w:t>
      </w:r>
      <w:proofErr w:type="spellEnd"/>
      <w:r w:rsidR="000718F8" w:rsidRPr="000718F8">
        <w:t xml:space="preserve"> EU rozhodnou, zda bude zavedeno digitální euro, které zajistí </w:t>
      </w:r>
      <w:r w:rsidRPr="00023243">
        <w:t xml:space="preserve"> správnou rovnováhu, mj. pokud jde o omezení držby, obavy o soukromí, hospodářskou soutěž se soukromými platebními řešeními a použitelnost v podnikatelském kontextu;</w:t>
      </w:r>
    </w:p>
    <w:p w:rsidR="000718F8" w:rsidRPr="00023243" w:rsidRDefault="009523A6" w:rsidP="0032373C">
      <w:pPr>
        <w:pStyle w:val="NormalHanging12a"/>
      </w:pPr>
      <w:r>
        <w:t>27</w:t>
      </w:r>
      <w:r w:rsidR="000718F8" w:rsidRPr="000718F8">
        <w:t>.</w:t>
      </w:r>
      <w:r w:rsidR="000718F8" w:rsidRPr="000718F8">
        <w:tab/>
        <w:t xml:space="preserve">požaduje, aby rozhodnutí o emisi digitálního eura nebyla přijímána výhradně Radou guvernérů ECB; domnívá se naopak, že rozhodnutí, zda zavést, či nezavést digitální euro, je v konečném důsledku politickým rozhodnutím, které musí přijmout normotvůrci EU, a to vzhledem k potenciálně hlubokému dopadu </w:t>
      </w:r>
      <w:r>
        <w:t>takového</w:t>
      </w:r>
      <w:r w:rsidR="000718F8" w:rsidRPr="000718F8">
        <w:t xml:space="preserve"> rozhodnutí na širokou škálu oblastí EU, včetně soukromí, ochrany spotřebitele, finanční stability, finanční politiky a dalších oblastí, které přesahují přísně vymezený rámec měnové politiky;</w:t>
      </w:r>
    </w:p>
    <w:p w:rsidR="0032373C" w:rsidRPr="00023243" w:rsidRDefault="0032373C" w:rsidP="0032373C">
      <w:pPr>
        <w:pStyle w:val="NormalHanging12a"/>
      </w:pPr>
      <w:r w:rsidRPr="00023243">
        <w:t>2</w:t>
      </w:r>
      <w:r w:rsidR="009523A6">
        <w:t>8</w:t>
      </w:r>
      <w:r w:rsidRPr="00023243">
        <w:t>.</w:t>
      </w:r>
      <w:r w:rsidRPr="00023243">
        <w:tab/>
        <w:t xml:space="preserve">domnívá se, že digitální euro bude úspěšné pouze tehdy, poskytne-li evropským občanům srozumitelnou hmatatelnou přidanou hodnotu; konstatuje, že v současné době velký počet evropských občanů buď o projektu digitálního eura vůbec neslyšel, nebo vůči němu zůstává skeptický; </w:t>
      </w:r>
    </w:p>
    <w:p w:rsidR="0032373C" w:rsidRPr="00023243" w:rsidRDefault="0032373C" w:rsidP="0032373C">
      <w:pPr>
        <w:pStyle w:val="NormalHanging12a"/>
      </w:pPr>
      <w:r w:rsidRPr="00023243">
        <w:t>2</w:t>
      </w:r>
      <w:r w:rsidR="009523A6">
        <w:t>9</w:t>
      </w:r>
      <w:r w:rsidRPr="00023243">
        <w:t>.</w:t>
      </w:r>
      <w:r w:rsidRPr="00023243">
        <w:tab/>
      </w:r>
      <w:r w:rsidR="000718F8" w:rsidRPr="000718F8">
        <w:t xml:space="preserve">opakuje, že hotovost by měla zůstat vždy široce dostupná a přístupná a bude zachována pluralita platebních prostředků; vítá v této souvislosti návrh nařízení o používání </w:t>
      </w:r>
      <w:proofErr w:type="spellStart"/>
      <w:r w:rsidR="000718F8" w:rsidRPr="000718F8">
        <w:t>eurohotovosti</w:t>
      </w:r>
      <w:proofErr w:type="spellEnd"/>
      <w:r w:rsidR="000718F8" w:rsidRPr="000718F8">
        <w:t xml:space="preserve"> jako zákonného platidla;</w:t>
      </w:r>
    </w:p>
    <w:p w:rsidR="0032373C" w:rsidRPr="00023243" w:rsidRDefault="009523A6" w:rsidP="0032373C">
      <w:pPr>
        <w:pStyle w:val="NormalHanging12a"/>
      </w:pPr>
      <w:r>
        <w:t>30</w:t>
      </w:r>
      <w:r w:rsidR="0032373C" w:rsidRPr="00023243">
        <w:t>.</w:t>
      </w:r>
      <w:r w:rsidR="0032373C" w:rsidRPr="00023243">
        <w:tab/>
        <w:t>zdůrazňuje, že je zapotřebí, aby se na bankovní sektor pověřený prováděním projektu digitálního eura v praxi uplatňoval model kompenzace založený na nákladech; připomíná, že tento model kompenzace musí zaručit, že euro bude pro uživatele bez poplatků;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1</w:t>
      </w:r>
      <w:r w:rsidRPr="00023243">
        <w:t>.</w:t>
      </w:r>
      <w:r w:rsidRPr="00023243">
        <w:tab/>
        <w:t>vyzývá ECB, aby řádně zohlednila obavy o finanční stabilitu a potenciální změny ve struktuře finančního sektoru vyplývající ze zavedení digitálního eura; připomíná význam omezení držby, neboť je třeba, aby pro rozvahy bank nevznikala další rizika, zejména během krizí;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2</w:t>
      </w:r>
      <w:r w:rsidRPr="00023243">
        <w:t>.</w:t>
      </w:r>
      <w:r w:rsidRPr="00023243">
        <w:tab/>
        <w:t>vyzývá ECB, aby považovala za prioritu spolehlivé záruky ochrany soukromí a zavedla je jako zlatý standard pro ochranu soukromí digitální měny centrální banky a dále aby zajistila důvěru veřejnosti a reagovala na obavy občanů týkající se ochrany a autonomie údajů;</w:t>
      </w:r>
    </w:p>
    <w:p w:rsidR="0032373C" w:rsidRPr="00023243" w:rsidRDefault="0032373C" w:rsidP="0032373C">
      <w:pPr>
        <w:pStyle w:val="Normal12a24b"/>
        <w:keepNext/>
      </w:pPr>
      <w:r w:rsidRPr="00023243">
        <w:rPr>
          <w:rStyle w:val="BoldItalic"/>
        </w:rPr>
        <w:t>Vedlejší cíle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3</w:t>
      </w:r>
      <w:r w:rsidRPr="00023243">
        <w:t>.</w:t>
      </w:r>
      <w:r w:rsidRPr="00023243">
        <w:tab/>
        <w:t xml:space="preserve">zdůrazňuje, že jak je v současnosti stanoveno ve Smlouvách, jsou vedlejší cíle EU neurčité; konstatuje, že vedlejší cíle ECB doplňují svým podpůrným charakterem prvořadý mandát; podle Smluv má EU za cíl podporovat mír, své hodnoty a blahobyt svých obyvatel, vytvářet vyvážený hospodářský růst a cenovou stabilitu a vysoce </w:t>
      </w:r>
      <w:r w:rsidRPr="00023243">
        <w:lastRenderedPageBreak/>
        <w:t>konkurenceschopné sociálně tržní hospodářství usilující o plnou zaměstnanost a sociální pokrok a zasazovat se o vysokou úroveň ochrany a zlepšování kvality životního prostředí;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4</w:t>
      </w:r>
      <w:r w:rsidRPr="00023243">
        <w:t>.</w:t>
      </w:r>
      <w:r w:rsidRPr="00023243">
        <w:tab/>
        <w:t>připomíná, že aniž je dotčen prvořadý mandát ECB, Smlouvy vyžadují, aby ECB podporovala obecné hospodářské politiky Unie; vyzývá ECB, aby se při výkladu svých vedlejších cílů a jejich plnění držela svého mandátu; zdůrazňuje, že překročení tohoto mandátu se dotýká nezávislosti ECB; má za to, že zachování cenové stability a stabilních makroekonomických podmínek přispívá k vytvoření podmínek vhodných pro provádění cílů obecné hospodářské politiky EU;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5</w:t>
      </w:r>
      <w:r w:rsidRPr="00023243">
        <w:t>.</w:t>
      </w:r>
      <w:r w:rsidRPr="00023243">
        <w:tab/>
        <w:t>zdůrazňuje, že vedlejších cílů ECB lze nejlépe dosáhnout ve stabilním makroekonomickém prostředí založeném na předvídatelných úrovních cen, jež podporují investice; vyzývá ECB, aby do své výroční zprávy začlenila zvláštní kapitolu, v níž vysvětlí, jak své vedlejší cíle interpretuje a provádí;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6</w:t>
      </w:r>
      <w:r w:rsidRPr="00023243">
        <w:t>.</w:t>
      </w:r>
      <w:r w:rsidRPr="00023243">
        <w:tab/>
        <w:t>zdůrazňuje, že ECB by měla zabránit narušení signalizační funkce cen, která zajišťuje efektivní přidělování zdrojů; vyzývá ECB, aby dále posoudila, do jaké míry je její schopnost udržovat cenovou stabilitu dotčena změnou klimatu;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7</w:t>
      </w:r>
      <w:r w:rsidRPr="00023243">
        <w:t>.</w:t>
      </w:r>
      <w:r w:rsidRPr="00023243">
        <w:tab/>
      </w:r>
      <w:r w:rsidR="000718F8" w:rsidRPr="000718F8">
        <w:t>vyzývá ECB, aby ve svých měnových operacích respektovala přístup vycházející z tržní neutrality, přičemž konstatuje, že ECB uznává, že tržní neutralita je spíše funkčním nástrojem než právním požadavkem;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8</w:t>
      </w:r>
      <w:r w:rsidRPr="00023243">
        <w:t>.</w:t>
      </w:r>
      <w:r w:rsidRPr="00023243">
        <w:tab/>
        <w:t>konstatuje, že opatření ECB k dekarbonizaci držby podnikových dluhopisů se striktně neřídila tržně neutrálním přístupem;</w:t>
      </w:r>
    </w:p>
    <w:p w:rsidR="0032373C" w:rsidRPr="00023243" w:rsidRDefault="0032373C" w:rsidP="0032373C">
      <w:pPr>
        <w:pStyle w:val="NormalHanging12a"/>
      </w:pPr>
      <w:r w:rsidRPr="00023243">
        <w:t>3</w:t>
      </w:r>
      <w:r w:rsidR="009523A6">
        <w:t>9</w:t>
      </w:r>
      <w:r w:rsidRPr="00023243">
        <w:t>.</w:t>
      </w:r>
      <w:r w:rsidRPr="00023243">
        <w:tab/>
        <w:t>vyzývá ECB, aby přezkoumala své politiky a zajistila, aby příslušná opatření podporovala konkurenceschopnost EU, avšak aby v žádném případě neohrožovala prvořadý cíl ECB;</w:t>
      </w:r>
    </w:p>
    <w:p w:rsidR="0032373C" w:rsidRPr="00023243" w:rsidRDefault="009523A6" w:rsidP="0032373C">
      <w:pPr>
        <w:pStyle w:val="NormalHanging12a"/>
      </w:pPr>
      <w:r>
        <w:t>40</w:t>
      </w:r>
      <w:r w:rsidR="0032373C" w:rsidRPr="00023243">
        <w:t>.</w:t>
      </w:r>
      <w:r w:rsidR="0032373C" w:rsidRPr="00023243">
        <w:tab/>
        <w:t xml:space="preserve">vyzývá ECB, aby s využitím všech dostupných nástrojů zajistila, aby banky braly vážně všechna finanční a vnější rizika, včetně klimatických a geopolitických rizik; vítá opatření ECB k dalšímu zlepšování nástrojů a schopností </w:t>
      </w:r>
      <w:proofErr w:type="spellStart"/>
      <w:r w:rsidR="0032373C" w:rsidRPr="00023243">
        <w:t>Eurosystému</w:t>
      </w:r>
      <w:proofErr w:type="spellEnd"/>
      <w:r w:rsidR="0032373C" w:rsidRPr="00023243">
        <w:t xml:space="preserve"> v oblasti posuzování rizik s cílem lépe zohledňovat rizika související s klimatem a životním prostředím, zejména proto, že změna klimatu a extrémní povětrnostní jevy by mohly vést k větší volatilitě cen, především v zemědělsko-potravinářském odvětví; vyzývá ECB, aby pokračovala v práci na zátěžových testech, které byly vyvinuty s cílem posoudit odolnost bank a podniků vůči riziku transformace v souvislosti se změnou klimatu;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1</w:t>
      </w:r>
      <w:r w:rsidRPr="00023243">
        <w:t>.</w:t>
      </w:r>
      <w:r w:rsidRPr="00023243">
        <w:tab/>
        <w:t>bere na vědomí plán v oblasti klimatu a přírody na období 2024–2025; vyzývá ECB, aby na období 2025–2030 vypracovala geopolitický plán, jenž umožní lépe chápat důsledky války a konfliktů pro cenovou stabilitu a přistupovat ke všem potenciálním zdrojům vnějších otřesů stejně;</w:t>
      </w:r>
    </w:p>
    <w:p w:rsidR="0032373C" w:rsidRPr="00023243" w:rsidRDefault="0032373C" w:rsidP="0032373C">
      <w:pPr>
        <w:pStyle w:val="Normal12a24b"/>
        <w:keepNext/>
      </w:pPr>
      <w:r w:rsidRPr="00023243">
        <w:rPr>
          <w:rStyle w:val="BoldItalic"/>
        </w:rPr>
        <w:t>Ostatní aspekty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2</w:t>
      </w:r>
      <w:r w:rsidRPr="00023243">
        <w:t>.</w:t>
      </w:r>
      <w:r w:rsidRPr="00023243">
        <w:tab/>
        <w:t xml:space="preserve">zdůrazňuje, že silnější mezinárodní úloha eura by vedla k nižším úrokovým sazbám v eurozóně, lepšímu postavení EU na mezinárodní scéně a větší makroekonomické </w:t>
      </w:r>
      <w:r w:rsidRPr="00023243">
        <w:lastRenderedPageBreak/>
        <w:t>stabilitě; připomíná, že posílení mezinárodní úlohy eura by přispělo k posílení strategické autonomie EU;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3</w:t>
      </w:r>
      <w:r w:rsidRPr="00023243">
        <w:t>.</w:t>
      </w:r>
      <w:r w:rsidRPr="00023243">
        <w:tab/>
        <w:t>vyzývá ECB, aby se zaměřovala na posilování mezinárodní úlohy eura s cílem zvýšit jeho atraktivitu jako rezervní měny a aby podporovala trhem iniciovaný posun tímto směrem; konstatuje, že mezinárodní úlohu eura by mohlo podpořit dokončení hospodářské a měnové unie;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4</w:t>
      </w:r>
      <w:r w:rsidRPr="00023243">
        <w:t>.</w:t>
      </w:r>
      <w:r w:rsidRPr="00023243">
        <w:tab/>
        <w:t>bere na vědomí, že ECB podporuje vytvoření plnohodnotného evropského systému pojištění vkladů; uznává, že sdílení rizik a snižování rizik jsou vzájemně propojeny;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5</w:t>
      </w:r>
      <w:r w:rsidRPr="00023243">
        <w:t>.</w:t>
      </w:r>
      <w:r w:rsidRPr="00023243">
        <w:tab/>
        <w:t>vítá pozornost, kterou ECB věnuje rizikům kybernetických útoků; vyzývá ECB, aby zajistila bezpečnost a ochranu měnového systému pro jeho uživatele, zejména s ohledem na současný geopolitický vývoj;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6</w:t>
      </w:r>
      <w:r w:rsidRPr="00023243">
        <w:t>.</w:t>
      </w:r>
      <w:r w:rsidRPr="00023243">
        <w:tab/>
        <w:t xml:space="preserve">domnívá se, že podmínkou účinné měnové politiky a odolného finančního systému je finanční stabilita; vítá dokončení rámce </w:t>
      </w:r>
      <w:proofErr w:type="spellStart"/>
      <w:r w:rsidRPr="00023243">
        <w:t>Basel</w:t>
      </w:r>
      <w:proofErr w:type="spellEnd"/>
      <w:r w:rsidRPr="00023243">
        <w:t xml:space="preserve"> III a jeho provádění od 1. ledna 2025, neboť má potenciál posílit v tomto ohledu odolnost bankovního sektoru; bere však na vědomí zpoždění při provádění a nejasnosti, pokud jde o provádění ze strany některých dalších jurisdikcí, což vede k nerovným podmínkám na celosvětové úrovni;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7</w:t>
      </w:r>
      <w:r w:rsidRPr="00023243">
        <w:t>.</w:t>
      </w:r>
      <w:r w:rsidRPr="00023243">
        <w:tab/>
        <w:t>sdílí obavy ECB, pokud jde o vzestup stínového bankovnictví a riziko, jež může představovat pro finanční stabilitu;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8</w:t>
      </w:r>
      <w:r w:rsidRPr="00023243">
        <w:t>.</w:t>
      </w:r>
      <w:r w:rsidRPr="00023243">
        <w:tab/>
        <w:t>vybízí ke spolupráci s členskými státy a národními centrálními bankami na programech finanční gramotnosti, které umožní jednotlivcům i podnikům přijímat informovaná finanční rozhodnutí;</w:t>
      </w:r>
    </w:p>
    <w:p w:rsidR="0032373C" w:rsidRPr="00023243" w:rsidRDefault="0032373C" w:rsidP="0032373C">
      <w:pPr>
        <w:pStyle w:val="NormalHanging12a"/>
      </w:pPr>
      <w:r w:rsidRPr="00023243">
        <w:t>4</w:t>
      </w:r>
      <w:r w:rsidR="009523A6">
        <w:t>9</w:t>
      </w:r>
      <w:r w:rsidRPr="00023243">
        <w:t>.</w:t>
      </w:r>
      <w:r w:rsidRPr="00023243">
        <w:tab/>
        <w:t xml:space="preserve">vyjadřuje politování nad tím, že mezi členy Výkonné rady a Rady guvernérů ECB jsou pouze dvě ženy; připomíná, že nominace kandidátů do Výkonné rady by měly být </w:t>
      </w:r>
      <w:proofErr w:type="spellStart"/>
      <w:r w:rsidRPr="00023243">
        <w:t>genderově</w:t>
      </w:r>
      <w:proofErr w:type="spellEnd"/>
      <w:r w:rsidRPr="00023243">
        <w:t xml:space="preserve"> vyvážené a že Parlamentu by měly být předkládány užší seznamy; naléhavě vyzývá členské státy eurozóny, aby ve svých postupech jmenování zlepšily zásady rovnosti žen a mužů tak, aby měla obě pohlaví, pokud jde o působení v pozici guvernérů národních centrálních bank, rovné příležitosti;</w:t>
      </w:r>
    </w:p>
    <w:p w:rsidR="0032373C" w:rsidRPr="00023243" w:rsidRDefault="009523A6" w:rsidP="0032373C">
      <w:pPr>
        <w:pStyle w:val="NormalHanging12a"/>
      </w:pPr>
      <w:r>
        <w:t>50</w:t>
      </w:r>
      <w:r w:rsidR="0032373C" w:rsidRPr="00023243">
        <w:t>.</w:t>
      </w:r>
      <w:r w:rsidR="0032373C" w:rsidRPr="00023243">
        <w:tab/>
        <w:t>opakuje, že jmenování do ECB by se mělo zakládat na objektivních postupech posouzení zásluh a kompetencí;</w:t>
      </w:r>
    </w:p>
    <w:p w:rsidR="0032373C" w:rsidRPr="00023243" w:rsidRDefault="0032373C" w:rsidP="0032373C">
      <w:pPr>
        <w:pStyle w:val="NormalHanging12a"/>
      </w:pPr>
      <w:r w:rsidRPr="00023243">
        <w:t>5</w:t>
      </w:r>
      <w:r w:rsidR="009523A6">
        <w:t>1</w:t>
      </w:r>
      <w:r w:rsidRPr="00023243">
        <w:t>.</w:t>
      </w:r>
      <w:r w:rsidRPr="00023243">
        <w:tab/>
        <w:t>podporuje cíl ECB zvýšit zastoupení žen tím, že jim bude nápomocna, aby se v této oblasti prosazovaly; vítá proto iniciativy, jako je stipendium ECB pro ženy v ekonomice;</w:t>
      </w:r>
    </w:p>
    <w:p w:rsidR="0032373C" w:rsidRPr="00023243" w:rsidRDefault="0032373C" w:rsidP="0032373C">
      <w:pPr>
        <w:pStyle w:val="NormalHanging12a"/>
      </w:pPr>
      <w:r w:rsidRPr="00023243">
        <w:t>5</w:t>
      </w:r>
      <w:r w:rsidR="009523A6">
        <w:t>2</w:t>
      </w:r>
      <w:r w:rsidRPr="00023243">
        <w:t>.</w:t>
      </w:r>
      <w:r w:rsidRPr="00023243">
        <w:tab/>
        <w:t>zdůrazňuje, že nejnovější přezkum finanční stability, který ECB zveřejnila v listopadu 2024, upozorňuje na obavy z možné cenové bubliny v souvislosti s umělou inteligencí, neboť prospěch z umělé existence se koncentruje u několika velkých firem;</w:t>
      </w:r>
    </w:p>
    <w:p w:rsidR="0032373C" w:rsidRPr="00023243" w:rsidRDefault="0032373C" w:rsidP="0032373C">
      <w:pPr>
        <w:pStyle w:val="NormalHanging12a"/>
      </w:pPr>
      <w:r w:rsidRPr="00023243">
        <w:t>5</w:t>
      </w:r>
      <w:r w:rsidR="009523A6">
        <w:t>3</w:t>
      </w:r>
      <w:r w:rsidRPr="00023243">
        <w:t>.</w:t>
      </w:r>
      <w:r w:rsidRPr="00023243">
        <w:tab/>
        <w:t xml:space="preserve">vyzývá k dalšímu zlepšení interního rámce ECB pro </w:t>
      </w:r>
      <w:proofErr w:type="spellStart"/>
      <w:r w:rsidRPr="00023243">
        <w:t>whistleblowing</w:t>
      </w:r>
      <w:proofErr w:type="spellEnd"/>
      <w:r w:rsidRPr="00023243">
        <w:t>, aby byl v souladu se směrnicí EU o ochraně oznamovatelů;</w:t>
      </w:r>
    </w:p>
    <w:p w:rsidR="0032373C" w:rsidRPr="00023243" w:rsidRDefault="0032373C" w:rsidP="0032373C">
      <w:pPr>
        <w:pStyle w:val="NormalHanging12a"/>
      </w:pPr>
      <w:r w:rsidRPr="00023243">
        <w:t>5</w:t>
      </w:r>
      <w:r w:rsidR="009523A6">
        <w:t>4</w:t>
      </w:r>
      <w:r w:rsidRPr="00023243">
        <w:t>.</w:t>
      </w:r>
      <w:r w:rsidRPr="00023243">
        <w:tab/>
        <w:t>vyzývá ESCB, aby pokračoval v dialozích s vnitrostátními parlamenty a dále je posiloval, neboť se domnívá, že se tím posílí jeho legitimita a politiky;</w:t>
      </w:r>
    </w:p>
    <w:p w:rsidR="0032373C" w:rsidRPr="00023243" w:rsidRDefault="0032373C" w:rsidP="0032373C">
      <w:pPr>
        <w:pStyle w:val="NormalCenter12a"/>
      </w:pPr>
      <w:r w:rsidRPr="00023243">
        <w:lastRenderedPageBreak/>
        <w:t>°</w:t>
      </w:r>
    </w:p>
    <w:p w:rsidR="0032373C" w:rsidRPr="00023243" w:rsidRDefault="0032373C" w:rsidP="0032373C">
      <w:pPr>
        <w:pStyle w:val="NormalCenter12a"/>
      </w:pPr>
      <w:r w:rsidRPr="00023243">
        <w:t>°</w:t>
      </w:r>
      <w:r w:rsidRPr="00023243">
        <w:tab/>
        <w:t>°</w:t>
      </w:r>
    </w:p>
    <w:p w:rsidR="00023243" w:rsidRPr="00023243" w:rsidRDefault="0032373C" w:rsidP="00023243">
      <w:pPr>
        <w:pStyle w:val="NormalHanging12a"/>
      </w:pPr>
      <w:r w:rsidRPr="00023243">
        <w:t>5</w:t>
      </w:r>
      <w:r w:rsidR="009523A6">
        <w:t>5</w:t>
      </w:r>
      <w:r w:rsidRPr="00023243">
        <w:t>.</w:t>
      </w:r>
      <w:r w:rsidRPr="00023243">
        <w:tab/>
        <w:t>pověřuje svou předsedkyni, aby předala toto usnesení Radě, Komisi a Evropské centrální bance.</w:t>
      </w:r>
    </w:p>
    <w:p w:rsidR="00E365E1" w:rsidRPr="00023243" w:rsidRDefault="00E365E1" w:rsidP="00D67A29"/>
    <w:sectPr w:rsidR="00E365E1" w:rsidRPr="00023243" w:rsidSect="000232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A29" w:rsidRPr="00023243" w:rsidRDefault="00D67A29">
      <w:r w:rsidRPr="00023243">
        <w:separator/>
      </w:r>
    </w:p>
  </w:endnote>
  <w:endnote w:type="continuationSeparator" w:id="0">
    <w:p w:rsidR="00D67A29" w:rsidRPr="00023243" w:rsidRDefault="00D67A29">
      <w:r w:rsidRPr="000232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2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2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2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A29" w:rsidRPr="00023243" w:rsidRDefault="00D67A29">
      <w:r w:rsidRPr="00023243">
        <w:separator/>
      </w:r>
    </w:p>
  </w:footnote>
  <w:footnote w:type="continuationSeparator" w:id="0">
    <w:p w:rsidR="00D67A29" w:rsidRPr="00023243" w:rsidRDefault="00D67A29">
      <w:r w:rsidRPr="00023243">
        <w:continuationSeparator/>
      </w:r>
    </w:p>
  </w:footnote>
  <w:footnote w:id="1">
    <w:p w:rsidR="0032373C" w:rsidRPr="00023243" w:rsidRDefault="0032373C" w:rsidP="00023243">
      <w:pPr>
        <w:pStyle w:val="FootnoteText"/>
        <w:ind w:left="567" w:hanging="567"/>
        <w:rPr>
          <w:sz w:val="24"/>
          <w:lang w:val="cs-CZ"/>
        </w:rPr>
      </w:pPr>
      <w:r w:rsidRPr="00023243">
        <w:rPr>
          <w:rStyle w:val="FootnoteReference"/>
          <w:sz w:val="24"/>
          <w:lang w:val="cs-CZ"/>
        </w:rPr>
        <w:footnoteRef/>
      </w:r>
      <w:r w:rsidR="00023243" w:rsidRPr="00023243">
        <w:rPr>
          <w:sz w:val="24"/>
          <w:lang w:val="cs-CZ"/>
        </w:rPr>
        <w:t xml:space="preserve"> </w:t>
      </w:r>
      <w:r w:rsidR="00023243" w:rsidRPr="00023243">
        <w:rPr>
          <w:sz w:val="24"/>
          <w:lang w:val="cs-CZ"/>
        </w:rPr>
        <w:tab/>
      </w:r>
      <w:proofErr w:type="spellStart"/>
      <w:r w:rsidR="00CE6465">
        <w:rPr>
          <w:sz w:val="24"/>
          <w:lang w:val="cs-CZ"/>
        </w:rPr>
        <w:t>Úř</w:t>
      </w:r>
      <w:proofErr w:type="spellEnd"/>
      <w:r w:rsidR="00CE6465">
        <w:rPr>
          <w:sz w:val="24"/>
          <w:lang w:val="cs-CZ"/>
        </w:rPr>
        <w:t xml:space="preserve">. </w:t>
      </w:r>
      <w:proofErr w:type="spellStart"/>
      <w:proofErr w:type="gramStart"/>
      <w:r w:rsidR="00CE6465">
        <w:rPr>
          <w:sz w:val="24"/>
          <w:lang w:val="cs-CZ"/>
        </w:rPr>
        <w:t>věst</w:t>
      </w:r>
      <w:proofErr w:type="spellEnd"/>
      <w:proofErr w:type="gramEnd"/>
      <w:r w:rsidR="00CE6465">
        <w:rPr>
          <w:sz w:val="24"/>
          <w:lang w:val="cs-CZ"/>
        </w:rPr>
        <w:t xml:space="preserve">. C 283, </w:t>
      </w:r>
      <w:proofErr w:type="gramStart"/>
      <w:r w:rsidR="00CE6465">
        <w:rPr>
          <w:sz w:val="24"/>
          <w:lang w:val="cs-CZ"/>
        </w:rPr>
        <w:t>11.8.</w:t>
      </w:r>
      <w:r w:rsidRPr="00023243">
        <w:rPr>
          <w:sz w:val="24"/>
          <w:lang w:val="cs-CZ"/>
        </w:rPr>
        <w:t>2023</w:t>
      </w:r>
      <w:proofErr w:type="gramEnd"/>
      <w:r w:rsidRPr="00023243">
        <w:rPr>
          <w:sz w:val="24"/>
          <w:lang w:val="cs-CZ"/>
        </w:rPr>
        <w:t>, s. 40.</w:t>
      </w:r>
    </w:p>
  </w:footnote>
  <w:footnote w:id="2">
    <w:p w:rsidR="0032373C" w:rsidRPr="00023243" w:rsidRDefault="0032373C" w:rsidP="00023243">
      <w:pPr>
        <w:pStyle w:val="FootnoteText"/>
        <w:ind w:left="567" w:hanging="567"/>
        <w:rPr>
          <w:sz w:val="24"/>
          <w:lang w:val="cs-CZ"/>
        </w:rPr>
      </w:pPr>
      <w:r w:rsidRPr="00023243">
        <w:rPr>
          <w:rStyle w:val="FootnoteReference"/>
          <w:sz w:val="24"/>
          <w:lang w:val="cs-CZ"/>
        </w:rPr>
        <w:footnoteRef/>
      </w:r>
      <w:r w:rsidR="00023243" w:rsidRPr="00023243">
        <w:rPr>
          <w:sz w:val="24"/>
          <w:lang w:val="cs-CZ"/>
        </w:rPr>
        <w:t xml:space="preserve"> </w:t>
      </w:r>
      <w:r w:rsidR="00023243" w:rsidRPr="00023243">
        <w:rPr>
          <w:sz w:val="24"/>
          <w:lang w:val="cs-CZ"/>
        </w:rPr>
        <w:tab/>
      </w:r>
      <w:r w:rsidRPr="00023243">
        <w:rPr>
          <w:sz w:val="24"/>
          <w:lang w:val="cs-CZ"/>
        </w:rPr>
        <w:t xml:space="preserve">Přijaté texty, </w:t>
      </w:r>
      <w:proofErr w:type="spellStart"/>
      <w:r w:rsidRPr="00023243">
        <w:rPr>
          <w:sz w:val="24"/>
          <w:lang w:val="cs-CZ"/>
        </w:rPr>
        <w:t>Úř</w:t>
      </w:r>
      <w:proofErr w:type="spellEnd"/>
      <w:r w:rsidRPr="00023243">
        <w:rPr>
          <w:sz w:val="24"/>
          <w:lang w:val="cs-CZ"/>
        </w:rPr>
        <w:t xml:space="preserve">. </w:t>
      </w:r>
      <w:proofErr w:type="spellStart"/>
      <w:proofErr w:type="gramStart"/>
      <w:r w:rsidRPr="00023243">
        <w:rPr>
          <w:sz w:val="24"/>
          <w:lang w:val="cs-CZ"/>
        </w:rPr>
        <w:t>věst</w:t>
      </w:r>
      <w:proofErr w:type="spellEnd"/>
      <w:proofErr w:type="gramEnd"/>
      <w:r w:rsidRPr="00023243">
        <w:rPr>
          <w:sz w:val="24"/>
          <w:lang w:val="cs-CZ"/>
        </w:rPr>
        <w:t xml:space="preserve">. C, C/2024/6738, </w:t>
      </w:r>
      <w:proofErr w:type="gramStart"/>
      <w:r w:rsidRPr="00023243">
        <w:rPr>
          <w:sz w:val="24"/>
          <w:lang w:val="cs-CZ"/>
        </w:rPr>
        <w:t>26.11.2024</w:t>
      </w:r>
      <w:proofErr w:type="gramEnd"/>
      <w:r w:rsidRPr="00023243">
        <w:rPr>
          <w:sz w:val="24"/>
          <w:lang w:val="cs-CZ"/>
        </w:rPr>
        <w:t xml:space="preserve">, ELI: </w:t>
      </w:r>
      <w:hyperlink r:id="rId1" w:history="1">
        <w:r w:rsidRPr="00C448EF">
          <w:rPr>
            <w:rStyle w:val="Hyperlink"/>
            <w:sz w:val="24"/>
            <w:lang w:val="cs-CZ"/>
          </w:rPr>
          <w:t>http://data.europa.eu/eli/C/2024/6738/oj</w:t>
        </w:r>
      </w:hyperlink>
      <w:r w:rsidRPr="00023243">
        <w:rPr>
          <w:sz w:val="24"/>
          <w:lang w:val="cs-CZ"/>
        </w:rPr>
        <w:t>.</w:t>
      </w:r>
    </w:p>
  </w:footnote>
  <w:footnote w:id="3">
    <w:p w:rsidR="0032373C" w:rsidRPr="00C448EF" w:rsidRDefault="0032373C" w:rsidP="00023243">
      <w:pPr>
        <w:pStyle w:val="FootnoteText"/>
        <w:ind w:left="567" w:hanging="567"/>
        <w:rPr>
          <w:sz w:val="24"/>
          <w:lang w:val="cs-CZ"/>
        </w:rPr>
      </w:pPr>
      <w:r w:rsidRPr="00C448EF">
        <w:rPr>
          <w:rStyle w:val="FootnoteReference"/>
          <w:sz w:val="24"/>
          <w:lang w:val="cs-CZ"/>
        </w:rPr>
        <w:footnoteRef/>
      </w:r>
      <w:r w:rsidR="00023243" w:rsidRPr="00C448EF">
        <w:rPr>
          <w:sz w:val="24"/>
          <w:lang w:val="cs-CZ"/>
        </w:rPr>
        <w:t xml:space="preserve"> </w:t>
      </w:r>
      <w:r w:rsidR="00023243" w:rsidRPr="00C448EF">
        <w:rPr>
          <w:sz w:val="24"/>
          <w:lang w:val="cs-CZ"/>
        </w:rPr>
        <w:tab/>
      </w:r>
      <w:proofErr w:type="spellStart"/>
      <w:r w:rsidRPr="00C448EF">
        <w:rPr>
          <w:sz w:val="24"/>
          <w:lang w:val="cs-CZ"/>
        </w:rPr>
        <w:t>Úř</w:t>
      </w:r>
      <w:proofErr w:type="spellEnd"/>
      <w:r w:rsidRPr="00C448EF">
        <w:rPr>
          <w:sz w:val="24"/>
          <w:lang w:val="cs-CZ"/>
        </w:rPr>
        <w:t xml:space="preserve">. </w:t>
      </w:r>
      <w:proofErr w:type="gramStart"/>
      <w:r w:rsidRPr="00C448EF">
        <w:rPr>
          <w:sz w:val="24"/>
          <w:lang w:val="cs-CZ"/>
        </w:rPr>
        <w:t>věst</w:t>
      </w:r>
      <w:proofErr w:type="gramEnd"/>
      <w:r w:rsidRPr="00C448EF">
        <w:rPr>
          <w:sz w:val="24"/>
          <w:lang w:val="cs-CZ"/>
        </w:rPr>
        <w:t>. L</w:t>
      </w:r>
      <w:r w:rsidR="00C448EF">
        <w:rPr>
          <w:sz w:val="24"/>
          <w:lang w:val="cs-CZ"/>
        </w:rPr>
        <w:t>, 2024/</w:t>
      </w:r>
      <w:r w:rsidRPr="00C448EF">
        <w:rPr>
          <w:sz w:val="24"/>
          <w:lang w:val="cs-CZ"/>
        </w:rPr>
        <w:t xml:space="preserve">1623, </w:t>
      </w:r>
      <w:proofErr w:type="gramStart"/>
      <w:r w:rsidRPr="00C448EF">
        <w:rPr>
          <w:sz w:val="24"/>
          <w:lang w:val="cs-CZ"/>
        </w:rPr>
        <w:t>19.6.2024</w:t>
      </w:r>
      <w:proofErr w:type="gramEnd"/>
      <w:r w:rsidRPr="00C448EF">
        <w:rPr>
          <w:sz w:val="24"/>
          <w:lang w:val="cs-CZ"/>
        </w:rPr>
        <w:t xml:space="preserve">, ELI: </w:t>
      </w:r>
      <w:hyperlink r:id="rId2" w:history="1">
        <w:r w:rsidRPr="00C448EF">
          <w:rPr>
            <w:rStyle w:val="Hyperlink"/>
            <w:sz w:val="24"/>
            <w:lang w:val="cs-CZ"/>
          </w:rPr>
          <w:t>http://data.europa.eu/el</w:t>
        </w:r>
        <w:r w:rsidRPr="00C448EF">
          <w:rPr>
            <w:rStyle w:val="Hyperlink"/>
            <w:sz w:val="24"/>
            <w:lang w:val="cs-CZ"/>
          </w:rPr>
          <w:t>i</w:t>
        </w:r>
        <w:r w:rsidRPr="00C448EF">
          <w:rPr>
            <w:rStyle w:val="Hyperlink"/>
            <w:sz w:val="24"/>
            <w:lang w:val="cs-CZ"/>
          </w:rPr>
          <w:t>/reg/2024/1623/oj</w:t>
        </w:r>
      </w:hyperlink>
      <w:r w:rsidRPr="00C448EF">
        <w:rPr>
          <w:sz w:val="24"/>
          <w:lang w:val="cs-CZ"/>
        </w:rPr>
        <w:t>.</w:t>
      </w:r>
    </w:p>
  </w:footnote>
  <w:footnote w:id="4">
    <w:p w:rsidR="0032373C" w:rsidRPr="00023243" w:rsidRDefault="0032373C" w:rsidP="00023243">
      <w:pPr>
        <w:pStyle w:val="FootnoteText"/>
        <w:ind w:left="567" w:hanging="567"/>
        <w:rPr>
          <w:sz w:val="24"/>
          <w:lang w:val="cs-CZ"/>
        </w:rPr>
      </w:pPr>
      <w:r w:rsidRPr="00C448EF">
        <w:rPr>
          <w:rStyle w:val="FootnoteReference"/>
          <w:sz w:val="24"/>
          <w:lang w:val="cs-CZ"/>
        </w:rPr>
        <w:footnoteRef/>
      </w:r>
      <w:r w:rsidR="00023243" w:rsidRPr="00C448EF">
        <w:rPr>
          <w:sz w:val="24"/>
          <w:lang w:val="cs-CZ"/>
        </w:rPr>
        <w:t xml:space="preserve"> </w:t>
      </w:r>
      <w:r w:rsidR="00023243" w:rsidRPr="00C448EF">
        <w:rPr>
          <w:sz w:val="24"/>
          <w:lang w:val="cs-CZ"/>
        </w:rPr>
        <w:tab/>
      </w:r>
      <w:proofErr w:type="spellStart"/>
      <w:r w:rsidRPr="00C448EF">
        <w:rPr>
          <w:sz w:val="24"/>
          <w:lang w:val="cs-CZ"/>
        </w:rPr>
        <w:t>Úř</w:t>
      </w:r>
      <w:proofErr w:type="spellEnd"/>
      <w:r w:rsidRPr="00C448EF">
        <w:rPr>
          <w:sz w:val="24"/>
          <w:lang w:val="cs-CZ"/>
        </w:rPr>
        <w:t xml:space="preserve">. </w:t>
      </w:r>
      <w:proofErr w:type="gramStart"/>
      <w:r w:rsidRPr="00C448EF">
        <w:rPr>
          <w:sz w:val="24"/>
          <w:lang w:val="cs-CZ"/>
        </w:rPr>
        <w:t>věst</w:t>
      </w:r>
      <w:proofErr w:type="gramEnd"/>
      <w:r w:rsidRPr="00C448EF">
        <w:rPr>
          <w:sz w:val="24"/>
          <w:lang w:val="cs-CZ"/>
        </w:rPr>
        <w:t>. L</w:t>
      </w:r>
      <w:r w:rsidR="00C448EF">
        <w:rPr>
          <w:sz w:val="24"/>
          <w:lang w:val="cs-CZ"/>
        </w:rPr>
        <w:t>,</w:t>
      </w:r>
      <w:bookmarkStart w:id="7" w:name="_GoBack"/>
      <w:bookmarkEnd w:id="7"/>
      <w:r w:rsidRPr="00C448EF">
        <w:rPr>
          <w:sz w:val="24"/>
          <w:lang w:val="cs-CZ"/>
        </w:rPr>
        <w:t xml:space="preserve"> </w:t>
      </w:r>
      <w:r w:rsidR="00C448EF">
        <w:rPr>
          <w:sz w:val="24"/>
          <w:lang w:val="cs-CZ"/>
        </w:rPr>
        <w:t>2024/</w:t>
      </w:r>
      <w:r w:rsidRPr="00C448EF">
        <w:rPr>
          <w:sz w:val="24"/>
          <w:lang w:val="cs-CZ"/>
        </w:rPr>
        <w:t xml:space="preserve">1619, </w:t>
      </w:r>
      <w:proofErr w:type="gramStart"/>
      <w:r w:rsidRPr="00C448EF">
        <w:rPr>
          <w:sz w:val="24"/>
          <w:lang w:val="cs-CZ"/>
        </w:rPr>
        <w:t>19.6.2024</w:t>
      </w:r>
      <w:proofErr w:type="gramEnd"/>
      <w:r w:rsidRPr="00C448EF">
        <w:rPr>
          <w:sz w:val="24"/>
          <w:lang w:val="cs-CZ"/>
        </w:rPr>
        <w:t xml:space="preserve">, ELI: </w:t>
      </w:r>
      <w:hyperlink r:id="rId3" w:history="1">
        <w:r w:rsidRPr="00C448EF">
          <w:rPr>
            <w:rStyle w:val="Hyperlink"/>
            <w:sz w:val="24"/>
            <w:lang w:val="cs-CZ"/>
          </w:rPr>
          <w:t>http://data.europa.eu/e</w:t>
        </w:r>
        <w:r w:rsidRPr="00C448EF">
          <w:rPr>
            <w:rStyle w:val="Hyperlink"/>
            <w:sz w:val="24"/>
            <w:lang w:val="cs-CZ"/>
          </w:rPr>
          <w:t>l</w:t>
        </w:r>
        <w:r w:rsidRPr="00C448EF">
          <w:rPr>
            <w:rStyle w:val="Hyperlink"/>
            <w:sz w:val="24"/>
            <w:lang w:val="cs-CZ"/>
          </w:rPr>
          <w:t>i/dir/2024/1619/oj</w:t>
        </w:r>
      </w:hyperlink>
      <w:r w:rsidRPr="00C448EF">
        <w:rPr>
          <w:sz w:val="24"/>
          <w:lang w:val="cs-CZ"/>
        </w:rPr>
        <w:t>.</w:t>
      </w:r>
    </w:p>
  </w:footnote>
  <w:footnote w:id="5">
    <w:p w:rsidR="0032373C" w:rsidRPr="00023243" w:rsidRDefault="0032373C" w:rsidP="00023243">
      <w:pPr>
        <w:pStyle w:val="FootnoteText"/>
        <w:ind w:left="567" w:hanging="567"/>
        <w:rPr>
          <w:sz w:val="24"/>
          <w:lang w:val="cs-CZ"/>
        </w:rPr>
      </w:pPr>
      <w:r w:rsidRPr="00023243">
        <w:rPr>
          <w:rStyle w:val="FootnoteReference"/>
          <w:sz w:val="24"/>
          <w:lang w:val="cs-CZ"/>
        </w:rPr>
        <w:footnoteRef/>
      </w:r>
      <w:r w:rsidR="00023243" w:rsidRPr="00023243">
        <w:rPr>
          <w:sz w:val="24"/>
          <w:lang w:val="cs-CZ"/>
        </w:rPr>
        <w:t xml:space="preserve"> </w:t>
      </w:r>
      <w:r w:rsidR="00023243" w:rsidRPr="00023243">
        <w:rPr>
          <w:sz w:val="24"/>
          <w:lang w:val="cs-CZ"/>
        </w:rPr>
        <w:tab/>
      </w:r>
      <w:hyperlink r:id="rId4" w:anchor="toc6" w:history="1">
        <w:r w:rsidRPr="00023243">
          <w:rPr>
            <w:rStyle w:val="Hyperlink"/>
            <w:sz w:val="24"/>
            <w:lang w:val="cs-CZ"/>
          </w:rPr>
          <w:t>https://www.ecb.europa.eu/press/projections/html/ecb.projections202412</w:t>
        </w:r>
        <w:r w:rsidR="009523A6">
          <w:rPr>
            <w:rStyle w:val="Hyperlink"/>
            <w:sz w:val="24"/>
            <w:lang w:val="cs-CZ"/>
          </w:rPr>
          <w:br/>
        </w:r>
        <w:r w:rsidRPr="00023243">
          <w:rPr>
            <w:rStyle w:val="Hyperlink"/>
            <w:sz w:val="24"/>
            <w:lang w:val="cs-CZ"/>
          </w:rPr>
          <w:t>_eurosystemstaff~71a06224a5.cs.html</w:t>
        </w:r>
      </w:hyperlink>
      <w:r w:rsidRPr="0002324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2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2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32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5"/>
    <w:docVar w:name="dvlangue" w:val="CS"/>
    <w:docVar w:name="dvnumam" w:val="0"/>
    <w:docVar w:name="dvpe" w:val="765.056"/>
    <w:docVar w:name="dvrapporteur" w:val="Zpravodajka: "/>
    <w:docVar w:name="dvtitre" w:val="Usnesení Evropského parlamentu ze dne.... 2025 o Evropské centrální bance – výroční zpráva za rok 2024(2024/2054(INI))"/>
  </w:docVars>
  <w:rsids>
    <w:rsidRoot w:val="00D67A29"/>
    <w:rsid w:val="00002272"/>
    <w:rsid w:val="00023243"/>
    <w:rsid w:val="00064002"/>
    <w:rsid w:val="000677B9"/>
    <w:rsid w:val="000718F8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373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3A6"/>
    <w:rsid w:val="00981893"/>
    <w:rsid w:val="00A1687D"/>
    <w:rsid w:val="00A43E52"/>
    <w:rsid w:val="00A4678D"/>
    <w:rsid w:val="00A778C7"/>
    <w:rsid w:val="00A92F2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8EF"/>
    <w:rsid w:val="00C61C0C"/>
    <w:rsid w:val="00C941CB"/>
    <w:rsid w:val="00CC2357"/>
    <w:rsid w:val="00CE6465"/>
    <w:rsid w:val="00CF071A"/>
    <w:rsid w:val="00D058B8"/>
    <w:rsid w:val="00D56C11"/>
    <w:rsid w:val="00D67A29"/>
    <w:rsid w:val="00D834A0"/>
    <w:rsid w:val="00D872DF"/>
    <w:rsid w:val="00D91E21"/>
    <w:rsid w:val="00DA7FCD"/>
    <w:rsid w:val="00E0254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44E31"/>
  <w15:chartTrackingRefBased/>
  <w15:docId w15:val="{15C669AB-7892-4854-9927-2927BD20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373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32373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32373C"/>
    <w:pPr>
      <w:spacing w:after="240"/>
      <w:jc w:val="center"/>
    </w:pPr>
  </w:style>
  <w:style w:type="character" w:customStyle="1" w:styleId="BoldItalic">
    <w:name w:val="BoldItalic"/>
    <w:uiPriority w:val="1"/>
    <w:rsid w:val="0032373C"/>
    <w:rPr>
      <w:b/>
      <w:i/>
      <w:u w:val="none"/>
    </w:rPr>
  </w:style>
  <w:style w:type="character" w:customStyle="1" w:styleId="Italic">
    <w:name w:val="Italic"/>
    <w:uiPriority w:val="1"/>
    <w:rsid w:val="0032373C"/>
    <w:rPr>
      <w:i/>
    </w:rPr>
  </w:style>
  <w:style w:type="paragraph" w:customStyle="1" w:styleId="Normal12a24b">
    <w:name w:val="Normal12a24b"/>
    <w:basedOn w:val="Normal"/>
    <w:rsid w:val="0032373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32373C"/>
    <w:rPr>
      <w:color w:val="0000FF"/>
      <w:u w:val="single"/>
    </w:rPr>
  </w:style>
  <w:style w:type="character" w:styleId="FollowedHyperlink">
    <w:name w:val="FollowedHyperlink"/>
    <w:basedOn w:val="DefaultParagraphFont"/>
    <w:rsid w:val="00C448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%3A52023PC0369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19/oj" TargetMode="External"/><Relationship Id="rId2" Type="http://schemas.openxmlformats.org/officeDocument/2006/relationships/hyperlink" Target="http://data.europa.eu/eli/reg/2024/1623/oj" TargetMode="External"/><Relationship Id="rId1" Type="http://schemas.openxmlformats.org/officeDocument/2006/relationships/hyperlink" Target="http://data.europa.eu/eli/C/2024/6738/oj" TargetMode="External"/><Relationship Id="rId4" Type="http://schemas.openxmlformats.org/officeDocument/2006/relationships/hyperlink" Target="https://www.ecb.europa.eu/press/projections/html/ecb.projections202412_eurosystemstaff~71a06224a5.c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C89A4-42C8-4F66-A648-97C6DBFDF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3527</Words>
  <Characters>20295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SEMEDO Teresa</cp:lastModifiedBy>
  <cp:revision>2</cp:revision>
  <cp:lastPrinted>2004-11-19T15:42:00Z</cp:lastPrinted>
  <dcterms:created xsi:type="dcterms:W3CDTF">2025-03-25T15:42:00Z</dcterms:created>
  <dcterms:modified xsi:type="dcterms:W3CDTF">2025-03-25T15:42:00Z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A10-0003/2025</vt:lpwstr>
  </property>
  <property fmtid="{D5CDD505-2E9C-101B-9397-08002B2CF9AE}" pid="4" name="&lt;Type&gt;">
    <vt:lpwstr>RR</vt:lpwstr>
  </property>
</Properties>
</file>