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450D" w:rsidTr="0010095E">
        <w:trPr>
          <w:trHeight w:hRule="exact" w:val="1418"/>
        </w:trPr>
        <w:tc>
          <w:tcPr>
            <w:tcW w:w="6804" w:type="dxa"/>
            <w:shd w:val="clear" w:color="auto" w:fill="auto"/>
            <w:vAlign w:val="center"/>
          </w:tcPr>
          <w:p w:rsidR="00751A4A" w:rsidRPr="00ED450D" w:rsidRDefault="00DC12E0" w:rsidP="0010095E">
            <w:pPr>
              <w:pStyle w:val="EPName"/>
            </w:pPr>
            <w:r w:rsidRPr="00ED450D">
              <w:t>Ευρωπαϊκό Κοινοβούλιο</w:t>
            </w:r>
          </w:p>
          <w:p w:rsidR="00751A4A" w:rsidRPr="00ED450D" w:rsidRDefault="005F1B17" w:rsidP="005F1B17">
            <w:pPr>
              <w:pStyle w:val="EPTerm"/>
              <w:rPr>
                <w:rStyle w:val="HideTWBExt"/>
                <w:noProof w:val="0"/>
                <w:vanish w:val="0"/>
                <w:color w:val="auto"/>
              </w:rPr>
            </w:pPr>
            <w:r w:rsidRPr="00ED450D">
              <w:t>2024</w:t>
            </w:r>
            <w:r w:rsidR="00817416" w:rsidRPr="00ED450D">
              <w:t>-202</w:t>
            </w:r>
            <w:r w:rsidRPr="00ED450D">
              <w:t>9</w:t>
            </w:r>
          </w:p>
        </w:tc>
        <w:tc>
          <w:tcPr>
            <w:tcW w:w="2268" w:type="dxa"/>
            <w:shd w:val="clear" w:color="auto" w:fill="auto"/>
          </w:tcPr>
          <w:p w:rsidR="00751A4A" w:rsidRPr="00ED450D" w:rsidRDefault="00187494" w:rsidP="0010095E">
            <w:pPr>
              <w:pStyle w:val="EPLogo"/>
            </w:pPr>
            <w:r w:rsidRPr="00ED45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450D" w:rsidRDefault="00D058B8" w:rsidP="004C5D52">
      <w:pPr>
        <w:pStyle w:val="LineTop"/>
      </w:pPr>
    </w:p>
    <w:p w:rsidR="00680577" w:rsidRPr="00ED450D" w:rsidRDefault="00DC12E0" w:rsidP="00680577">
      <w:pPr>
        <w:pStyle w:val="EPBodyTA1"/>
      </w:pPr>
      <w:r w:rsidRPr="00ED450D">
        <w:t>ΚΕΙΜΕΝΑ ΠΟΥ ΕΓΚΡΙΘΗΚΑΝ</w:t>
      </w:r>
    </w:p>
    <w:p w:rsidR="00D058B8" w:rsidRPr="00ED450D" w:rsidRDefault="00D058B8" w:rsidP="00D058B8">
      <w:pPr>
        <w:pStyle w:val="LineBottom"/>
      </w:pPr>
    </w:p>
    <w:p w:rsidR="00DC12E0" w:rsidRPr="00ED450D" w:rsidRDefault="00DC12E0" w:rsidP="00DC12E0">
      <w:pPr>
        <w:pStyle w:val="ATHeading1"/>
      </w:pPr>
      <w:bookmarkStart w:id="0" w:name="TANumber"/>
      <w:r w:rsidRPr="00ED450D">
        <w:t>P10_TA(2025)00</w:t>
      </w:r>
      <w:r w:rsidR="00B951E0" w:rsidRPr="003E37EC">
        <w:t>11</w:t>
      </w:r>
      <w:bookmarkEnd w:id="0"/>
    </w:p>
    <w:p w:rsidR="00DC12E0" w:rsidRPr="00ED450D" w:rsidRDefault="00DC12E0" w:rsidP="00DC12E0">
      <w:pPr>
        <w:pStyle w:val="ATHeading2"/>
      </w:pPr>
      <w:bookmarkStart w:id="1" w:name="title"/>
      <w:r w:rsidRPr="00ED450D">
        <w:t>Ευρωπαϊκή Κεντρική Τράπεζα - ετήσια έκθεση 2024</w:t>
      </w:r>
      <w:bookmarkEnd w:id="1"/>
    </w:p>
    <w:p w:rsidR="00DC12E0" w:rsidRPr="00ED450D" w:rsidRDefault="00DC12E0" w:rsidP="00DC12E0">
      <w:pPr>
        <w:rPr>
          <w:i/>
          <w:vanish/>
        </w:rPr>
      </w:pPr>
      <w:r w:rsidRPr="00ED450D">
        <w:rPr>
          <w:i/>
        </w:rPr>
        <w:fldChar w:fldCharType="begin"/>
      </w:r>
      <w:r w:rsidRPr="00ED450D">
        <w:rPr>
          <w:i/>
        </w:rPr>
        <w:instrText xml:space="preserve"> TC"(</w:instrText>
      </w:r>
      <w:bookmarkStart w:id="2" w:name="DocNumber"/>
      <w:r w:rsidRPr="00ED450D">
        <w:rPr>
          <w:i/>
        </w:rPr>
        <w:instrText>A10-0003/2025</w:instrText>
      </w:r>
      <w:bookmarkEnd w:id="2"/>
      <w:r w:rsidRPr="00ED450D">
        <w:rPr>
          <w:i/>
        </w:rPr>
        <w:instrText xml:space="preserve"> - Εισηγήτρια: Anouk Van Brug)"\l3 \n&gt; \* MERGEFORMAT </w:instrText>
      </w:r>
      <w:r w:rsidRPr="00ED450D">
        <w:rPr>
          <w:i/>
        </w:rPr>
        <w:fldChar w:fldCharType="end"/>
      </w:r>
    </w:p>
    <w:p w:rsidR="00DC12E0" w:rsidRPr="00ED450D" w:rsidRDefault="00DC12E0" w:rsidP="00DC12E0">
      <w:pPr>
        <w:rPr>
          <w:vanish/>
        </w:rPr>
      </w:pPr>
      <w:bookmarkStart w:id="3" w:name="Commission"/>
      <w:r w:rsidRPr="00ED450D">
        <w:rPr>
          <w:vanish/>
        </w:rPr>
        <w:t>Επιτροπή Οικονομικής και Νομισματικής Πολιτικής</w:t>
      </w:r>
      <w:bookmarkEnd w:id="3"/>
    </w:p>
    <w:p w:rsidR="00DC12E0" w:rsidRPr="00ED450D" w:rsidRDefault="00DC12E0" w:rsidP="00DC12E0">
      <w:pPr>
        <w:rPr>
          <w:vanish/>
        </w:rPr>
      </w:pPr>
      <w:bookmarkStart w:id="4" w:name="PE"/>
      <w:r w:rsidRPr="00ED450D">
        <w:rPr>
          <w:vanish/>
        </w:rPr>
        <w:t>PE765.056</w:t>
      </w:r>
      <w:bookmarkEnd w:id="4"/>
    </w:p>
    <w:p w:rsidR="00DC12E0" w:rsidRPr="00ED450D" w:rsidRDefault="00DC12E0" w:rsidP="00DC12E0">
      <w:pPr>
        <w:pStyle w:val="ATHeading3"/>
      </w:pPr>
      <w:bookmarkStart w:id="5" w:name="Sujet"/>
      <w:r w:rsidRPr="00ED450D">
        <w:t xml:space="preserve">Ψήφισμα του Ευρωπαϊκού Κοινοβουλίου </w:t>
      </w:r>
      <w:r w:rsidR="00881D7A">
        <w:t xml:space="preserve">της </w:t>
      </w:r>
      <w:r w:rsidR="001F1BEC">
        <w:t>11ης</w:t>
      </w:r>
      <w:r w:rsidR="00881D7A">
        <w:t xml:space="preserve"> Φεβρουαρίου 2025 </w:t>
      </w:r>
      <w:r w:rsidRPr="00ED450D">
        <w:t>σχετικά με την ετήσια έκθεση της Ευρωπαϊκής Κεντρικής Τράπεζας για το 2024</w:t>
      </w:r>
      <w:bookmarkEnd w:id="5"/>
      <w:r w:rsidRPr="00ED450D">
        <w:t xml:space="preserve"> </w:t>
      </w:r>
      <w:bookmarkStart w:id="6" w:name="References"/>
      <w:r w:rsidRPr="00ED450D">
        <w:t>(2024/2054(INI))</w:t>
      </w:r>
      <w:bookmarkEnd w:id="6"/>
    </w:p>
    <w:p w:rsidR="00CB1228" w:rsidRPr="00ED450D" w:rsidRDefault="00CB1228" w:rsidP="00CB1228">
      <w:pPr>
        <w:pStyle w:val="EPComma"/>
      </w:pPr>
      <w:r w:rsidRPr="00ED450D">
        <w:rPr>
          <w:rStyle w:val="Italic"/>
        </w:rPr>
        <w:t>Το Ευρωπαϊκό Κοινοβούλιο</w:t>
      </w:r>
      <w:r w:rsidRPr="00ED450D">
        <w:t>,</w:t>
      </w:r>
    </w:p>
    <w:p w:rsidR="00CB1228" w:rsidRPr="00ED450D" w:rsidRDefault="00CB1228" w:rsidP="00CB1228">
      <w:pPr>
        <w:pStyle w:val="NormalHanging12a"/>
      </w:pPr>
      <w:r w:rsidRPr="00ED450D">
        <w:t>–</w:t>
      </w:r>
      <w:r w:rsidRPr="00ED450D">
        <w:tab/>
        <w:t>έχοντας υπόψη την ετήσια έκθεση της Ευρωπαϊκής Κεντρικής Τράπεζας (ΕΚΤ) για το 2023,</w:t>
      </w:r>
    </w:p>
    <w:p w:rsidR="00CB1228" w:rsidRPr="00ED450D" w:rsidRDefault="00CB1228" w:rsidP="00CB1228">
      <w:pPr>
        <w:pStyle w:val="NormalHanging12a"/>
      </w:pPr>
      <w:r w:rsidRPr="00ED450D">
        <w:t>–</w:t>
      </w:r>
      <w:r w:rsidRPr="00ED450D">
        <w:tab/>
        <w:t>έχοντας υπόψη τις παρατηρήσεις της ΕΚΤ, της 18ης Απριλίου 2024, όσον αφορά τα στοιχεία που περιλαμβάνονταν στο ψήφισμα του Κοινοβουλίου σχετικά με την ετήσια έκθεση της ΕΚΤ για το 2022</w:t>
      </w:r>
      <w:r w:rsidRPr="00ED450D">
        <w:rPr>
          <w:rStyle w:val="FootnoteReference"/>
        </w:rPr>
        <w:footnoteReference w:id="1"/>
      </w:r>
      <w:r w:rsidRPr="00ED450D">
        <w:t>,</w:t>
      </w:r>
    </w:p>
    <w:p w:rsidR="00CB1228" w:rsidRPr="00ED450D" w:rsidRDefault="00CB1228" w:rsidP="00CB1228">
      <w:pPr>
        <w:pStyle w:val="NormalHanging12a"/>
      </w:pPr>
      <w:r w:rsidRPr="00ED450D">
        <w:t>–</w:t>
      </w:r>
      <w:r w:rsidRPr="00ED450D">
        <w:tab/>
        <w:t>έχοντας υπόψη το καταστατικό του Ευρωπαϊκού Συστήματος Κεντρικών Τραπεζών (ΕΣΚΤ) και της ΕΚΤ, και ιδίως τα άρθρα 2, 15 και 21,</w:t>
      </w:r>
    </w:p>
    <w:p w:rsidR="00CB1228" w:rsidRPr="00ED450D" w:rsidRDefault="00CB1228" w:rsidP="00CB1228">
      <w:pPr>
        <w:pStyle w:val="NormalHanging12a"/>
      </w:pPr>
      <w:r w:rsidRPr="00ED450D">
        <w:t>–</w:t>
      </w:r>
      <w:r w:rsidRPr="00ED450D">
        <w:tab/>
        <w:t>έχοντας υπόψη το άρθρο 123 παράγραφος 1, το άρθρο 125, το άρθρο 127 παράγραφοι 1 και 2, το άρθρο 130, το άρθρο 282 παράγραφος 2 και το άρθρο 284 παράγραφος 3 της Συνθήκης για τη λειτουργία της Ευρωπαϊκής Ένωσης (ΣΛΕΕ),</w:t>
      </w:r>
    </w:p>
    <w:p w:rsidR="00CB1228" w:rsidRPr="00ED450D" w:rsidRDefault="00CB1228" w:rsidP="00CB1228">
      <w:pPr>
        <w:pStyle w:val="NormalHanging12a"/>
      </w:pPr>
      <w:r w:rsidRPr="00ED450D">
        <w:t>–</w:t>
      </w:r>
      <w:r w:rsidRPr="00ED450D">
        <w:tab/>
        <w:t>έχοντας υπόψη το άρθρα 3 και 13 της Συνθήκης για την Ευρωπαϊκή Ένωση (ΣΕΕ),</w:t>
      </w:r>
    </w:p>
    <w:p w:rsidR="00CB1228" w:rsidRPr="00ED450D" w:rsidRDefault="00CB1228" w:rsidP="00CB1228">
      <w:pPr>
        <w:pStyle w:val="NormalHanging12a"/>
      </w:pPr>
      <w:r w:rsidRPr="00ED450D">
        <w:t>–</w:t>
      </w:r>
      <w:r w:rsidRPr="00ED450D">
        <w:tab/>
        <w:t xml:space="preserve">έχοντας υπόψη τις μακροοικονομικές προβλέψεις των εμπειρογνωμόνων του </w:t>
      </w:r>
      <w:proofErr w:type="spellStart"/>
      <w:r w:rsidRPr="00ED450D">
        <w:t>Ευρωσυστήματος</w:t>
      </w:r>
      <w:proofErr w:type="spellEnd"/>
      <w:r w:rsidRPr="00ED450D">
        <w:t xml:space="preserve"> για τη ζώνη του ευρώ της 7ης Μαρτίου 2024, της 6ης Ιουνίου 2024, της 12ης Σεπτεμβρίου 2024 και της 12ης Δεκεμβρίου 2024,</w:t>
      </w:r>
    </w:p>
    <w:p w:rsidR="00CB1228" w:rsidRPr="00ED450D" w:rsidRDefault="00CB1228" w:rsidP="00CB1228">
      <w:pPr>
        <w:pStyle w:val="NormalHanging12a"/>
      </w:pPr>
      <w:r w:rsidRPr="00ED450D">
        <w:t>–</w:t>
      </w:r>
      <w:r w:rsidRPr="00ED450D">
        <w:tab/>
        <w:t>έχοντας υπόψη τις αποφάσεις που έλαβε το Διοικητικό Συμβούλιο της ΕΚΤ στις 25 Ιανουαρίου 2024, στις 7 Μαρτίου 2024, στις 11 Απριλίου 2024, στις 6 Ιουνίου 2024, στις 18 Ιουλίου 2024, στις 12 Σεπτεμβρίου 2024, στις 17 Οκτωβρίου 2024 και στις 12 Δεκεμβρίου 2024,</w:t>
      </w:r>
    </w:p>
    <w:p w:rsidR="00CB1228" w:rsidRPr="00ED450D" w:rsidRDefault="00CB1228" w:rsidP="00CB1228">
      <w:pPr>
        <w:pStyle w:val="NormalHanging12a"/>
      </w:pPr>
      <w:r w:rsidRPr="00ED450D">
        <w:t>–</w:t>
      </w:r>
      <w:r w:rsidRPr="00ED450D">
        <w:tab/>
        <w:t xml:space="preserve">έχοντας υπόψη την εκτίμηση της </w:t>
      </w:r>
      <w:proofErr w:type="spellStart"/>
      <w:r w:rsidRPr="00ED450D">
        <w:t>Eurostat</w:t>
      </w:r>
      <w:proofErr w:type="spellEnd"/>
      <w:r w:rsidRPr="00ED450D">
        <w:t xml:space="preserve"> για τον πληθωρισμό, της </w:t>
      </w:r>
      <w:r w:rsidR="00B951E0">
        <w:t>3</w:t>
      </w:r>
      <w:r w:rsidRPr="00ED450D">
        <w:t>ης </w:t>
      </w:r>
      <w:r w:rsidR="00B951E0">
        <w:t>Φεβρουαρίου</w:t>
      </w:r>
      <w:r w:rsidRPr="00ED450D">
        <w:t> 202</w:t>
      </w:r>
      <w:r w:rsidR="00B951E0">
        <w:t>5</w:t>
      </w:r>
      <w:r w:rsidRPr="00ED450D">
        <w:t>,</w:t>
      </w:r>
    </w:p>
    <w:p w:rsidR="00CB1228" w:rsidRPr="00ED450D" w:rsidRDefault="00CB1228" w:rsidP="00CB1228">
      <w:pPr>
        <w:pStyle w:val="NormalHanging12a"/>
      </w:pPr>
      <w:r w:rsidRPr="00ED450D">
        <w:lastRenderedPageBreak/>
        <w:t>–</w:t>
      </w:r>
      <w:r w:rsidRPr="00ED450D">
        <w:tab/>
        <w:t>έχοντας υπόψη την οικονομική πρόβλεψη της Επιτροπής για το φθινόπωρο του 2024, που δημοσιεύθηκε στις 26 Νοεμβρίου 2024,</w:t>
      </w:r>
    </w:p>
    <w:p w:rsidR="00CB1228" w:rsidRPr="00ED450D" w:rsidRDefault="00CB1228" w:rsidP="00CB1228">
      <w:pPr>
        <w:pStyle w:val="NormalHanging12a"/>
      </w:pPr>
      <w:r w:rsidRPr="00ED450D">
        <w:t>–</w:t>
      </w:r>
      <w:r w:rsidRPr="00ED450D">
        <w:tab/>
        <w:t xml:space="preserve">έχοντας υπόψη τις παγκόσμιες οικονομικές προοπτικές του Διεθνούς Νομισματικού Ταμείου (ΔΝΤ) του </w:t>
      </w:r>
      <w:r w:rsidR="00B951E0">
        <w:t>Ιανουαρίου του</w:t>
      </w:r>
      <w:r w:rsidR="00B951E0" w:rsidRPr="00ED450D">
        <w:t xml:space="preserve"> </w:t>
      </w:r>
      <w:r w:rsidRPr="00ED450D">
        <w:t>202</w:t>
      </w:r>
      <w:r w:rsidR="00B951E0">
        <w:t>5</w:t>
      </w:r>
      <w:r w:rsidRPr="00ED450D">
        <w:t>,</w:t>
      </w:r>
    </w:p>
    <w:p w:rsidR="00CB1228" w:rsidRPr="00ED450D" w:rsidRDefault="00CB1228" w:rsidP="00CB1228">
      <w:pPr>
        <w:pStyle w:val="NormalHanging12a"/>
      </w:pPr>
      <w:r w:rsidRPr="00ED450D">
        <w:t>–</w:t>
      </w:r>
      <w:r w:rsidRPr="00ED450D">
        <w:tab/>
        <w:t xml:space="preserve">έχοντας υπόψη τους νομισματικούς διαλόγους με την Πρόεδρο της ΕΚΤ, Christine </w:t>
      </w:r>
      <w:proofErr w:type="spellStart"/>
      <w:r w:rsidRPr="00ED450D">
        <w:t>Lagarde</w:t>
      </w:r>
      <w:proofErr w:type="spellEnd"/>
      <w:r w:rsidRPr="00ED450D">
        <w:t>, στις 15 Φεβρουαρίου 2024, στις 30 Σεπτεμβρίου 2024 και στις 4 Δεκεμβρίου 2024,</w:t>
      </w:r>
    </w:p>
    <w:p w:rsidR="00CB1228" w:rsidRPr="00ED450D" w:rsidRDefault="00CB1228" w:rsidP="00CB1228">
      <w:pPr>
        <w:pStyle w:val="NormalHanging12a"/>
      </w:pPr>
      <w:r w:rsidRPr="00ED450D">
        <w:t>–</w:t>
      </w:r>
      <w:r w:rsidRPr="00ED450D">
        <w:tab/>
        <w:t>έχοντας υπόψη την απόφασή του, της 1ης Ιουνίου 2023, για τις ρυθμίσεις υπό μορφή ανταλλαγής επιστολών μεταξύ του Ευρωπαϊκού Κοινοβουλίου και της ΕΚΤ σχετικά με τη διάρθρωση των πρακτικών αλληλεπίδρασης στον τομέα δραστηριοτήτων κεντρικής τράπεζας</w:t>
      </w:r>
      <w:r w:rsidRPr="00ED450D">
        <w:rPr>
          <w:rStyle w:val="FootnoteReference"/>
        </w:rPr>
        <w:footnoteReference w:id="2"/>
      </w:r>
      <w:r w:rsidRPr="00ED450D">
        <w:t>,</w:t>
      </w:r>
    </w:p>
    <w:p w:rsidR="00CB1228" w:rsidRPr="00ED450D" w:rsidRDefault="00CB1228" w:rsidP="00CB1228">
      <w:pPr>
        <w:pStyle w:val="NormalHanging12a"/>
      </w:pPr>
      <w:r w:rsidRPr="00ED450D">
        <w:t>–</w:t>
      </w:r>
      <w:r w:rsidRPr="00ED450D">
        <w:tab/>
        <w:t>έχοντας υπόψη τον ευρωπαϊκό πυλώνα κοινωνικών δικαιωμάτων,</w:t>
      </w:r>
    </w:p>
    <w:p w:rsidR="00CB1228" w:rsidRPr="00ED450D" w:rsidRDefault="00CB1228" w:rsidP="00CB1228">
      <w:pPr>
        <w:pStyle w:val="NormalHanging12a"/>
      </w:pPr>
      <w:r w:rsidRPr="00ED450D">
        <w:t>–</w:t>
      </w:r>
      <w:r w:rsidRPr="00ED450D">
        <w:tab/>
        <w:t>έχοντας υπόψη την έγκριση του μέσου προστασίας της μεταφοράς (TPI) από το Διοικητικό Συμβούλιο της ΕΚΤ στις 21 Ιουλίου 2022,</w:t>
      </w:r>
    </w:p>
    <w:p w:rsidR="00CB1228" w:rsidRPr="00ED450D" w:rsidRDefault="00CB1228" w:rsidP="00CB1228">
      <w:pPr>
        <w:pStyle w:val="NormalHanging12a"/>
      </w:pPr>
      <w:r w:rsidRPr="00ED450D">
        <w:t>–</w:t>
      </w:r>
      <w:r w:rsidRPr="00ED450D">
        <w:tab/>
        <w:t>έχοντας υπόψη την πρόταση της Επιτροπής, της 28ης Ιουνίου 2023, για κανονισμό του Ευρωπαϊκού Κοινοβουλίου και του Συμβουλίου για την καθιέρωση του ψηφιακού ευρώ (</w:t>
      </w:r>
      <w:r w:rsidR="00881D7A" w:rsidRPr="003E37EC">
        <w:t>COM(2023)0369</w:t>
      </w:r>
      <w:r w:rsidRPr="00ED450D">
        <w:t>),</w:t>
      </w:r>
    </w:p>
    <w:p w:rsidR="00CB1228" w:rsidRPr="00ED450D" w:rsidRDefault="00CB1228" w:rsidP="00CB1228">
      <w:pPr>
        <w:pStyle w:val="NormalHanging12a"/>
      </w:pPr>
      <w:r w:rsidRPr="00ED450D">
        <w:t>–</w:t>
      </w:r>
      <w:r w:rsidRPr="00ED450D">
        <w:tab/>
        <w:t>έχοντας υπόψη την πρώτη έκθεση προόδου της ΕΚΤ, της 24ης Ιουνίου 2024, και τη δεύτερη έκθεση προόδου, της 2ας Δεκεμβρίου 2024, σχετικά με τη φάση προετοιμασίας του ψηφιακού ευρώ,</w:t>
      </w:r>
    </w:p>
    <w:p w:rsidR="00CB1228" w:rsidRPr="00ED450D" w:rsidRDefault="00CB1228" w:rsidP="00CB1228">
      <w:pPr>
        <w:pStyle w:val="NormalHanging12a"/>
      </w:pPr>
      <w:r w:rsidRPr="00ED450D">
        <w:t>–</w:t>
      </w:r>
      <w:r w:rsidRPr="00ED450D">
        <w:tab/>
        <w:t>έχοντας υπόψη τις τέσσερις εκθέσεις προόδου της ΕΚΤ, της 13ης Ιουλίου 2023, της 24ης Απριλίου 2023, της 21ης Δεκεμβρίου 2022 και της 29ης Σεπτεμβρίου 2022 σχετικά με τη φάση έρευνας για το ψηφιακό ευρώ,</w:t>
      </w:r>
    </w:p>
    <w:p w:rsidR="00CB1228" w:rsidRPr="00ED450D" w:rsidRDefault="00CB1228" w:rsidP="00CB1228">
      <w:pPr>
        <w:pStyle w:val="NormalHanging12a"/>
      </w:pPr>
      <w:r w:rsidRPr="00ED450D">
        <w:t>–</w:t>
      </w:r>
      <w:r w:rsidRPr="00ED450D">
        <w:tab/>
        <w:t>έχοντας υπόψη την επανεξέταση της στρατηγικής νομισματικής πολιτικής της ΕΚΤ που δρομολογήθηκε στις 23 Ιανουαρίου 2020 και ολοκληρώθηκε στις 8 Ιουλίου 2021, καθώς και την επικείμενη αξιολόγηση της στρατηγικής νομισματικής πολιτικής του 2025,</w:t>
      </w:r>
    </w:p>
    <w:p w:rsidR="00CB1228" w:rsidRPr="00ED450D" w:rsidRDefault="00CB1228" w:rsidP="00CB1228">
      <w:pPr>
        <w:pStyle w:val="NormalHanging12a"/>
      </w:pPr>
      <w:r w:rsidRPr="00ED450D">
        <w:t>–</w:t>
      </w:r>
      <w:r w:rsidRPr="00ED450D">
        <w:tab/>
        <w:t>έχοντας υπόψη την επανεξέταση του επιχειρησιακού πλαισίου της ΕΚΤ που δημοσιεύθηκε στις 13 Μαρτίου 2024,</w:t>
      </w:r>
    </w:p>
    <w:p w:rsidR="00CB1228" w:rsidRPr="00ED450D" w:rsidRDefault="00CB1228" w:rsidP="00CB1228">
      <w:pPr>
        <w:pStyle w:val="NormalHanging12a"/>
      </w:pPr>
      <w:r w:rsidRPr="00ED450D">
        <w:t>–</w:t>
      </w:r>
      <w:r w:rsidRPr="00ED450D">
        <w:tab/>
        <w:t>έχοντας υπόψη την ετήσια έκθεση της ΕΚΤ σχετικά με τον διεθνή ρόλο του ευρώ του Ιουνίου 2024,</w:t>
      </w:r>
    </w:p>
    <w:p w:rsidR="00CB1228" w:rsidRPr="00ED450D" w:rsidRDefault="00CB1228" w:rsidP="00CB1228">
      <w:pPr>
        <w:pStyle w:val="NormalHanging12a"/>
      </w:pPr>
      <w:r w:rsidRPr="00ED450D">
        <w:t>–</w:t>
      </w:r>
      <w:r w:rsidRPr="00ED450D">
        <w:tab/>
        <w:t xml:space="preserve">έχοντας υπόψη τα αποτελέσματα της πρώτης στην ιστορία προσομοίωσης ακραίων καταστάσεων της ΕΚΤ για την </w:t>
      </w:r>
      <w:proofErr w:type="spellStart"/>
      <w:r w:rsidRPr="00ED450D">
        <w:t>κυβερνοανθεκτικότητα</w:t>
      </w:r>
      <w:proofErr w:type="spellEnd"/>
      <w:r w:rsidRPr="00ED450D">
        <w:t>, της 26ης Ιουλίου 2024,</w:t>
      </w:r>
    </w:p>
    <w:p w:rsidR="00CB1228" w:rsidRPr="00ED450D" w:rsidRDefault="00CB1228" w:rsidP="00CB1228">
      <w:pPr>
        <w:pStyle w:val="NormalHanging12a"/>
      </w:pPr>
      <w:r w:rsidRPr="00ED450D">
        <w:t>–</w:t>
      </w:r>
      <w:r w:rsidRPr="00ED450D">
        <w:tab/>
        <w:t>έχοντας υπόψη την έκθεση της ΕΚΤ για τη χρηματοπιστωτική σταθερότητα που δημοσιεύθηκε στις 20 Νοεμβρίου 2024,</w:t>
      </w:r>
    </w:p>
    <w:p w:rsidR="00CB1228" w:rsidRPr="00ED450D" w:rsidRDefault="00CB1228" w:rsidP="00CB1228">
      <w:pPr>
        <w:pStyle w:val="NormalHanging12a"/>
      </w:pPr>
      <w:r w:rsidRPr="00ED450D">
        <w:lastRenderedPageBreak/>
        <w:t>–</w:t>
      </w:r>
      <w:r w:rsidRPr="00ED450D">
        <w:tab/>
        <w:t>έχοντας υπόψη τη δημοσίευση του αναθεωρημένου κανονισμού για τις κεφαλαιακές απαιτήσεις</w:t>
      </w:r>
      <w:r w:rsidRPr="00ED450D">
        <w:rPr>
          <w:rStyle w:val="FootnoteReference"/>
        </w:rPr>
        <w:footnoteReference w:id="3"/>
      </w:r>
      <w:r w:rsidRPr="00ED450D">
        <w:t xml:space="preserve"> («ΚΚΑ III») και της οδηγίας για τις κεφαλαιακές απαιτήσεις</w:t>
      </w:r>
      <w:r w:rsidRPr="00ED450D">
        <w:rPr>
          <w:rStyle w:val="FootnoteReference"/>
        </w:rPr>
        <w:footnoteReference w:id="4"/>
      </w:r>
      <w:r w:rsidRPr="00ED450D">
        <w:t xml:space="preserve"> («ΟΚΑ VI») στην Επίσημη Εφημερίδα της Ευρωπαϊκής Ένωσης στις 19 Ιουνίου 2024,</w:t>
      </w:r>
    </w:p>
    <w:p w:rsidR="00CB1228" w:rsidRPr="00ED450D" w:rsidRDefault="00CB1228" w:rsidP="00CB1228">
      <w:pPr>
        <w:pStyle w:val="NormalHanging12a"/>
      </w:pPr>
      <w:r w:rsidRPr="00ED450D">
        <w:t>–</w:t>
      </w:r>
      <w:r w:rsidRPr="00ED450D">
        <w:tab/>
        <w:t>έχοντας υπόψη τα αποτελέσματα της προσομοίωσης ακραίων καταστάσεων της ΕΚΤ για τον κλιματικό κίνδυνο, της 8ης Ιουλίου 2022,</w:t>
      </w:r>
    </w:p>
    <w:p w:rsidR="00CB1228" w:rsidRPr="00ED450D" w:rsidRDefault="00CB1228" w:rsidP="00CB1228">
      <w:pPr>
        <w:pStyle w:val="NormalHanging12a"/>
      </w:pPr>
      <w:r w:rsidRPr="00ED450D">
        <w:t>–</w:t>
      </w:r>
      <w:r w:rsidRPr="00ED450D">
        <w:tab/>
        <w:t>έχοντας υπόψη την επικαιροποίηση της περιβαλλοντικής δήλωσης της ΕΚΤ του 2024,</w:t>
      </w:r>
    </w:p>
    <w:p w:rsidR="00CB1228" w:rsidRPr="00ED450D" w:rsidRDefault="00CB1228" w:rsidP="00CB1228">
      <w:pPr>
        <w:pStyle w:val="NormalHanging12a"/>
      </w:pPr>
      <w:r w:rsidRPr="00ED450D">
        <w:t>–</w:t>
      </w:r>
      <w:r w:rsidRPr="00ED450D">
        <w:tab/>
        <w:t>έχοντας υπόψη το σχέδιο της ΕΚΤ για το κλίμα και τη φύση 2024-2025,</w:t>
      </w:r>
    </w:p>
    <w:p w:rsidR="00CB1228" w:rsidRPr="00ED450D" w:rsidRDefault="00CB1228" w:rsidP="00CB1228">
      <w:pPr>
        <w:pStyle w:val="NormalHanging12a"/>
      </w:pPr>
      <w:r w:rsidRPr="00ED450D">
        <w:t>–</w:t>
      </w:r>
      <w:r w:rsidRPr="00ED450D">
        <w:tab/>
        <w:t>έχοντας υπόψη το άρθρο 142 παράγραφος 1 του Κανονισμού του,</w:t>
      </w:r>
    </w:p>
    <w:p w:rsidR="00CB1228" w:rsidRPr="00ED450D" w:rsidRDefault="00CB1228" w:rsidP="00CB1228">
      <w:pPr>
        <w:pStyle w:val="NormalHanging12a"/>
      </w:pPr>
      <w:r w:rsidRPr="00ED450D">
        <w:t>–</w:t>
      </w:r>
      <w:r w:rsidRPr="00ED450D">
        <w:tab/>
        <w:t>έχοντας υπόψη το άρθρο 55 του Κανονισμού του,</w:t>
      </w:r>
    </w:p>
    <w:p w:rsidR="00CB1228" w:rsidRPr="00ED450D" w:rsidRDefault="00CB1228" w:rsidP="00CB1228">
      <w:pPr>
        <w:pStyle w:val="NormalHanging12a"/>
      </w:pPr>
      <w:r w:rsidRPr="00ED450D">
        <w:t>–</w:t>
      </w:r>
      <w:r w:rsidRPr="00ED450D">
        <w:tab/>
        <w:t>έχοντας υπόψη την έκθεση της Επιτροπής Οικονομικής και Νομισματικής Πολιτικής (A10-0003/2025),</w:t>
      </w:r>
    </w:p>
    <w:p w:rsidR="00CB1228" w:rsidRPr="00ED450D" w:rsidRDefault="00CB1228" w:rsidP="00CB1228">
      <w:pPr>
        <w:pStyle w:val="NormalHanging12a"/>
      </w:pPr>
      <w:r w:rsidRPr="00ED450D">
        <w:t>Α.</w:t>
      </w:r>
      <w:r w:rsidRPr="00ED450D">
        <w:tab/>
        <w:t xml:space="preserve">λαμβάνοντας υπόψη ότι, σύμφωνα με τη </w:t>
      </w:r>
      <w:proofErr w:type="spellStart"/>
      <w:r w:rsidRPr="00ED450D">
        <w:t>Eurostat</w:t>
      </w:r>
      <w:proofErr w:type="spellEnd"/>
      <w:r w:rsidRPr="00ED450D">
        <w:t>, ο εναρμονισμένος δείκτης τιμών καταναλωτή (</w:t>
      </w:r>
      <w:proofErr w:type="spellStart"/>
      <w:r w:rsidRPr="00ED450D">
        <w:t>ΕνΔΤΚ</w:t>
      </w:r>
      <w:proofErr w:type="spellEnd"/>
      <w:r w:rsidRPr="00ED450D">
        <w:t xml:space="preserve">) έφθασε σε επίπεδο 2,2 % στη ζώνη του ευρώ τον </w:t>
      </w:r>
      <w:r w:rsidR="00B951E0">
        <w:t xml:space="preserve">Δεκέμβριο </w:t>
      </w:r>
      <w:r w:rsidRPr="00ED450D">
        <w:t>του 2024·</w:t>
      </w:r>
    </w:p>
    <w:p w:rsidR="00CB1228" w:rsidRPr="00ED450D" w:rsidRDefault="00CB1228" w:rsidP="00CB1228">
      <w:pPr>
        <w:pStyle w:val="NormalHanging12a"/>
      </w:pPr>
      <w:r w:rsidRPr="00ED450D">
        <w:t>Β.</w:t>
      </w:r>
      <w:r w:rsidRPr="00ED450D">
        <w:tab/>
        <w:t xml:space="preserve">λαμβάνοντας υπόψη ότι, σύμφωνα με τις μακροοικονομικές προβλέψεις των εμπειρογνωμόνων του </w:t>
      </w:r>
      <w:proofErr w:type="spellStart"/>
      <w:r w:rsidRPr="00ED450D">
        <w:t>Ευρωσυστήματος</w:t>
      </w:r>
      <w:proofErr w:type="spellEnd"/>
      <w:r w:rsidRPr="00ED450D">
        <w:t xml:space="preserve"> του Δεκεμβρίου 2024 για τη ζώνη του ευρώ, ο πληθωρισμός βάσει του </w:t>
      </w:r>
      <w:proofErr w:type="spellStart"/>
      <w:r w:rsidRPr="00ED450D">
        <w:t>ΕνΔΤΚ</w:t>
      </w:r>
      <w:proofErr w:type="spellEnd"/>
      <w:r w:rsidRPr="00ED450D">
        <w:t xml:space="preserve"> προβλέπεται να μειωθεί σε 2,1% το 2025 και σε 1,9% το 2026 και να αυξηθεί σε 2,1 % το 2027</w:t>
      </w:r>
      <w:r w:rsidRPr="00ED450D">
        <w:rPr>
          <w:rStyle w:val="FootnoteReference"/>
        </w:rPr>
        <w:footnoteReference w:id="5"/>
      </w:r>
      <w:r w:rsidRPr="00ED450D">
        <w:t>·</w:t>
      </w:r>
      <w:r w:rsidR="00B951E0">
        <w:t xml:space="preserve"> </w:t>
      </w:r>
      <w:r w:rsidR="00B951E0" w:rsidRPr="00B951E0">
        <w:t>λαμβάνοντας υπόψη ότι οι προβλέψεις για τον πληθωρισμό καταδεικνύουν σημαντικές διακυμάνσεις στη ζώνη του ευρώ·</w:t>
      </w:r>
    </w:p>
    <w:p w:rsidR="00CB1228" w:rsidRPr="00ED450D" w:rsidRDefault="00CB1228" w:rsidP="00CB1228">
      <w:pPr>
        <w:pStyle w:val="NormalHanging12a"/>
      </w:pPr>
      <w:r w:rsidRPr="00ED450D">
        <w:t>Γ.</w:t>
      </w:r>
      <w:r w:rsidRPr="00ED450D">
        <w:tab/>
        <w:t>λαμβάνοντας υπόψη ότι πρωταρχικός στόχος της ΕΚΤ είναι η διατήρηση της σταθερότητας των τιμών, την οποία έχει ορίσει ως επίπεδο πληθωρισμού της τάξης του 2 % μεσοπρόθεσμα·</w:t>
      </w:r>
    </w:p>
    <w:p w:rsidR="00CB1228" w:rsidRPr="00ED450D" w:rsidRDefault="00CB1228" w:rsidP="00CB1228">
      <w:pPr>
        <w:pStyle w:val="NormalHanging12a"/>
      </w:pPr>
      <w:r w:rsidRPr="00ED450D">
        <w:t>Δ.</w:t>
      </w:r>
      <w:r w:rsidRPr="00ED450D">
        <w:tab/>
        <w:t>λαμβάνοντας υπόψη ότι η ΕΚΤ θα πρέπει να υποστηρίζει τις γενικές οικονομικές πολιτικές στην ΕΕ, συμβάλλοντας έτσι στην επίτευξη των στόχων της ΕΕ, όπως ορίζονται στο άρθρο 3 ΣΕΕ·</w:t>
      </w:r>
    </w:p>
    <w:p w:rsidR="00CB1228" w:rsidRPr="00ED450D" w:rsidRDefault="00CB1228" w:rsidP="00CB1228">
      <w:pPr>
        <w:pStyle w:val="NormalHanging12a"/>
      </w:pPr>
      <w:r w:rsidRPr="00ED450D">
        <w:t>Ε.</w:t>
      </w:r>
      <w:r w:rsidRPr="00ED450D">
        <w:tab/>
        <w:t>λαμβάνοντας υπόψη ότι η ΕΚΤ είναι πολιτικά ανεξάρτητη, πράγμα που σημαίνει ότι ούτε τα θεσμικά όργανα και οι οργανισμοί της ΕΕ, ούτε οι κυβερνήσεις των κρατών μελών δεν θα πρέπει να επιδιώκουν να την επηρεάσουν·</w:t>
      </w:r>
    </w:p>
    <w:p w:rsidR="00CB1228" w:rsidRPr="00ED450D" w:rsidRDefault="00CB1228" w:rsidP="00CB1228">
      <w:pPr>
        <w:pStyle w:val="NormalHanging12a"/>
      </w:pPr>
      <w:r w:rsidRPr="00ED450D">
        <w:t>ΣΤ.</w:t>
      </w:r>
      <w:r w:rsidRPr="00ED450D">
        <w:tab/>
        <w:t>λαμβάνοντας υπόψη ότι η ΕΚΤ μπορεί να λαμβάνει αποφάσεις για την εκπλήρωση του πρωταρχικού της στόχου της δ</w:t>
      </w:r>
      <w:bookmarkStart w:id="7" w:name="_GoBack"/>
      <w:bookmarkEnd w:id="7"/>
      <w:r w:rsidRPr="00ED450D">
        <w:t>ιατήρησης της σταθερότητας των τιμών χωρίς πολιτικές παρεμβάσεις πέραν της λογοδοσίας·</w:t>
      </w:r>
    </w:p>
    <w:p w:rsidR="00CB1228" w:rsidRPr="00ED450D" w:rsidRDefault="00CB1228" w:rsidP="00CB1228">
      <w:pPr>
        <w:pStyle w:val="NormalHanging12a"/>
      </w:pPr>
      <w:r w:rsidRPr="00ED450D">
        <w:t>Ζ.</w:t>
      </w:r>
      <w:r w:rsidRPr="00ED450D">
        <w:tab/>
        <w:t>λαμβάνοντας υπόψη ότι η πολιτική ανεξαρτησία απαιτεί από την ΕΚΤ να μην προβαίνει σε πολιτικές ενέργειες·</w:t>
      </w:r>
    </w:p>
    <w:p w:rsidR="00CB1228" w:rsidRPr="00ED450D" w:rsidRDefault="00CB1228" w:rsidP="00CB1228">
      <w:pPr>
        <w:pStyle w:val="NormalHanging12a"/>
      </w:pPr>
      <w:r w:rsidRPr="00ED450D">
        <w:lastRenderedPageBreak/>
        <w:t>Η.</w:t>
      </w:r>
      <w:r w:rsidRPr="00ED450D">
        <w:tab/>
        <w:t>λαμβάνοντας υπόψη ότι το άρθρο 123 ΣΛΕΕ και το άρθρο 21 του καταστατικού του ΕΣΚΤ και της ΕΚΤ απαγορεύουν την άμεση νομισματική χρηματοδότηση των κυβερνήσεων· λαμβάνοντας υπόψη ότι η ΕΚΤ μπορεί να αγοράζει χρεόγραφα στη δευτερογενή αγορά εάν αυτό είναι αναγκαίο για την επίτευξη των στόχων της·</w:t>
      </w:r>
    </w:p>
    <w:p w:rsidR="00CB1228" w:rsidRPr="00ED450D" w:rsidRDefault="00CB1228" w:rsidP="00CB1228">
      <w:pPr>
        <w:pStyle w:val="NormalHanging12a"/>
      </w:pPr>
      <w:r w:rsidRPr="00ED450D">
        <w:t>Θ.</w:t>
      </w:r>
      <w:r w:rsidRPr="00ED450D">
        <w:tab/>
        <w:t xml:space="preserve">λαμβάνοντας υπόψη ότι το </w:t>
      </w:r>
      <w:proofErr w:type="spellStart"/>
      <w:r w:rsidRPr="00ED450D">
        <w:t>Ευρωσύστημα</w:t>
      </w:r>
      <w:proofErr w:type="spellEnd"/>
      <w:r w:rsidRPr="00ED450D">
        <w:t xml:space="preserve"> έχει διαμορφωθεί με βάση την αρχή της νομισματικής κυριαρχίας·</w:t>
      </w:r>
    </w:p>
    <w:p w:rsidR="00CB1228" w:rsidRPr="00ED450D" w:rsidRDefault="00CB1228" w:rsidP="00CB1228">
      <w:pPr>
        <w:pStyle w:val="NormalHanging12a"/>
      </w:pPr>
      <w:r w:rsidRPr="00ED450D">
        <w:t>Ι.</w:t>
      </w:r>
      <w:r w:rsidRPr="00ED450D">
        <w:tab/>
        <w:t xml:space="preserve">λαμβάνοντας υπόψη ότι δεν </w:t>
      </w:r>
      <w:proofErr w:type="spellStart"/>
      <w:r w:rsidRPr="00ED450D">
        <w:t>επανεπενδύονται</w:t>
      </w:r>
      <w:proofErr w:type="spellEnd"/>
      <w:r w:rsidRPr="00ED450D">
        <w:t xml:space="preserve"> πλέον οι πληρωμές κεφαλαίου από </w:t>
      </w:r>
      <w:proofErr w:type="spellStart"/>
      <w:r w:rsidRPr="00ED450D">
        <w:t>λήγοντες</w:t>
      </w:r>
      <w:proofErr w:type="spellEnd"/>
      <w:r w:rsidRPr="00ED450D">
        <w:t xml:space="preserve"> τίτλους που αγοράστηκαν στο πλαίσιο του προγράμματος αγοράς στοιχείων ενεργητικού (APP) και ότι από τον Ιανουάριο του 2025 δεν θα </w:t>
      </w:r>
      <w:proofErr w:type="spellStart"/>
      <w:r w:rsidRPr="00ED450D">
        <w:t>επανεπενδύονται</w:t>
      </w:r>
      <w:proofErr w:type="spellEnd"/>
      <w:r w:rsidRPr="00ED450D">
        <w:t xml:space="preserve"> πλέον οι πληρωμές κεφαλαίου από </w:t>
      </w:r>
      <w:proofErr w:type="spellStart"/>
      <w:r w:rsidRPr="00ED450D">
        <w:t>λήγοντες</w:t>
      </w:r>
      <w:proofErr w:type="spellEnd"/>
      <w:r w:rsidRPr="00ED450D">
        <w:t xml:space="preserve"> τίτλους που αγοράστηκαν στο πλαίσιο του έκτακτου προγράμματος αγοράς στοιχείων ενεργητικού (PEPP)·</w:t>
      </w:r>
    </w:p>
    <w:p w:rsidR="00CB1228" w:rsidRPr="00ED450D" w:rsidRDefault="00CB1228" w:rsidP="00CB1228">
      <w:pPr>
        <w:pStyle w:val="NormalHanging12a"/>
      </w:pPr>
      <w:r w:rsidRPr="00ED450D">
        <w:t>ΙΑ.</w:t>
      </w:r>
      <w:r w:rsidRPr="00ED450D">
        <w:tab/>
        <w:t>λαμβάνοντας υπόψη ότι τα τραπεζικά αποθεματικά των πιστωτικών ιδρυμάτων στην ΕΚΤ ανέρχονταν σε 3 τρισεκατομμύρια EUR τον Ιούνιο του 2024·</w:t>
      </w:r>
    </w:p>
    <w:p w:rsidR="00CB1228" w:rsidRPr="00ED450D" w:rsidRDefault="00CB1228" w:rsidP="00CB1228">
      <w:pPr>
        <w:pStyle w:val="NormalHanging12a"/>
      </w:pPr>
      <w:r w:rsidRPr="00ED450D">
        <w:t>ΙΒ.</w:t>
      </w:r>
      <w:r w:rsidRPr="00ED450D">
        <w:tab/>
        <w:t>λαμβάνοντας υπόψη ότι το ευρώ είναι το δεύτερο σημαντικότερο νόμισμα παγκοσμίως·</w:t>
      </w:r>
    </w:p>
    <w:p w:rsidR="00CB1228" w:rsidRPr="00ED450D" w:rsidRDefault="00CB1228" w:rsidP="00CB1228">
      <w:pPr>
        <w:pStyle w:val="NormalHanging12a"/>
      </w:pPr>
      <w:r w:rsidRPr="00ED450D">
        <w:t>ΙΓ.</w:t>
      </w:r>
      <w:r w:rsidRPr="00ED450D">
        <w:tab/>
        <w:t>λαμβάνοντας υπόψη ότι η ΕΚΤ λογοδοτεί στο Κοινοβούλιο ως το θεσμικό όργανο της ΕΕ που εκπροσωπεί τους πολίτες της ΕΕ· λαμβάνοντας υπόψη ότι αυτή η λογοδοσία έχει διατηρηθεί στο ανώτατο επίπεδο, με την τακτική διοργάνωση του νομισματικού διαλόγου, την τακτική παρουσία της Προέδρου της ΕΚΤ στη σύνοδο Ολομέλειας του Κοινοβουλίου, και με διάφορες επισκέψεις και συναντήσεις μεταξύ βουλευτών του Κοινοβουλίου και μελών του διοικητικού συμβουλίου της ΕΚΤ·</w:t>
      </w:r>
    </w:p>
    <w:p w:rsidR="00CB1228" w:rsidRPr="00ED450D" w:rsidRDefault="00CB1228" w:rsidP="00CB1228">
      <w:pPr>
        <w:pStyle w:val="Normal12a24b"/>
      </w:pPr>
      <w:r w:rsidRPr="00ED450D">
        <w:rPr>
          <w:rStyle w:val="BoldItalic"/>
        </w:rPr>
        <w:t>Γενική επισκόπηση</w:t>
      </w:r>
    </w:p>
    <w:p w:rsidR="00CB1228" w:rsidRPr="00ED450D" w:rsidRDefault="003E37EC" w:rsidP="003E37EC">
      <w:pPr>
        <w:pStyle w:val="NormalHanging12a"/>
        <w:ind w:hanging="570"/>
      </w:pPr>
      <w:r w:rsidRPr="00ED450D">
        <w:t>1.</w:t>
      </w:r>
      <w:r w:rsidRPr="00ED450D">
        <w:tab/>
      </w:r>
      <w:r w:rsidR="00CB1228" w:rsidRPr="00ED450D">
        <w:t>χαιρετίζει τον ρόλο της ΕΚΤ στη διαφύλαξη της νομισματικής και χρηματοπιστωτικής σταθερότητας, η οποία είναι απαραίτητη προϋπόθεση για την ανάπτυξη και την οικονομική σταθερότητα· υπογραμμίζει ότι η ΕΚΤ είναι το θεσμικό όργανο που είναι αρμόδιο για τη διατήρηση της σταθερότητας των τιμών στη ζώνη του ευρώ στο πλαίσιο αυτό· σημειώνει ότι, «με την επιφύλαξη του στόχου της σταθερότητας των τιμών, το ΕΣΚΤ στηρίζει τις γενικές οικονομικές πολιτικές στην Ένωση», όπως ορίζεται στο άρθρο 127 ΣΕΕ·</w:t>
      </w:r>
    </w:p>
    <w:p w:rsidR="00CB1228" w:rsidRPr="00ED450D" w:rsidRDefault="003E37EC" w:rsidP="003E37EC">
      <w:pPr>
        <w:pStyle w:val="NormalHanging12a"/>
        <w:ind w:hanging="570"/>
      </w:pPr>
      <w:r w:rsidRPr="00ED450D">
        <w:t>2.</w:t>
      </w:r>
      <w:r w:rsidRPr="00ED450D">
        <w:tab/>
      </w:r>
      <w:r w:rsidR="00CB1228" w:rsidRPr="00ED450D">
        <w:t>υπογραμμίζει ότι η θεσμική ανεξαρτησία της ΕΚΤ, όπως ορίζεται στις Συνθήκες, αποτελεί προϋπόθεση για την εκπλήρωση της εντολής της η οποία συνίσταται στη διατήρηση της σταθερότητας των τιμών στη ζώνη του ευρώ και, κατά συνέπεια, στη στήριξη της οικονομικής ανάπτυξης, της ανταγωνιστικότητας και της δημιουργίας θέσεων εργασίας·</w:t>
      </w:r>
    </w:p>
    <w:p w:rsidR="00CB1228" w:rsidRPr="00ED450D" w:rsidRDefault="003E37EC" w:rsidP="003E37EC">
      <w:pPr>
        <w:pStyle w:val="NormalHanging12a"/>
        <w:ind w:hanging="570"/>
      </w:pPr>
      <w:r w:rsidRPr="00ED450D">
        <w:t>3.</w:t>
      </w:r>
      <w:r w:rsidRPr="00ED450D">
        <w:tab/>
      </w:r>
      <w:r w:rsidR="00CB1228" w:rsidRPr="00ED450D">
        <w:t>τονίζει τη σημασία της πολιτικής ανεξαρτησίας της ΕΚΤ, η οποία θα πρέπει να παραμείνει άθικτη· τονίζει ότι η ανεξαρτησία αυτή απαιτεί από την ΕΚΤ να μην προβαίνει σε πολιτικές ενέργειες· επικροτεί τη θεσμική συνεργασία, και κατ’ επέκταση τονίζει τη σημασία του αντίστοιχου επιπέδου λογοδοσίας έναντι του Κοινοβουλίου·</w:t>
      </w:r>
    </w:p>
    <w:p w:rsidR="00CB1228" w:rsidRPr="00ED450D" w:rsidRDefault="003E37EC" w:rsidP="003E37EC">
      <w:pPr>
        <w:pStyle w:val="NormalHanging12a"/>
        <w:ind w:hanging="570"/>
      </w:pPr>
      <w:r w:rsidRPr="00ED450D">
        <w:t>4.</w:t>
      </w:r>
      <w:r w:rsidRPr="00ED450D">
        <w:tab/>
      </w:r>
      <w:r w:rsidR="00CB1228" w:rsidRPr="00ED450D">
        <w:t>καλεί την ΕΚΤ και το Ευρωπαϊκό Κοινοβούλιο να αξιοποιήσουν πλήρως τις ρυθμίσεις σχετικά με τη λογοδοσία και τη διαφάνεια και, εφόσον είναι δυνατόν, να ενισχύσουν περαιτέρω τις ρυθμίσεις αυτές, χωρίς να θιγεί η ανεξαρτησία της ΕΚΤ·</w:t>
      </w:r>
    </w:p>
    <w:p w:rsidR="00CB1228" w:rsidRPr="00ED450D" w:rsidRDefault="003E37EC" w:rsidP="003E37EC">
      <w:pPr>
        <w:pStyle w:val="NormalHanging12a"/>
        <w:ind w:hanging="570"/>
      </w:pPr>
      <w:r w:rsidRPr="00ED450D">
        <w:lastRenderedPageBreak/>
        <w:t>5.</w:t>
      </w:r>
      <w:r w:rsidRPr="00ED450D">
        <w:tab/>
      </w:r>
      <w:r w:rsidR="00CB1228" w:rsidRPr="00ED450D">
        <w:t>αναγνωρίζει τις προσπάθειες της ΕΚΤ να επαναφέρει τον πληθωρισμό σε επίπεδα ανάλογα με τον στόχο του 2 % μεσοπρόθεσμα·</w:t>
      </w:r>
    </w:p>
    <w:p w:rsidR="00CB1228" w:rsidRPr="00ED450D" w:rsidRDefault="003E37EC" w:rsidP="003E37EC">
      <w:pPr>
        <w:pStyle w:val="NormalHanging12a"/>
        <w:ind w:hanging="570"/>
      </w:pPr>
      <w:r w:rsidRPr="00ED450D">
        <w:t>6.</w:t>
      </w:r>
      <w:r w:rsidRPr="00ED450D">
        <w:tab/>
      </w:r>
      <w:r w:rsidR="00CB1228" w:rsidRPr="00ED450D">
        <w:t xml:space="preserve">τονίζει ότι τόσο η νομισματική πολιτική της ΕΚΤ, με την οποία υλοποιεί την εντολή της, όσο και οι δημοσιονομικές πολιτικές θα πρέπει να συμβαδίζουν ώστε να </w:t>
      </w:r>
      <w:proofErr w:type="spellStart"/>
      <w:r w:rsidR="00CB1228" w:rsidRPr="00ED450D">
        <w:t>βοηθούνται</w:t>
      </w:r>
      <w:proofErr w:type="spellEnd"/>
      <w:r w:rsidR="00CB1228" w:rsidRPr="00ED450D">
        <w:t xml:space="preserve"> τόσο οι Ευρωπαίοι πολίτες και τα νοικοκυριά όσο και οι μικρές επιχειρήσεις·</w:t>
      </w:r>
    </w:p>
    <w:p w:rsidR="00CB1228" w:rsidRPr="00ED450D" w:rsidRDefault="003E37EC" w:rsidP="003E37EC">
      <w:pPr>
        <w:pStyle w:val="NormalHanging12a"/>
        <w:ind w:hanging="570"/>
      </w:pPr>
      <w:r w:rsidRPr="00ED450D">
        <w:t>7.</w:t>
      </w:r>
      <w:r w:rsidRPr="00ED450D">
        <w:tab/>
      </w:r>
      <w:r w:rsidR="00CB1228" w:rsidRPr="00ED450D">
        <w:t>σημειώνει τις διαφορές μεταξύ των κρατών μελών όσον αφορά τα επίπεδα πληθωρισμού που είναι υψηλότερα ή χαμηλότερα από τον στόχο του 2 % που έχει θέσει η ΕΚΤ· τονίζει ότι ο πληθωρισμός μειώνει την αγοραστική δύναμη των σταθερών εισοδημάτων, των αποταμιεύσεων και των συντάξεων και στρεβλώνει τη λειτουργία σηματοδότησης των τιμών που διασφαλίζει την αποτελεσματική κατανομή των πόρων, με αποτέλεσμα να έχει αρνητικό αντίκτυπο στην οικονομική σταθερότητα·</w:t>
      </w:r>
    </w:p>
    <w:p w:rsidR="00CB1228" w:rsidRPr="00ED450D" w:rsidRDefault="003E37EC" w:rsidP="003E37EC">
      <w:pPr>
        <w:pStyle w:val="NormalHanging12a"/>
        <w:ind w:hanging="570"/>
      </w:pPr>
      <w:r w:rsidRPr="00ED450D">
        <w:t>8.</w:t>
      </w:r>
      <w:r w:rsidRPr="00ED450D">
        <w:tab/>
      </w:r>
      <w:r w:rsidR="00CB1228" w:rsidRPr="00ED450D">
        <w:t>τονίζει ότι ο πληθωρισμός προκάλεσε «κρίση του κόστους ζωής» για τους πολίτες της ΕΕ· τονίζει, για τον λόγο αυτό, την επιτακτική ανάγκη να μειωθεί ο πληθωρισμός στο επίπεδο-στόχο του 2 %· σημειώνει ότι τα υψηλά επίπεδα πληθωρισμού επηρεάζουν δυσανάλογα τα νοικοκυριά με χαμηλότερο εισόδημα τα οποία ξοδεύουν μεγαλύτερο ποσοστό του προϋπολογισμού τους σε είδη πρώτης ανάγκης· τονίζει ότι η επαναφορά του ονομαστικού πληθωρισμού στα επίπεδα-στόχους της είναι, επομένως, επίσης σημαντική για τη διατήρηση της κοινωνικής συνοχής·</w:t>
      </w:r>
    </w:p>
    <w:p w:rsidR="00CB1228" w:rsidRPr="00ED450D" w:rsidRDefault="003E37EC" w:rsidP="003E37EC">
      <w:pPr>
        <w:pStyle w:val="NormalHanging12a"/>
        <w:ind w:hanging="570"/>
      </w:pPr>
      <w:r w:rsidRPr="00ED450D">
        <w:t>9.</w:t>
      </w:r>
      <w:r w:rsidRPr="00ED450D">
        <w:tab/>
      </w:r>
      <w:r w:rsidR="00CB1228" w:rsidRPr="00ED450D">
        <w:t xml:space="preserve">εκφράζει τη λύπη του για το γεγονός ότι ο δομικός πληθωρισμός παραμένει υψηλός στη ζώνη του ευρώ (2,7% τον </w:t>
      </w:r>
      <w:r w:rsidR="00B951E0">
        <w:t>Δεκέμβριο</w:t>
      </w:r>
      <w:r w:rsidR="00CB1228" w:rsidRPr="00ED450D">
        <w:t xml:space="preserve"> του 2024), καθώς μόνο </w:t>
      </w:r>
      <w:r w:rsidR="00B951E0">
        <w:t>τρία κράτη μέλη</w:t>
      </w:r>
      <w:r w:rsidR="00CB1228" w:rsidRPr="00ED450D">
        <w:t xml:space="preserve"> της ζώνης του ευρώ ανέφερε ποσοστά δομικού πληθωρισμού χαμηλότερα του 2 % τον </w:t>
      </w:r>
      <w:r w:rsidR="00B951E0">
        <w:t>Δεκέμβριο</w:t>
      </w:r>
      <w:r w:rsidR="00CB1228" w:rsidRPr="00ED450D">
        <w:t xml:space="preserve"> του 2024· υπενθυμίζει ότι η κατάσταση αυτή δημιουργεί οικονομική αβεβαιότητα, αποθαρρύνει την αποταμίευση και αυξάνει το κόστος διαβίωσης των πολιτών, πλήττοντας ιδιαίτερα όσους έχουν σταθερά και περιορισμένα εισοδήματα·</w:t>
      </w:r>
    </w:p>
    <w:p w:rsidR="00CB1228" w:rsidRPr="00ED450D" w:rsidRDefault="003E37EC" w:rsidP="003E37EC">
      <w:pPr>
        <w:pStyle w:val="NormalHanging12a"/>
        <w:ind w:hanging="570"/>
      </w:pPr>
      <w:r w:rsidRPr="00ED450D">
        <w:t>10.</w:t>
      </w:r>
      <w:r w:rsidRPr="00ED450D">
        <w:tab/>
      </w:r>
      <w:r w:rsidR="00CB1228" w:rsidRPr="00ED450D">
        <w:t>τονίζει ότι η διατήρηση των επιτοκίων σε υπερβολικά υψηλά επίπεδα θα μπορούσε να βλάψει την οικονομική ανάπτυξη· καλεί την ΕΚΤ να μην μειώσει υπερβολικά γρήγορα τα επιτόκια, δεδομένου ότι υπάρχει κίνδυνος τα επίπεδα πληθωρισμού να αρχίσουν να αυξάνονται εκ νέου ενώ ο πληθωρισμός έχει ήδη υπερβεί το 2%· επισημαίνει τον καίριο ρόλο που διαδραματίζουν οι πληθωριστικές προσδοκίες, και ότι η υπερβολική αστάθεια των ποσοστών πληθωρισμού ενδέχεται να τις στρεβλώσει· καλεί την ΕΚΤ να αξιολογήσει τον αντίκτυπο των μεταβολών των επιτοκίων σε διάφορους οικονομικούς τομείς, στους οποίους συμπεριλαμβάνονται και τομείς έντασης κεφαλαίου·</w:t>
      </w:r>
    </w:p>
    <w:p w:rsidR="00CB1228" w:rsidRPr="00ED450D" w:rsidRDefault="003E37EC" w:rsidP="003E37EC">
      <w:pPr>
        <w:pStyle w:val="NormalHanging12a"/>
        <w:ind w:hanging="570"/>
      </w:pPr>
      <w:r w:rsidRPr="00ED450D">
        <w:t>11.</w:t>
      </w:r>
      <w:r w:rsidRPr="00ED450D">
        <w:tab/>
      </w:r>
      <w:r w:rsidR="00CB1228" w:rsidRPr="00ED450D">
        <w:t>αναγνωρίζει ότι οι αποφάσεις νομισματικής πολιτικής που έλαβε το διοικητικό συμβούλιο της ΕΚΤ μετά την πληθωριστική κρίση λόγω της ανόδου των τιμών της ενέργειας έθεσαν τον πληθωρισμό σε τροχιά συμβατή με την επίτευξη του στόχου της σταθερότητας των τιμών, αποφεύγοντας ταυτόχρονα τη σοβαρή επιδείνωση της οικονομικής δραστηριότητας ή της απασχόλησης·</w:t>
      </w:r>
    </w:p>
    <w:p w:rsidR="00CB1228" w:rsidRPr="00ED450D" w:rsidRDefault="003E37EC" w:rsidP="003E37EC">
      <w:pPr>
        <w:pStyle w:val="NormalHanging12a"/>
        <w:ind w:hanging="570"/>
      </w:pPr>
      <w:r w:rsidRPr="00ED450D">
        <w:t>12.</w:t>
      </w:r>
      <w:r w:rsidRPr="00ED450D">
        <w:tab/>
      </w:r>
      <w:r w:rsidR="00CB1228" w:rsidRPr="00ED450D">
        <w:t xml:space="preserve">υπενθυμίζει ότι το </w:t>
      </w:r>
      <w:proofErr w:type="spellStart"/>
      <w:r w:rsidR="00CB1228" w:rsidRPr="00ED450D">
        <w:t>Ευρωσύστημα</w:t>
      </w:r>
      <w:proofErr w:type="spellEnd"/>
      <w:r w:rsidR="00CB1228" w:rsidRPr="00ED450D">
        <w:t xml:space="preserve"> έχει διαμορφωθεί με βάση την αρχή της νομισματικής κυριαρχίας και ότι η Οικονομική και Νομισματική Ένωση απαιτεί επομένως σταθερές δημοσιονομικές πολιτικές στα κράτη μέλη προκειμένου να είναι σε θέση να ανταποκρίνονται σε εξωτερικούς κλυδωνισμούς· υπενθυμίζει την ανάγκη για ορθή εφαρμογή του νέου δημοσιονομικού πλαισίου ώστε να διασφαλιστεί η αξιοπιστία των δημοσιονομικών πολιτικών στο επίπεδο της Οικονομικής και Νομισματικής Ένωσης· </w:t>
      </w:r>
      <w:r w:rsidR="00CB1228" w:rsidRPr="00ED450D">
        <w:lastRenderedPageBreak/>
        <w:t>σημειώνει ότι ο επαρκής δημοσιονομικός χώρος επιτρέπει επίσης στα κράτη μέλη να ανταποκρίνονται σε εξωτερικούς κλυδωνισμούς· σημειώνει την ευελιξία που παρέχουν οι νέοι δημοσιονομικοί κανόνες στο πλαίσιο αυτό· επισημαίνει ότι τα κράτη μέλη μπορούν να ενισχύσουν την ανθεκτικότητά τους σε εξωτερικούς κλυδωνισμούς τόσο μέσω δημοσιονομικών μέτρων όσο και με μεταρρυθμίσεις που ενισχύουν την ανάπτυξη·</w:t>
      </w:r>
    </w:p>
    <w:p w:rsidR="00CB1228" w:rsidRPr="00ED450D" w:rsidRDefault="003E37EC" w:rsidP="003E37EC">
      <w:pPr>
        <w:pStyle w:val="NormalHanging12a"/>
        <w:ind w:hanging="570"/>
      </w:pPr>
      <w:r w:rsidRPr="00ED450D">
        <w:t>13.</w:t>
      </w:r>
      <w:r w:rsidRPr="00ED450D">
        <w:tab/>
      </w:r>
      <w:r w:rsidR="00CB1228" w:rsidRPr="00ED450D">
        <w:t>υπενθυμίζει ότι οι συνετές δημοσιονομικές πολιτικές των κρατών μελών μπορούν να συμπληρώσουν τις προσπάθειες της ΕΚΤ να διατηρήσει τον πληθωρισμό σε χαμηλά επίπεδα και έτσι να προστατέψει τα εισοδήματα· επισημαίνει ότι η αντιμετώπιση των υπερβολικών επιπέδων δημόσιου ελλείμματος και χρέους είναι ζωτικής σημασίας για τη διατήρηση της σταθερότητας της οικονομίας και της βιώσιμης ανάπτυξης καθώς και για την ύπαρξη περιθωρίων πολιτικής που θα επιτρέπουν στις κυβερνήσεις να αντιδρούν σε δυσμενείς κλυδωνισμούς· σημειώνει, εν προκειμένω, τα πρόσφατα πορίσματα της έκθεσης για τη χρηματοπιστωτική σταθερότητα σχετικά με τα υψηλά επίπεδα εθνικού χρέους·</w:t>
      </w:r>
    </w:p>
    <w:p w:rsidR="00CB1228" w:rsidRPr="00ED450D" w:rsidRDefault="003E37EC" w:rsidP="003E37EC">
      <w:pPr>
        <w:pStyle w:val="NormalHanging12a"/>
        <w:ind w:hanging="570"/>
      </w:pPr>
      <w:r w:rsidRPr="00ED450D">
        <w:t>14.</w:t>
      </w:r>
      <w:r w:rsidRPr="00ED450D">
        <w:tab/>
      </w:r>
      <w:r w:rsidR="00CB1228" w:rsidRPr="00ED450D">
        <w:t>σημειώνει ότι οι νομισματικές πολιτικές της ΕΚΤ που αποσκοπούν στην εκπλήρωση της πρωταρχικής εντολής της υπόκεινται σε αξιολόγηση αναλογικότητας· σημειώνει ότι η αξιολόγηση της αναλογικότητας λαμβάνει υπόψη τον αντίκτυπο των μέτρων νομισματικής πολιτικής στην ευρύτερη οικονομία και στις οικονομικές πολιτικές·</w:t>
      </w:r>
    </w:p>
    <w:p w:rsidR="00CB1228" w:rsidRPr="00ED450D" w:rsidRDefault="00CB1228" w:rsidP="00CB1228">
      <w:pPr>
        <w:pStyle w:val="Normal12a24b"/>
      </w:pPr>
      <w:r w:rsidRPr="00ED450D">
        <w:rPr>
          <w:rStyle w:val="BoldItalic"/>
        </w:rPr>
        <w:t>Νομισματική πολιτική</w:t>
      </w:r>
    </w:p>
    <w:p w:rsidR="00CB1228" w:rsidRPr="00ED450D" w:rsidRDefault="003E37EC" w:rsidP="003E37EC">
      <w:pPr>
        <w:pStyle w:val="NormalHanging12a"/>
        <w:ind w:hanging="570"/>
      </w:pPr>
      <w:r w:rsidRPr="00ED450D">
        <w:t>15.</w:t>
      </w:r>
      <w:r w:rsidRPr="00ED450D">
        <w:tab/>
      </w:r>
      <w:r w:rsidR="00CB1228" w:rsidRPr="00ED450D">
        <w:t>εκφράζει την βαθιά ικανοποίησή του για το γεγονός ότι ο ονομαστικός πληθωρισμός μειώθηκε από το ποσοστό ρεκόρ του 10,6 % που καταγράφηκε τον Οκτώβριο του 2022 σε 2,</w:t>
      </w:r>
      <w:r w:rsidR="00B951E0">
        <w:t>4</w:t>
      </w:r>
      <w:r w:rsidR="00CB1228" w:rsidRPr="00ED450D">
        <w:t xml:space="preserve"> % τον </w:t>
      </w:r>
      <w:r w:rsidR="00B951E0">
        <w:t>Δεκέμβριο</w:t>
      </w:r>
      <w:r w:rsidR="00B951E0" w:rsidRPr="00ED450D">
        <w:t xml:space="preserve"> </w:t>
      </w:r>
      <w:r w:rsidR="00CB1228" w:rsidRPr="00ED450D">
        <w:t>του 2024·</w:t>
      </w:r>
    </w:p>
    <w:p w:rsidR="00CB1228" w:rsidRPr="00ED450D" w:rsidRDefault="003E37EC" w:rsidP="003E37EC">
      <w:pPr>
        <w:pStyle w:val="NormalHanging12a"/>
        <w:ind w:hanging="570"/>
      </w:pPr>
      <w:r w:rsidRPr="00ED450D">
        <w:t>16.</w:t>
      </w:r>
      <w:r w:rsidRPr="00ED450D">
        <w:tab/>
      </w:r>
      <w:r w:rsidR="00CB1228" w:rsidRPr="00ED450D">
        <w:t xml:space="preserve">εκφράζει την ικανοποίησή του για τη μείωση του δομικού πληθωρισμού από το ποσοστό ρεκόρ του 7,6 % τον Μάρτιο του 2023 σε 2,7 % τον </w:t>
      </w:r>
      <w:r w:rsidR="00B951E0">
        <w:t>Δεκέμβριο</w:t>
      </w:r>
      <w:r w:rsidR="00B951E0" w:rsidRPr="00ED450D">
        <w:t xml:space="preserve"> </w:t>
      </w:r>
      <w:r w:rsidR="00CB1228" w:rsidRPr="00ED450D">
        <w:t>του 2024, αλλά εκφράζει την ανησυχία του για το ιστορικά και σταθερά υψηλό επίπεδό του· σημειώνει με ανησυχία ότι ο υψηλός δομικός πληθωρισμός θα μπορούσε να οδηγήσει σε υψηλότερα επίπεδα ονομαστικού πληθωρισμού·</w:t>
      </w:r>
    </w:p>
    <w:p w:rsidR="00CB1228" w:rsidRPr="00ED450D" w:rsidRDefault="003E37EC" w:rsidP="003E37EC">
      <w:pPr>
        <w:pStyle w:val="NormalHanging12a"/>
        <w:ind w:hanging="570"/>
      </w:pPr>
      <w:r w:rsidRPr="00ED450D">
        <w:t>17.</w:t>
      </w:r>
      <w:r w:rsidRPr="00ED450D">
        <w:tab/>
      </w:r>
      <w:r w:rsidR="00CB1228" w:rsidRPr="00ED450D">
        <w:t>σημειώνει ότι η ΕΚΤ χρειάστηκε πάνω από τρία χρόνια για να επιτύχει επίπεδο πληθωρισμού ανάλογο προς το επίπεδο-στόχο του 2 %· υπενθυμίζει, εν προκειμένω, τη λανθασμένη εκτίμηση της ΕΚΤ ότι ο πληθωρισμός αναμενόταν να είναι παροδικός·</w:t>
      </w:r>
    </w:p>
    <w:p w:rsidR="00CB1228" w:rsidRPr="00ED450D" w:rsidRDefault="003E37EC" w:rsidP="003E37EC">
      <w:pPr>
        <w:pStyle w:val="NormalHanging12a"/>
        <w:ind w:hanging="570"/>
      </w:pPr>
      <w:r w:rsidRPr="00ED450D">
        <w:t>18.</w:t>
      </w:r>
      <w:r w:rsidRPr="00ED450D">
        <w:tab/>
      </w:r>
      <w:r w:rsidR="00CB1228" w:rsidRPr="00ED450D">
        <w:t>τονίζει ότι οι κλυδωνισμοί του εφοδιασμού, οι οποίοι προήλθαν κυρίως από εξωτερικές πηγές, ήταν ένας από τους βασικούς παράγοντες της αύξησης του πληθωρισμού· αναγνωρίζει ότι η νομισματική πολιτική έχει πιο άμεση επίδραση στα επίπεδα του πληθωρισμού όταν απορρέει κυρίως από παράγοντες ζήτησης και όχι από παράγοντες προσφοράς·</w:t>
      </w:r>
    </w:p>
    <w:p w:rsidR="00CB1228" w:rsidRPr="00ED450D" w:rsidRDefault="003E37EC" w:rsidP="003E37EC">
      <w:pPr>
        <w:pStyle w:val="NormalHanging12a"/>
        <w:ind w:hanging="570"/>
      </w:pPr>
      <w:r w:rsidRPr="00ED450D">
        <w:t>19.</w:t>
      </w:r>
      <w:r w:rsidRPr="00ED450D">
        <w:tab/>
      </w:r>
      <w:r w:rsidR="00CB1228" w:rsidRPr="00ED450D">
        <w:t xml:space="preserve">επικροτεί τις προσπάθειες της ΕΚΤ να επικαιροποιεί τακτικά τα μοντέλα της· καλεί την ΕΚΤ να συνεχίζει να επανεξετάζει και να βελτιώνει τα μοντέλα της και τον ρόλο τους στη χάραξη πολιτικής της, λόγω των χαμηλότερων επιδόσεων των μοντέλων αυτών τα τελευταία χρόνια, με σκοπό την άντληση διδαγμάτων από προηγούμενες κρίσεις, ιδίως για να διακρίνονται καλύτερα οι πηγές πληθωρισμού που βασίζονται στη ζήτηση από εκείνες που προέρχονται από την πλευρά της προσφοράς· τονίζει ότι κλυδωνισμοί του οικονομικού εφοδιασμού μπορούν να προκύψουν από πολλές πηγές, μεταξύ άλλων από </w:t>
      </w:r>
      <w:r w:rsidR="00CB1228" w:rsidRPr="00ED450D">
        <w:lastRenderedPageBreak/>
        <w:t>γεωπολιτικά γεγονότα, καταστροφές που σχετίζονται με το κλίμα ή φυσικές καταστροφές και κυβερνοεπιθέσεις·</w:t>
      </w:r>
    </w:p>
    <w:p w:rsidR="00CB1228" w:rsidRPr="00ED450D" w:rsidRDefault="003E37EC" w:rsidP="003E37EC">
      <w:pPr>
        <w:pStyle w:val="NormalHanging12a"/>
        <w:ind w:hanging="570"/>
      </w:pPr>
      <w:r w:rsidRPr="00ED450D">
        <w:t>20.</w:t>
      </w:r>
      <w:r w:rsidRPr="00ED450D">
        <w:tab/>
      </w:r>
      <w:r w:rsidR="00CB1228" w:rsidRPr="00ED450D">
        <w:t xml:space="preserve">τονίζει ότι η συμπερίληψη των ιδιοκατοικούμενων κατοικιών στον </w:t>
      </w:r>
      <w:proofErr w:type="spellStart"/>
      <w:r w:rsidR="00CB1228" w:rsidRPr="00ED450D">
        <w:t>ΕνΔΤΚ</w:t>
      </w:r>
      <w:proofErr w:type="spellEnd"/>
      <w:r w:rsidR="00CB1228" w:rsidRPr="00ED450D">
        <w:t xml:space="preserve"> είναι επιθυμητή για λόγους τόσο αντιπροσωπευτικότητας όσο και </w:t>
      </w:r>
      <w:proofErr w:type="spellStart"/>
      <w:r w:rsidR="00CB1228" w:rsidRPr="00ED450D">
        <w:t>συγκρισιμότητας</w:t>
      </w:r>
      <w:proofErr w:type="spellEnd"/>
      <w:r w:rsidR="00CB1228" w:rsidRPr="00ED450D">
        <w:t xml:space="preserve"> μεταξύ των χωρών της ζώνης του ευρώ· ζητεί να επιταχυνθεί ο χάρτης πορείας προκειμένου να εξασφαλιστεί η ταχεία ενσωμάτωση των ιδιοκατοικούμενων κατοικιών στον </w:t>
      </w:r>
      <w:proofErr w:type="spellStart"/>
      <w:r w:rsidR="00CB1228" w:rsidRPr="00ED450D">
        <w:t>ΕνΔΤΚ</w:t>
      </w:r>
      <w:proofErr w:type="spellEnd"/>
      <w:r w:rsidR="00CB1228" w:rsidRPr="00ED450D">
        <w:t>· εκφράζει την ικανοποίησή του για τη δέσμευση του Διοικητικού Συμβουλίου της ΕΚΤ να λάβει επίσης υπόψη τόσο στις αξιολογήσεις όσο και στις αποφάσεις της νομισματικής πολιτικής τους διαθέσιμους δείκτες πληθωρισμού όσον αφορά τον τριμηνιαίο αυτόνομο δείκτη ιδιοκατοικούμενων κατοικιών·</w:t>
      </w:r>
    </w:p>
    <w:p w:rsidR="00CB1228" w:rsidRPr="00ED450D" w:rsidRDefault="003E37EC" w:rsidP="003E37EC">
      <w:pPr>
        <w:pStyle w:val="NormalHanging12a"/>
        <w:ind w:hanging="570"/>
      </w:pPr>
      <w:r w:rsidRPr="00ED450D">
        <w:t>21.</w:t>
      </w:r>
      <w:r w:rsidRPr="00ED450D">
        <w:tab/>
      </w:r>
      <w:r w:rsidR="00CB1228" w:rsidRPr="00ED450D">
        <w:t>υποστηρίζει την απόφαση της ΕΚΤ να περιορίσει τα προγράμματά της για την αγορά περιουσιακών στοιχείων, ούτως ώστε να εξισορροπηθούν οι συνθήκες ρευστότητας στην αγορά με τα επίπεδα πληθωρισμού, δεδομένων της πλεονάζουσας ρευστότητας στην αγορά και των χαμηλότερων επιπέδων πληθωρισμού· επικροτεί το γεγονός ότι, από το 2023, σημειώνεται πτωτική τάση όσον αφορά το χαρτοφυλάκιο στοιχείων ενεργητικού στο πλαίσιο των προγραμμάτων αγοράς της ΕΚΤ·</w:t>
      </w:r>
    </w:p>
    <w:p w:rsidR="00CB1228" w:rsidRPr="00ED450D" w:rsidRDefault="003E37EC" w:rsidP="003E37EC">
      <w:pPr>
        <w:pStyle w:val="NormalHanging12a"/>
        <w:ind w:hanging="570"/>
      </w:pPr>
      <w:r w:rsidRPr="00ED450D">
        <w:t>22.</w:t>
      </w:r>
      <w:r w:rsidRPr="00ED450D">
        <w:tab/>
      </w:r>
      <w:r w:rsidR="00CB1228" w:rsidRPr="00ED450D">
        <w:t xml:space="preserve">υπογραμμίζει ότι οι τόκοι επί των τραπεζικών αποθεματικών των εμπορικών τραπεζών είχαν ως αποτέλεσμα, το 2023, να καταβάλει το </w:t>
      </w:r>
      <w:proofErr w:type="spellStart"/>
      <w:r w:rsidR="00CB1228" w:rsidRPr="00ED450D">
        <w:t>Ευρωσύστημα</w:t>
      </w:r>
      <w:proofErr w:type="spellEnd"/>
      <w:r w:rsidR="00CB1228" w:rsidRPr="00ED450D">
        <w:t xml:space="preserve"> σε πιστωτικά ιδρύματα τόκους ύψους 120 δισεκατομμυρίων EUR, ποσό που αντιστοιχεί τουλάχιστον στο 0,8 % του </w:t>
      </w:r>
      <w:proofErr w:type="spellStart"/>
      <w:r w:rsidR="00CB1228" w:rsidRPr="00ED450D">
        <w:t>ΑΕγχΠ</w:t>
      </w:r>
      <w:proofErr w:type="spellEnd"/>
      <w:r w:rsidR="00CB1228" w:rsidRPr="00ED450D">
        <w:t xml:space="preserve"> της ζώνης του ευρώ· θεωρεί ότι στην προκειμένη περίπτωση πρόκειται για σημαντική επιδότηση στον τραπεζικό τομέα· ζητεί από την ΕΚΤ να μετριάσει το πρόβλημα αυτό·</w:t>
      </w:r>
    </w:p>
    <w:p w:rsidR="00CB1228" w:rsidRPr="00ED450D" w:rsidRDefault="003E37EC" w:rsidP="003E37EC">
      <w:pPr>
        <w:pStyle w:val="NormalHanging12a"/>
        <w:ind w:hanging="570"/>
      </w:pPr>
      <w:r w:rsidRPr="00ED450D">
        <w:t>23.</w:t>
      </w:r>
      <w:r w:rsidRPr="00ED450D">
        <w:tab/>
      </w:r>
      <w:r w:rsidR="00CB1228" w:rsidRPr="00ED450D">
        <w:t>τονίζει ότι τα προγράμματα αγορών της ΕΚΤ αποτελούν μη συμβατικές πολιτικές που εφαρμόζονται μόνο κατά τη διάρκεια περιόδων κρίσης και οι οποίες, εάν δεν εφαρμοστούν προσεκτικά, ενέχουν τον κίνδυνο παραβίασης της απαγόρευσης της νομισματικής χρηματοδότησης, βάσει του άρθρου 123 παράγραφος 1 ΣΛΕΕ· καλεί την ΕΚΤ να συνεχίσει να παρακολουθεί τη σταδιακή μείωση του ισολογισμού της, για να περιορίσει τις παρατεταμένες δυνητικές αποσταθεροποιητικές επιπτώσεις στη ζώνη του ευρώ, παρακολουθώντας παράλληλα την ανάπτυξη και την ανταγωνιστικότητα της οικονομίας της ΕΕ· καλεί την ΕΚΤ να ανταλλάξει πληροφορίες σχετικά με τον αντίκτυπο των προγραμμάτων αγορών στη λειτουργία των χρηματοπιστωτικών αγορών, συμπεριλαμβανομένου του αντικτύπου στα συνταξιοδοτικά ταμεία και στη συνεργασία ασφαλίσεων συντάξεων·</w:t>
      </w:r>
    </w:p>
    <w:p w:rsidR="00CB1228" w:rsidRPr="00ED450D" w:rsidRDefault="003E37EC" w:rsidP="003E37EC">
      <w:pPr>
        <w:pStyle w:val="NormalHanging12a"/>
        <w:ind w:hanging="570"/>
      </w:pPr>
      <w:r w:rsidRPr="00ED450D">
        <w:t>24.</w:t>
      </w:r>
      <w:r w:rsidRPr="00ED450D">
        <w:tab/>
      </w:r>
      <w:r w:rsidR="00CB1228" w:rsidRPr="00ED450D">
        <w:t xml:space="preserve">τονίζει ότι η ομοιόμορφη μετάδοση της νομισματικής πολιτικής είναι ζωτικής σημασίας για την εκπλήρωση της εντολής της ΕΚΤ όσον αφορά τη σταθερότητα των τιμών· υπογραμμίζει ότι η υπερβολική απόκλιση στις αποδόσεις των κρατικών ομολόγων καθιστά τους πιστωτικούς όρους ασυνεπείς με την ομοιόμορφη μετάδοση της νομισματικής πολιτικής και δυσχεραίνει εξαιρετικά τη μείωση του δημόσιου χρέους· σημειώνει τη θέσπιση του μέσου προστασίας της μεταφοράς (TPI) τον Ιούλιο του 2022 ως εργαλείου για τη στήριξη της αποτελεσματικής μετάδοσης της νομισματικής πολιτικής σε ολόκληρη τη ζώνη του ευρώ· </w:t>
      </w:r>
    </w:p>
    <w:p w:rsidR="00CB1228" w:rsidRPr="00ED450D" w:rsidRDefault="003E37EC" w:rsidP="003E37EC">
      <w:pPr>
        <w:pStyle w:val="NormalHanging12a"/>
        <w:ind w:hanging="570"/>
      </w:pPr>
      <w:r w:rsidRPr="00ED450D">
        <w:t>25.</w:t>
      </w:r>
      <w:r w:rsidRPr="00ED450D">
        <w:tab/>
      </w:r>
      <w:r w:rsidR="00CB1228" w:rsidRPr="00ED450D">
        <w:t xml:space="preserve">τονίζει ότι, εφόσον δεν υφίστανται σοβαρές οικονομικές διαταραχές, τα αποκλίνοντα επιτόκια στη ζώνη του ευρώ είναι σε γενικές γραμμές το αποτέλεσμα των διαφορετικών ασφαλίστρων κινδύνου για τα κρατικά ομόλογα που αντανακλούν, μεταξύ άλλων παραγόντων, τις διαφορετικές προσεγγίσεις όσον αφορά τη δημοσιονομική πολιτική· </w:t>
      </w:r>
      <w:r w:rsidR="00CB1228" w:rsidRPr="00ED450D">
        <w:lastRenderedPageBreak/>
        <w:t>σημειώνει ότι οι παρεμβάσεις του TPI ενδέχεται να αποκρύπτουν τις υποκείμενες δημοσιονομικές προκλήσεις· τονίζει ότι το TPI θα πρέπει να χρησιμοποιείται υπό τους όρους που θέτει η ΕΚΤ μόνο με σκοπό την αντιμετώπιση πιέσεων στις χρηματοπιστωτικές αγορές που δεν σχετίζονται με τα θεμελιώδη οικονομικά μεγέθη· καλεί τα κράτη μέλη να εφαρμόσουν υπεύθυνες δημοσιονομικές πολιτικές και να εξασφαλίσουν βιώσιμα επίπεδα χρέους, διασφαλίζοντας με αυτόν τον τρόπο την ανθεκτικότητά τους έναντι των τρεχόντων και των μελλοντικών κλυδωνισμών·</w:t>
      </w:r>
    </w:p>
    <w:p w:rsidR="00CB1228" w:rsidRPr="00ED450D" w:rsidRDefault="00CB1228" w:rsidP="00CB1228">
      <w:pPr>
        <w:pStyle w:val="Normal12a24b"/>
      </w:pPr>
      <w:r w:rsidRPr="00ED450D">
        <w:rPr>
          <w:rStyle w:val="BoldItalic"/>
        </w:rPr>
        <w:t xml:space="preserve">Ψηφιακό ευρώ </w:t>
      </w:r>
    </w:p>
    <w:p w:rsidR="00CB1228" w:rsidRDefault="003E37EC" w:rsidP="003E37EC">
      <w:pPr>
        <w:pStyle w:val="NormalHanging12a"/>
        <w:ind w:hanging="570"/>
      </w:pPr>
      <w:r>
        <w:t>26.</w:t>
      </w:r>
      <w:r>
        <w:tab/>
      </w:r>
      <w:r w:rsidR="00B951E0" w:rsidRPr="00B951E0">
        <w:t xml:space="preserve">σημειώνει την πρόοδο της ΕΚΤ όσον αφορά το σχέδιο του ψηφιακού ευρώ, και χαιρετίζει τον υπό εξέλιξη διάλογό της με το Κοινοβούλιο· υπογραμμίζει ότι το τυχόν ψηφιακό ευρώ θα πρέπει να προσφέρει σαφή προστιθέμενη αξία στους Ευρωπαίους πολίτες, συμπεριλαμβανομένων ενισχυμένης στρατηγικής αυτονομίας στις πληρωμές, υψηλότερου επιπέδου ανταγωνισμού στην αγορά πληρωμών λιανικής, δυνατοτήτων προώθησης της καινοτομίας στις πληρωμές και τη χρηματοδότηση, βελτιωμένης χρηματοπιστωτικής ένταξης και εφεδρικού συστήματος πληρωμών εκτός διαδικτύου· καλεί την ΕΚΤ να επιδείξει σαφώς τα σχετικά οφέλη πριν οι </w:t>
      </w:r>
      <w:proofErr w:type="spellStart"/>
      <w:r w:rsidR="00B951E0" w:rsidRPr="00B951E0">
        <w:t>συννομοθέτες</w:t>
      </w:r>
      <w:proofErr w:type="spellEnd"/>
      <w:r w:rsidR="00B951E0" w:rsidRPr="00B951E0">
        <w:t xml:space="preserve"> της ΕΕ αποφασίσουν αν θα θεσπιστεί ψηφιακό ευρώ που να επιτυγχάνει την κατάλληλη ισορροπία, μεταξύ άλλων, όσον αφορά τα όρια </w:t>
      </w:r>
      <w:proofErr w:type="spellStart"/>
      <w:r w:rsidR="00B951E0" w:rsidRPr="00B951E0">
        <w:t>διακράτησης</w:t>
      </w:r>
      <w:proofErr w:type="spellEnd"/>
      <w:r w:rsidR="00B951E0" w:rsidRPr="00B951E0">
        <w:t>, τις ανησυχίες για την ιδιωτική ζωή, τον ανταγωνισμό με λύσεις ιδιωτικών πληρωμών και τη χρηστικότητα σε επιχειρηματικό πλαίσιο·</w:t>
      </w:r>
    </w:p>
    <w:p w:rsidR="00B951E0" w:rsidRPr="00ED450D" w:rsidRDefault="003E37EC" w:rsidP="003E37EC">
      <w:pPr>
        <w:pStyle w:val="NormalHanging12a"/>
        <w:ind w:hanging="570"/>
      </w:pPr>
      <w:r w:rsidRPr="00ED450D">
        <w:t>27.</w:t>
      </w:r>
      <w:r w:rsidRPr="00ED450D">
        <w:tab/>
      </w:r>
      <w:r w:rsidR="00B951E0" w:rsidRPr="00B951E0">
        <w:t xml:space="preserve">ζητεί να μην ληφθεί αποκλειστικά από το διοικητικό συμβούλιο της ΕΚΤ οποιαδήποτε απόφαση για την έκδοση του ψηφιακού ευρώ· θεωρεί, αντιθέτως, ότι η απόφαση για την εισαγωγή ή μη ενός ψηφιακού ευρώ αποτελεί τελικά πολιτική απόφαση που πρέπει να ληφθεί από τους </w:t>
      </w:r>
      <w:proofErr w:type="spellStart"/>
      <w:r w:rsidR="00B951E0">
        <w:t>συν</w:t>
      </w:r>
      <w:r w:rsidR="00B951E0" w:rsidRPr="00B951E0">
        <w:t>νομοθέτες</w:t>
      </w:r>
      <w:proofErr w:type="spellEnd"/>
      <w:r w:rsidR="00B951E0" w:rsidRPr="00B951E0">
        <w:t xml:space="preserve"> της ΕΕ, δεδομένου του σοβαρού αντικτύπου που θα μπορούσε να έχει η εν λόγω απόφαση σε ευρύ φάσμα τομέων της ΕΕ, όπως η ιδιωτική ζωή, η προστασία των καταναλωτών, η χρηματοπιστωτική σταθερότητα, η χρηματοπιστωτική πολιτική και άλλοι τομείς που υπερβαίνουν το αυστηρό πεδίο της νομισματικής πολιτικής·</w:t>
      </w:r>
    </w:p>
    <w:p w:rsidR="00CB1228" w:rsidRPr="00ED450D" w:rsidRDefault="003E37EC" w:rsidP="003E37EC">
      <w:pPr>
        <w:pStyle w:val="NormalHanging12a"/>
        <w:ind w:hanging="570"/>
      </w:pPr>
      <w:r w:rsidRPr="00ED450D">
        <w:t>28.</w:t>
      </w:r>
      <w:r w:rsidRPr="00ED450D">
        <w:tab/>
      </w:r>
      <w:r w:rsidR="00CB1228" w:rsidRPr="00ED450D">
        <w:t>θεωρεί ότι το εγχείρημα του ψηφιακού ευρώ θα επιτύχει μόνον εάν συνεπάγεται απτή προστιθέμενη αξία για τους Ευρωπαίους πολίτες την οποία θα μπορούν να αντιληφθούν· σημειώνει ότι πολλοί Ευρωπαίοι πολίτες σήμερα είτε δεν γνωρίζουν για το σχέδιο σχετικά με το ψηφιακό ευρώ είτε παραμένουν επιφυλακτικοί·</w:t>
      </w:r>
    </w:p>
    <w:p w:rsidR="00CB1228" w:rsidRPr="00ED450D" w:rsidRDefault="003E37EC" w:rsidP="003E37EC">
      <w:pPr>
        <w:pStyle w:val="NormalHanging12a"/>
        <w:ind w:hanging="570"/>
      </w:pPr>
      <w:r w:rsidRPr="00ED450D">
        <w:t>29.</w:t>
      </w:r>
      <w:r w:rsidRPr="00ED450D">
        <w:tab/>
      </w:r>
      <w:r w:rsidR="00CB1228" w:rsidRPr="00ED450D">
        <w:t xml:space="preserve">επαναλαμβάνει ότι τα μετρητά θα </w:t>
      </w:r>
      <w:r w:rsidR="00B951E0">
        <w:t xml:space="preserve">πρέπει να </w:t>
      </w:r>
      <w:r w:rsidR="00CB1228" w:rsidRPr="00ED450D">
        <w:t>παραμένουν ευρέως διαθέσιμα και προσιτά ανά πάσα στιγμή, ούτως ώστε να εξασφαλιστεί η ποικιλία των μέσων πληρωμής· επικροτεί, στο πλαίσιο αυτό, την πρόταση κανονισμού σχετικά με τη χρήση των μετρητών σε ευρώ ως νόμιμου χρήματος·</w:t>
      </w:r>
    </w:p>
    <w:p w:rsidR="00CB1228" w:rsidRPr="00ED450D" w:rsidRDefault="003E37EC" w:rsidP="003E37EC">
      <w:pPr>
        <w:pStyle w:val="NormalHanging12a"/>
        <w:ind w:hanging="570"/>
      </w:pPr>
      <w:r w:rsidRPr="00ED450D">
        <w:t>30.</w:t>
      </w:r>
      <w:r w:rsidRPr="00ED450D">
        <w:tab/>
      </w:r>
      <w:r w:rsidR="00CB1228" w:rsidRPr="00ED450D">
        <w:t>τονίζει ότι χρειάζεται ένα βασισμένο στο κόστος μοντέλο αποζημίωσης για τον τραπεζικό τομέα, το οποίο θα είναι επιφορτισμένο με την πρακτική εφαρμογή του σχεδίου για το ψηφιακό ευρώ· υπενθυμίζει ότι το μοντέλο αποζημίωσης πρέπει να εγγυάται ένα ευρώ χωρίς κόστος για τους χρήστες του·</w:t>
      </w:r>
    </w:p>
    <w:p w:rsidR="00CB1228" w:rsidRPr="00ED450D" w:rsidRDefault="003E37EC" w:rsidP="003E37EC">
      <w:pPr>
        <w:pStyle w:val="NormalHanging12a"/>
        <w:ind w:hanging="570"/>
      </w:pPr>
      <w:r w:rsidRPr="00ED450D">
        <w:t>31.</w:t>
      </w:r>
      <w:r w:rsidRPr="00ED450D">
        <w:tab/>
      </w:r>
      <w:r w:rsidR="00CB1228" w:rsidRPr="00ED450D">
        <w:t xml:space="preserve">καλεί την ΕΚΤ να λάβει δεόντως υπόψη τις ανησυχίες που εγείρει η εισαγωγή του ψηφιακού ευρώ όσον αφορά τη χρηματοπιστωτική σταθερότητα και τη δυνητική μεταβολή της δομής του χρηματοπιστωτικού τομέα· υπενθυμίζει τη σημασία των ορίων </w:t>
      </w:r>
      <w:proofErr w:type="spellStart"/>
      <w:r w:rsidR="00CB1228" w:rsidRPr="00ED450D">
        <w:lastRenderedPageBreak/>
        <w:t>διακράτησης</w:t>
      </w:r>
      <w:proofErr w:type="spellEnd"/>
      <w:r w:rsidR="00CB1228" w:rsidRPr="00ED450D">
        <w:t>, προκειμένου να μην δημιουργούνται πρόσθετοι κίνδυνοι για τους ισολογισμούς των τραπεζών, ιδίως κατά τη διάρκεια κρίσεων·</w:t>
      </w:r>
    </w:p>
    <w:p w:rsidR="00CB1228" w:rsidRPr="00ED450D" w:rsidRDefault="003E37EC" w:rsidP="003E37EC">
      <w:pPr>
        <w:pStyle w:val="NormalHanging12a"/>
        <w:ind w:hanging="570"/>
      </w:pPr>
      <w:r w:rsidRPr="00ED450D">
        <w:t>32.</w:t>
      </w:r>
      <w:r w:rsidRPr="00ED450D">
        <w:tab/>
      </w:r>
      <w:r w:rsidR="00CB1228" w:rsidRPr="00ED450D">
        <w:t>καλεί την ΕΚΤ να δώσει προτεραιότητα σε ισχυρές διασφαλίσεις της ιδιωτικότητας, καθιερώνοντάς τις ως χρυσό κανόνα για την προστασία της ιδιωτικότητας για το ψηφιακό νόμισμα κεντρικής τράπεζας (CBDC), για να εξασφαλιστεί η εμπιστοσύνη του κοινού και να αντιμετωπιστούν οι ανησυχίες των πολιτών σε σχέση με την προστασία και την αυτονομία των δεδομένων·</w:t>
      </w:r>
    </w:p>
    <w:p w:rsidR="00CB1228" w:rsidRPr="00ED450D" w:rsidRDefault="00CB1228" w:rsidP="00CB1228">
      <w:pPr>
        <w:pStyle w:val="Normal12a24b"/>
      </w:pPr>
      <w:r w:rsidRPr="00ED450D">
        <w:rPr>
          <w:rStyle w:val="BoldItalic"/>
        </w:rPr>
        <w:t>Δευτερεύοντες στόχοι</w:t>
      </w:r>
    </w:p>
    <w:p w:rsidR="00CB1228" w:rsidRPr="00ED450D" w:rsidRDefault="003E37EC" w:rsidP="003E37EC">
      <w:pPr>
        <w:pStyle w:val="NormalHanging12a"/>
        <w:ind w:hanging="570"/>
      </w:pPr>
      <w:r w:rsidRPr="00ED450D">
        <w:t>33.</w:t>
      </w:r>
      <w:r w:rsidRPr="00ED450D">
        <w:tab/>
      </w:r>
      <w:r w:rsidR="00CB1228" w:rsidRPr="00ED450D">
        <w:t>τονίζει ότι οι δευτερεύοντες στόχοι της ΕΕ είναι απροσδιόριστοι, όπως ορίζονται σήμερα στις Συνθήκες· σημειώνει ότι ο υποστηρικτικός χαρακτήρας των δευτερευόντων στόχων της ΕΚΤ συμπληρώνει την πρωταρχική εντολή· σύμφωνα με τις Συνθήκες, στόχος της ΕΕ είναι η προαγωγή της ειρήνης, των αξιών της και της ευημερίας των λαών της και η εξασφάλιση ισόρροπης οικονομικής ανάπτυξης και σταθερότητας των τιμών, μιας άκρως ανταγωνιστικής κοινωνικής οικονομίας της αγοράς, με στόχο την πλήρη απασχόληση και την κοινωνική πρόοδο, και υψηλού επιπέδου προστασίας και βελτίωσης της ποιότητας του περιβάλλοντος·</w:t>
      </w:r>
    </w:p>
    <w:p w:rsidR="00CB1228" w:rsidRPr="00ED450D" w:rsidRDefault="003E37EC" w:rsidP="003E37EC">
      <w:pPr>
        <w:pStyle w:val="NormalHanging12a"/>
        <w:ind w:hanging="570"/>
      </w:pPr>
      <w:r w:rsidRPr="00ED450D">
        <w:t>34.</w:t>
      </w:r>
      <w:r w:rsidRPr="00ED450D">
        <w:tab/>
      </w:r>
      <w:r w:rsidR="00CB1228" w:rsidRPr="00ED450D">
        <w:t>υπενθυμίζει ότι, με την επιφύλαξη της πρωταρχικής εντολής της ΕΚΤ, η ΣΛΕΕ απαιτεί από την ΕΚΤ να υποστηρίζει τις γενικές οικονομικές πολιτικές της Ένωσης· καλεί την ΕΚΤ να τηρεί την εντολή της όταν ερμηνεύει ή ενεργεί σύμφωνα με τους δευτερεύοντες στόχους της· τονίζει ότι η υπέρβαση αυτής της εντολής θίγει την ανεξαρτησία της κεντρικής τράπεζας· θεωρεί ότι η διατήρηση της σταθερότητας των τιμών και των σταθερών μακροοικονομικών συνθηκών συμβάλλει στη δημιουργία κατάλληλων συνθηκών για την υλοποίηση των γενικών στόχων οικονομικής πολιτικής της ΕΕ·</w:t>
      </w:r>
    </w:p>
    <w:p w:rsidR="00CB1228" w:rsidRPr="00ED450D" w:rsidRDefault="003E37EC" w:rsidP="003E37EC">
      <w:pPr>
        <w:pStyle w:val="NormalHanging12a"/>
        <w:ind w:hanging="570"/>
      </w:pPr>
      <w:r w:rsidRPr="00ED450D">
        <w:t>35.</w:t>
      </w:r>
      <w:r w:rsidRPr="00ED450D">
        <w:tab/>
      </w:r>
      <w:r w:rsidR="00CB1228" w:rsidRPr="00ED450D">
        <w:t>τονίζει ότι οι δευτερεύοντες στόχοι της ΕΚΤ επιτυγχάνονται καλύτερα όταν λειτουργεί σε ένα σταθερό μακροοικονομικό περιβάλλον το οποίο βασίζεται σε προβλέψιμα επίπεδα τιμών και ενθαρρύνει τις επενδύσεις· καλεί την ΕΚΤ να συμπεριλάβει στην ετήσια έκθεσή της ειδικό κεφάλαιο όπου θα επεξηγείται πώς ερμήνευσε και υλοποίησε τους δευτερεύοντες στόχους της·</w:t>
      </w:r>
    </w:p>
    <w:p w:rsidR="00CB1228" w:rsidRPr="00ED450D" w:rsidRDefault="003E37EC" w:rsidP="003E37EC">
      <w:pPr>
        <w:pStyle w:val="NormalHanging12a"/>
        <w:ind w:hanging="570"/>
      </w:pPr>
      <w:r w:rsidRPr="00ED450D">
        <w:t>36.</w:t>
      </w:r>
      <w:r w:rsidRPr="00ED450D">
        <w:tab/>
      </w:r>
      <w:r w:rsidR="00CB1228" w:rsidRPr="00ED450D">
        <w:t>τονίζει ότι η ΕΚΤ θα πρέπει να αποτρέπει στρεβλώσεις στη λειτουργία σηματοδότησης των τιμών η οποία εξασφαλίζει αποτελεσματική κατανομή των πόρων· καλεί την ΕΚΤ να αξιολογήσει περαιτέρω σε ποιο βαθμό η κλιματική αλλαγή επηρεάζει την ικανότητά της να διατηρεί τη σταθερότητα των τιμών·</w:t>
      </w:r>
    </w:p>
    <w:p w:rsidR="00CB1228" w:rsidRPr="00ED450D" w:rsidRDefault="003E37EC" w:rsidP="003E37EC">
      <w:pPr>
        <w:pStyle w:val="NormalHanging12a"/>
        <w:ind w:hanging="570"/>
      </w:pPr>
      <w:r w:rsidRPr="00ED450D">
        <w:t>37.</w:t>
      </w:r>
      <w:r w:rsidRPr="00ED450D">
        <w:tab/>
      </w:r>
      <w:r w:rsidR="00B951E0" w:rsidRPr="00B951E0">
        <w:t>ζητά από την ΕΚΤ να τηρεί την προσέγγιση της ουδετερότητας της αγοράς στις νομισματικές πράξεις της, επισημαίνοντας παράλληλα ότι η ΕΚΤ αναγνωρίζει πως η ουδετερότητα της αγοράς αποτελεί επιχειρησιακό εργαλείο και όχι νομική απαίτηση·</w:t>
      </w:r>
      <w:r w:rsidR="00CB1228" w:rsidRPr="00ED450D">
        <w:t xml:space="preserve"> </w:t>
      </w:r>
    </w:p>
    <w:p w:rsidR="00CB1228" w:rsidRPr="00ED450D" w:rsidRDefault="003E37EC" w:rsidP="003E37EC">
      <w:pPr>
        <w:pStyle w:val="NormalHanging12a"/>
        <w:ind w:hanging="570"/>
      </w:pPr>
      <w:r w:rsidRPr="00ED450D">
        <w:t>38.</w:t>
      </w:r>
      <w:r w:rsidRPr="00ED450D">
        <w:tab/>
      </w:r>
      <w:r w:rsidR="00CB1228" w:rsidRPr="00ED450D">
        <w:t>σημειώνει ότι οι ενέργειες της ΕΚΤ για την απανθρακοποίηση των εταιρικών ομολόγων της δεν ακολούθησαν αυστηρά ουδέτερη ως προς την αγορά προσέγγιση·</w:t>
      </w:r>
    </w:p>
    <w:p w:rsidR="00CB1228" w:rsidRPr="00ED450D" w:rsidRDefault="003E37EC" w:rsidP="003E37EC">
      <w:pPr>
        <w:pStyle w:val="NormalHanging12a"/>
        <w:ind w:hanging="570"/>
      </w:pPr>
      <w:r w:rsidRPr="00ED450D">
        <w:t>39.</w:t>
      </w:r>
      <w:r w:rsidRPr="00ED450D">
        <w:tab/>
      </w:r>
      <w:r w:rsidR="00CB1228" w:rsidRPr="00ED450D">
        <w:t>καλεί την ΕΚΤ να επανεξετάσει τις πολιτικές της προκειμένου να διασφαλίσει ότι τα μέτρα αυτά προωθούν την ανταγωνιστικότητα της ΕΕ, ενώ οι δράσεις αυτές δεν θα πρέπει σε καμία περίπτωση να θέτουν σε κίνδυνο τον πρωταρχικό στόχο της ΕΚΤ·</w:t>
      </w:r>
    </w:p>
    <w:p w:rsidR="00CB1228" w:rsidRPr="00ED450D" w:rsidRDefault="003E37EC" w:rsidP="003E37EC">
      <w:pPr>
        <w:pStyle w:val="NormalHanging12a"/>
        <w:ind w:hanging="570"/>
      </w:pPr>
      <w:r w:rsidRPr="00ED450D">
        <w:lastRenderedPageBreak/>
        <w:t>40.</w:t>
      </w:r>
      <w:r w:rsidRPr="00ED450D">
        <w:tab/>
      </w:r>
      <w:r w:rsidR="00CB1228" w:rsidRPr="00ED450D">
        <w:t xml:space="preserve">καλεί την ΕΚΤ να χρησιμοποιήσει όλα τα διαθέσιμα εργαλεία της για να διασφαλίσει ότι οι τράπεζες θα λαμβάνουν σοβαρά υπόψη τους όλους τους χρηματοπιστωτικούς και εξωτερικούς κινδύνους, συμπεριλαμβανομένων των κλιματικών και γεωπολιτικών κινδύνων· επικροτεί τις δραστηριότητες της ΕΚΤ για την περαιτέρω βελτίωση των εργαλείων και ικανοτήτων αξιολόγησης κινδύνου του </w:t>
      </w:r>
      <w:proofErr w:type="spellStart"/>
      <w:r w:rsidR="00CB1228" w:rsidRPr="00ED450D">
        <w:t>Ευρωσυστήματος</w:t>
      </w:r>
      <w:proofErr w:type="spellEnd"/>
      <w:r w:rsidR="00CB1228" w:rsidRPr="00ED450D">
        <w:t xml:space="preserve">, προκειμένου να συμπεριληφθούν σε μεγαλύτερο βαθμό οι κίνδυνοι που σχετίζονται με το κλίμα και το περιβάλλον, ιδίως επειδή η κλιματική αλλαγή και τα ακραία καιρικά φαινόμενα θα μπορούσαν να οδηγήσουν σε μεγαλύτερη αστάθεια των τιμών, ιδίως στον </w:t>
      </w:r>
      <w:proofErr w:type="spellStart"/>
      <w:r w:rsidR="00CB1228" w:rsidRPr="00ED450D">
        <w:t>αγροδιατροφικό</w:t>
      </w:r>
      <w:proofErr w:type="spellEnd"/>
      <w:r w:rsidR="00CB1228" w:rsidRPr="00ED450D">
        <w:t xml:space="preserve"> τομέα· καλεί την ΕΚΤ να συνεχίσει το έργο της όσον αφορά τις προσομοιώσεις ακραίων καταστάσεων για τον κλιματικό κίνδυνο, οι οποίες αναπτύχθηκαν για την αξιολόγηση της ανθεκτικότητας των τραπεζών και των εταιρειών έναντι του κινδύνου κλιματικής μετάβασης·</w:t>
      </w:r>
    </w:p>
    <w:p w:rsidR="00CB1228" w:rsidRPr="00ED450D" w:rsidRDefault="003E37EC" w:rsidP="003E37EC">
      <w:pPr>
        <w:pStyle w:val="NormalHanging12a"/>
        <w:ind w:hanging="570"/>
      </w:pPr>
      <w:r w:rsidRPr="00ED450D">
        <w:t>41.</w:t>
      </w:r>
      <w:r w:rsidRPr="00ED450D">
        <w:tab/>
      </w:r>
      <w:r w:rsidR="00CB1228" w:rsidRPr="00ED450D">
        <w:t>σημειώνει το σχέδιο για το κλίμα και τη φύση 2024-2025· καλεί την ΕΚΤ να καταρτίσει σχέδιο γεωπολιτικής για την περίοδο 2025-2030 προκειμένου να κατανοηθούν καλύτερα οι επιπτώσεις του πολέμου και των συγκρούσεων στη σταθερότητα των τιμών και να αντιμετωπίσει ισότιμα όλες τις πιθανές πηγές εξωτερικών κλυδωνισμών·</w:t>
      </w:r>
    </w:p>
    <w:p w:rsidR="00CB1228" w:rsidRPr="00ED450D" w:rsidRDefault="00CB1228" w:rsidP="00CB1228">
      <w:pPr>
        <w:pStyle w:val="Normal12a24b"/>
      </w:pPr>
      <w:r w:rsidRPr="00ED450D">
        <w:rPr>
          <w:rStyle w:val="BoldItalic"/>
        </w:rPr>
        <w:t>Άλλες πτυχές</w:t>
      </w:r>
    </w:p>
    <w:p w:rsidR="00CB1228" w:rsidRPr="00ED450D" w:rsidRDefault="003E37EC" w:rsidP="003E37EC">
      <w:pPr>
        <w:pStyle w:val="NormalHanging12a"/>
        <w:ind w:hanging="570"/>
      </w:pPr>
      <w:r w:rsidRPr="00ED450D">
        <w:t>42.</w:t>
      </w:r>
      <w:r w:rsidRPr="00ED450D">
        <w:tab/>
      </w:r>
      <w:r w:rsidR="00CB1228" w:rsidRPr="00ED450D">
        <w:t>υπογραμμίζει ότι η ενίσχυση του διεθνούς ρόλου του ευρώ αναμένεται να οδηγήσει σε χαμηλότερα επιτόκια στη ζώνη του ευρώ, σε αναβάθμιση της θέσης της ΕΕ στη διεθνή σκηνή και σε ενισχυμένη μακροοικονομική σταθερότητα· υπενθυμίζει ότι η ενίσχυση του διεθνούς ρόλου του ευρώ θα συμβάλει στην ενίσχυση της στρατηγικής αυτονομίας της Ένωσης·</w:t>
      </w:r>
    </w:p>
    <w:p w:rsidR="00CB1228" w:rsidRPr="00ED450D" w:rsidRDefault="003E37EC" w:rsidP="003E37EC">
      <w:pPr>
        <w:pStyle w:val="NormalHanging12a"/>
        <w:ind w:hanging="570"/>
      </w:pPr>
      <w:r w:rsidRPr="00ED450D">
        <w:t>43.</w:t>
      </w:r>
      <w:r w:rsidRPr="00ED450D">
        <w:tab/>
      </w:r>
      <w:r w:rsidR="00CB1228" w:rsidRPr="00ED450D">
        <w:t>καλεί την ΕΚΤ να εξετάσει την ενίσχυση του διεθνούς ρόλου του ευρώ με σκοπό την ενίσχυση της ελκυστικότητάς του ως αποθεματικού νομίσματος και την υποστήριξη των μετατοπίσεων που προκαλεί η αγορά προς αυτή την κατεύθυνση· σημειώνει ότι η ολοκλήρωση της οικονομικής και νομισματικής ένωσης θα μπορούσε να ενισχύσει τον διεθνή ρόλο του ευρώ·</w:t>
      </w:r>
    </w:p>
    <w:p w:rsidR="00CB1228" w:rsidRPr="00ED450D" w:rsidRDefault="003E37EC" w:rsidP="003E37EC">
      <w:pPr>
        <w:pStyle w:val="NormalHanging12a"/>
        <w:ind w:hanging="570"/>
      </w:pPr>
      <w:r w:rsidRPr="00ED450D">
        <w:t>44.</w:t>
      </w:r>
      <w:r w:rsidRPr="00ED450D">
        <w:tab/>
      </w:r>
      <w:r w:rsidR="00CB1228" w:rsidRPr="00ED450D">
        <w:t>σημειώνει ότι η ΕΚΤ υποστηρίζει τη θέσπιση ενός πλήρως ανεπτυγμένου ευρωπαϊκού συστήματος ασφάλισης καταθέσεων· αναγνωρίζει ότι υπάρχει διασύνδεση μεταξύ του επιμερισμού των κινδύνων και της μείωσης των κινδύνων·</w:t>
      </w:r>
    </w:p>
    <w:p w:rsidR="00CB1228" w:rsidRPr="00ED450D" w:rsidRDefault="003E37EC" w:rsidP="003E37EC">
      <w:pPr>
        <w:pStyle w:val="NormalHanging12a"/>
        <w:ind w:hanging="570"/>
      </w:pPr>
      <w:r w:rsidRPr="00ED450D">
        <w:t>45.</w:t>
      </w:r>
      <w:r w:rsidRPr="00ED450D">
        <w:tab/>
      </w:r>
      <w:r w:rsidR="00CB1228" w:rsidRPr="00ED450D">
        <w:t>εκφράζει την ικανοποίησή του για την προσοχή που δίνει η ΕΚΤ στους κινδύνους κυβερνοεπιθέσεων· καλεί την ΕΚΤ να διασφαλίσει την ασφάλεια και την προστασία του νομισματικού συστήματος για τους χρήστες του, ιδίως υπό το πρίσμα των συνεχιζόμενων γεωπολιτικών εξελίξεων·</w:t>
      </w:r>
    </w:p>
    <w:p w:rsidR="00CB1228" w:rsidRPr="00ED450D" w:rsidRDefault="003E37EC" w:rsidP="003E37EC">
      <w:pPr>
        <w:pStyle w:val="NormalHanging12a"/>
        <w:ind w:hanging="570"/>
      </w:pPr>
      <w:r w:rsidRPr="00ED450D">
        <w:t>46.</w:t>
      </w:r>
      <w:r w:rsidRPr="00ED450D">
        <w:tab/>
      </w:r>
      <w:r w:rsidR="00CB1228" w:rsidRPr="00ED450D">
        <w:t>θεωρεί ότι η χρηματοπιστωτική σταθερότητα είναι προϋπόθεση για μια αποτελεσματική νομισματική πολιτική και ένα ανθεκτικό χρηματοπιστωτικό σύστημα· εκφράζει την ικανοποίησή του για την ολοκλήρωση του πλαισίου της Βασιλείας ΙΙΙ και την εφαρμογή του από την 1η Ιανουαρίου 2025, δεδομένου ότι έχει το δυναμικό για να ενισχύσει την ανθεκτικότητα του τραπεζικού τομέα· σημειώνει, ωστόσο, τις καθυστερήσεις στην εφαρμογή του και την έλλειψη σαφήνειας όσον αφορά την εφαρμογή του από ορισμένες άλλες δικαιοδοσίες, οι οποίες έχουν ως αποτέλεσμα τη δημιουργία άνισων όρων ανταγωνισμού σε παγκόσμιο επίπεδο·</w:t>
      </w:r>
    </w:p>
    <w:p w:rsidR="00CB1228" w:rsidRPr="00ED450D" w:rsidRDefault="003E37EC" w:rsidP="003E37EC">
      <w:pPr>
        <w:pStyle w:val="NormalHanging12a"/>
        <w:ind w:hanging="570"/>
      </w:pPr>
      <w:r w:rsidRPr="00ED450D">
        <w:lastRenderedPageBreak/>
        <w:t>47.</w:t>
      </w:r>
      <w:r w:rsidRPr="00ED450D">
        <w:tab/>
      </w:r>
      <w:r w:rsidR="00CB1228" w:rsidRPr="00ED450D">
        <w:t>αναγνωρίζει ως βάσιμη την ανησυχία της ΕΚΤ για την άνοδο του σκιώδους τραπεζικού τομέα και τον κίνδυνο που μπορεί να ενέχει για τη χρηματοπιστωτική σταθερότητα·</w:t>
      </w:r>
    </w:p>
    <w:p w:rsidR="00CB1228" w:rsidRPr="00ED450D" w:rsidRDefault="003E37EC" w:rsidP="003E37EC">
      <w:pPr>
        <w:pStyle w:val="NormalHanging12a"/>
        <w:ind w:hanging="570"/>
      </w:pPr>
      <w:r w:rsidRPr="00ED450D">
        <w:t>48.</w:t>
      </w:r>
      <w:r w:rsidRPr="00ED450D">
        <w:tab/>
      </w:r>
      <w:r w:rsidR="00CB1228" w:rsidRPr="00ED450D">
        <w:t>ενθαρρύνει τη συνεργασία με τα κράτη μέλη και τις εθνικές κεντρικές τράπεζες σχετικά με προγράμματα χρηματοοικονομικών γνώσεων με σκοπό την ενδυνάμωση των ατόμων και των επιχειρήσεων ώστε να λαμβάνουν τεκμηριωμένες οικονομικές αποφάσεις·</w:t>
      </w:r>
    </w:p>
    <w:p w:rsidR="00CB1228" w:rsidRPr="00ED450D" w:rsidRDefault="003E37EC" w:rsidP="003E37EC">
      <w:pPr>
        <w:pStyle w:val="NormalHanging12a"/>
        <w:ind w:hanging="570"/>
      </w:pPr>
      <w:r w:rsidRPr="00ED450D">
        <w:t>49.</w:t>
      </w:r>
      <w:r w:rsidRPr="00ED450D">
        <w:tab/>
      </w:r>
      <w:r w:rsidR="00CB1228" w:rsidRPr="00ED450D">
        <w:t>εκφράζει τη λύπη του διότι μόνο δύο μέλη της εκτελεστικής επιτροπής και του διοικητικού συμβουλίου της ΕΚΤ είναι γυναίκες· επαναλαμβάνει ότι οι υποψηφιότητες για την εκτελεστική επιτροπή θα πρέπει να είναι ισόρροπες ως προς την εκπροσώπηση των φύλων και ότι οι κατάλογοι επικρατέστερων υποψηφίων πρέπει να υποβάλλονται στο Κοινοβούλιο· προτρέπει τα κράτη μέλη της ζώνης του ευρώ να βελτιώσουν τις αρχές της ισότητας των φύλων στις διαδικασίες διορισμού τους, ούτως ώστε αμφότερα τα φύλα να έχουν ίσες ευκαιρίες να υπηρετήσουν ως διοικητές των αντίστοιχων εθνικών κεντρικών τραπεζών τους·</w:t>
      </w:r>
    </w:p>
    <w:p w:rsidR="00CB1228" w:rsidRPr="00ED450D" w:rsidRDefault="003E37EC" w:rsidP="003E37EC">
      <w:pPr>
        <w:pStyle w:val="NormalHanging12a"/>
        <w:ind w:hanging="570"/>
      </w:pPr>
      <w:r w:rsidRPr="00ED450D">
        <w:t>50.</w:t>
      </w:r>
      <w:r w:rsidRPr="00ED450D">
        <w:tab/>
      </w:r>
      <w:r w:rsidR="00CB1228" w:rsidRPr="00ED450D">
        <w:t>επαναλαμβάνει ότι οι διορισμοί της ΕΚΤ θα πρέπει να ακολουθούν αντικειμενικές διαδικασίες για την αξιολόγηση των προσόντων και ικανοτήτων·</w:t>
      </w:r>
    </w:p>
    <w:p w:rsidR="00CB1228" w:rsidRPr="00ED450D" w:rsidRDefault="003E37EC" w:rsidP="003E37EC">
      <w:pPr>
        <w:pStyle w:val="NormalHanging12a"/>
        <w:ind w:hanging="570"/>
      </w:pPr>
      <w:r w:rsidRPr="00ED450D">
        <w:t>51.</w:t>
      </w:r>
      <w:r w:rsidRPr="00ED450D">
        <w:tab/>
      </w:r>
      <w:r w:rsidR="00CB1228" w:rsidRPr="00ED450D">
        <w:t>υποστηρίζει τον στόχο της ΕΚΤ να αυξήσει τη γυναικεία εκπροσώπηση ενθαρρύνοντας τις γυναίκες να προχωρήσουν σε αυτόν τον τομέα· χαιρετίζει, στο πλαίσιο αυτό, πρωτοβουλίες όπως η υποτροφία «Γυναίκες στα οικονομικά», που προσφέρει η ΕΚΤ·</w:t>
      </w:r>
    </w:p>
    <w:p w:rsidR="00CB1228" w:rsidRPr="00ED450D" w:rsidRDefault="003E37EC" w:rsidP="003E37EC">
      <w:pPr>
        <w:pStyle w:val="NormalHanging12a"/>
        <w:ind w:hanging="570"/>
      </w:pPr>
      <w:r w:rsidRPr="00ED450D">
        <w:t>52.</w:t>
      </w:r>
      <w:r w:rsidRPr="00ED450D">
        <w:tab/>
      </w:r>
      <w:r w:rsidR="00CB1228" w:rsidRPr="00ED450D">
        <w:t>επισημαίνει ότι η τελευταία έκθεση για τη χρηματοπιστωτική σταθερότητα που δημοσίευσε η ΕΚΤ τον Νοέμβριο του 2024 εγείρει ανησυχίες σχετικά με το ενδεχόμενο μιας οφειλόμενης στην ΤΝ φούσκας στις τιμές των περιουσιακών στοιχείων, δεδομένης της συγκέντρωσης μεταξύ ορισμένων μεγάλων δικαιούχων εταιρειών ΤΝ·</w:t>
      </w:r>
    </w:p>
    <w:p w:rsidR="00CB1228" w:rsidRPr="00ED450D" w:rsidRDefault="003E37EC" w:rsidP="003E37EC">
      <w:pPr>
        <w:pStyle w:val="NormalHanging12a"/>
        <w:ind w:hanging="570"/>
      </w:pPr>
      <w:r w:rsidRPr="00ED450D">
        <w:t>53.</w:t>
      </w:r>
      <w:r w:rsidRPr="00ED450D">
        <w:tab/>
      </w:r>
      <w:r w:rsidR="00CB1228" w:rsidRPr="00ED450D">
        <w:t>ζητεί να ενισχυθεί περαιτέρω το εσωτερικό πλαίσιο της ΕΚΤ για την καταγγελία δυσλειτουργιών, ώστε να ευθυγραμμιστεί με την οδηγία της ΕΕ για τους μάρτυρες δημοσίου συμφέροντος·</w:t>
      </w:r>
    </w:p>
    <w:p w:rsidR="00CB1228" w:rsidRPr="00ED450D" w:rsidRDefault="003E37EC" w:rsidP="003E37EC">
      <w:pPr>
        <w:pStyle w:val="NormalHanging12a"/>
        <w:ind w:hanging="570"/>
      </w:pPr>
      <w:r w:rsidRPr="00ED450D">
        <w:t>54.</w:t>
      </w:r>
      <w:r w:rsidRPr="00ED450D">
        <w:tab/>
      </w:r>
      <w:r w:rsidR="00CB1228" w:rsidRPr="00ED450D">
        <w:t>καλεί το ΕΣΚΤ να συνεχίσει και να ενισχύσει τους διαλόγους του με τα εθνικά κοινοβούλια, πράγμα που, κατά τη γνώμη του, θα ενισχύσει τη νομιμότητα και τις πολιτικές του ΕΣΚΤ·</w:t>
      </w:r>
    </w:p>
    <w:p w:rsidR="00CB1228" w:rsidRPr="00ED450D" w:rsidRDefault="00CB1228" w:rsidP="00CB1228">
      <w:pPr>
        <w:pStyle w:val="NormalCenter12a"/>
      </w:pPr>
      <w:r w:rsidRPr="00ED450D">
        <w:t>°</w:t>
      </w:r>
    </w:p>
    <w:p w:rsidR="00CB1228" w:rsidRPr="00ED450D" w:rsidRDefault="00CB1228" w:rsidP="00CB1228">
      <w:pPr>
        <w:pStyle w:val="NormalCenter12a"/>
      </w:pPr>
      <w:r w:rsidRPr="00ED450D">
        <w:t>°</w:t>
      </w:r>
      <w:r w:rsidRPr="00ED450D">
        <w:tab/>
        <w:t>°</w:t>
      </w:r>
    </w:p>
    <w:p w:rsidR="00ED450D" w:rsidRPr="00ED450D" w:rsidRDefault="003E37EC" w:rsidP="003E37EC">
      <w:pPr>
        <w:pStyle w:val="NormalHanging12a"/>
        <w:ind w:hanging="570"/>
      </w:pPr>
      <w:r w:rsidRPr="00ED450D">
        <w:t>55.</w:t>
      </w:r>
      <w:r w:rsidRPr="00ED450D">
        <w:tab/>
      </w:r>
      <w:r w:rsidR="00CB1228" w:rsidRPr="00ED450D">
        <w:t>αναθέτει στην Πρόεδρό του να διαβιβάσει το παρόν ψήφισμα στο Συμβούλιο, στην Επιτροπή και στην Ευρωπαϊκή Κεντρική Τράπεζα.</w:t>
      </w:r>
    </w:p>
    <w:p w:rsidR="00E365E1" w:rsidRPr="00ED450D" w:rsidRDefault="00E365E1" w:rsidP="00DC12E0"/>
    <w:sectPr w:rsidR="00E365E1" w:rsidRPr="00ED450D" w:rsidSect="00ED45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2E0" w:rsidRPr="00ED450D" w:rsidRDefault="00DC12E0">
      <w:r w:rsidRPr="00ED450D">
        <w:separator/>
      </w:r>
    </w:p>
  </w:endnote>
  <w:endnote w:type="continuationSeparator" w:id="0">
    <w:p w:rsidR="00DC12E0" w:rsidRPr="00ED450D" w:rsidRDefault="00DC12E0">
      <w:r w:rsidRPr="00ED45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45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45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45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2E0" w:rsidRPr="00ED450D" w:rsidRDefault="00DC12E0">
      <w:r w:rsidRPr="00ED450D">
        <w:separator/>
      </w:r>
    </w:p>
  </w:footnote>
  <w:footnote w:type="continuationSeparator" w:id="0">
    <w:p w:rsidR="00DC12E0" w:rsidRPr="00ED450D" w:rsidRDefault="00DC12E0">
      <w:r w:rsidRPr="00ED450D">
        <w:continuationSeparator/>
      </w:r>
    </w:p>
  </w:footnote>
  <w:footnote w:id="1">
    <w:p w:rsidR="00CB1228" w:rsidRPr="00ED450D" w:rsidRDefault="00CB1228" w:rsidP="00ED450D">
      <w:pPr>
        <w:pStyle w:val="FootnoteText"/>
        <w:ind w:left="567" w:hanging="567"/>
        <w:rPr>
          <w:sz w:val="24"/>
          <w:lang w:val="el-GR"/>
        </w:rPr>
      </w:pPr>
      <w:r w:rsidRPr="00ED450D">
        <w:rPr>
          <w:rStyle w:val="FootnoteReference"/>
          <w:sz w:val="24"/>
          <w:lang w:val="el-GR"/>
        </w:rPr>
        <w:footnoteRef/>
      </w:r>
      <w:r w:rsidR="00ED450D" w:rsidRPr="00ED450D">
        <w:rPr>
          <w:sz w:val="24"/>
          <w:lang w:val="el-GR"/>
        </w:rPr>
        <w:t xml:space="preserve"> </w:t>
      </w:r>
      <w:r w:rsidR="00ED450D" w:rsidRPr="00ED450D">
        <w:rPr>
          <w:sz w:val="24"/>
          <w:lang w:val="el-GR"/>
        </w:rPr>
        <w:tab/>
      </w:r>
      <w:r w:rsidRPr="00ED450D">
        <w:rPr>
          <w:sz w:val="24"/>
          <w:lang w:val="el-GR"/>
        </w:rPr>
        <w:t>ΕΕ C 283 της 11.8.2023, σ. 40.</w:t>
      </w:r>
    </w:p>
  </w:footnote>
  <w:footnote w:id="2">
    <w:p w:rsidR="00CB1228" w:rsidRPr="00ED450D" w:rsidRDefault="00CB1228" w:rsidP="00ED450D">
      <w:pPr>
        <w:pStyle w:val="FootnoteText"/>
        <w:ind w:left="567" w:hanging="567"/>
        <w:rPr>
          <w:sz w:val="24"/>
          <w:lang w:val="el-GR"/>
        </w:rPr>
      </w:pPr>
      <w:r w:rsidRPr="00ED450D">
        <w:rPr>
          <w:rStyle w:val="FootnoteReference"/>
          <w:sz w:val="24"/>
          <w:lang w:val="el-GR"/>
        </w:rPr>
        <w:footnoteRef/>
      </w:r>
      <w:r w:rsidR="00ED450D" w:rsidRPr="00ED450D">
        <w:rPr>
          <w:sz w:val="24"/>
          <w:lang w:val="el-GR"/>
        </w:rPr>
        <w:t xml:space="preserve"> </w:t>
      </w:r>
      <w:r w:rsidR="00ED450D" w:rsidRPr="00ED450D">
        <w:rPr>
          <w:sz w:val="24"/>
          <w:lang w:val="el-GR"/>
        </w:rPr>
        <w:tab/>
      </w:r>
      <w:r w:rsidRPr="00ED450D">
        <w:rPr>
          <w:sz w:val="24"/>
          <w:lang w:val="el-GR"/>
        </w:rPr>
        <w:t xml:space="preserve">Κείμενα που εγκρίθηκαν, ΕΕ C, C/2024/6738, 26.11.2024, ELI: </w:t>
      </w:r>
      <w:hyperlink r:id="rId1" w:history="1">
        <w:r w:rsidRPr="00881D7A">
          <w:rPr>
            <w:rStyle w:val="Hyperlink"/>
            <w:sz w:val="24"/>
            <w:lang w:val="el-GR"/>
          </w:rPr>
          <w:t>http://data.europa.eu/eli/C/2024/6738/oj</w:t>
        </w:r>
      </w:hyperlink>
      <w:r w:rsidRPr="00ED450D">
        <w:rPr>
          <w:sz w:val="24"/>
          <w:lang w:val="el-GR"/>
        </w:rPr>
        <w:t>.</w:t>
      </w:r>
    </w:p>
  </w:footnote>
  <w:footnote w:id="3">
    <w:p w:rsidR="00CB1228" w:rsidRPr="007126B6" w:rsidRDefault="00CB1228" w:rsidP="00ED450D">
      <w:pPr>
        <w:pStyle w:val="FootnoteText"/>
        <w:ind w:left="567" w:hanging="567"/>
        <w:rPr>
          <w:sz w:val="24"/>
          <w:szCs w:val="24"/>
          <w:lang w:val="fi-FI"/>
        </w:rPr>
      </w:pPr>
      <w:r w:rsidRPr="00ED450D">
        <w:rPr>
          <w:rStyle w:val="FootnoteReference"/>
          <w:sz w:val="24"/>
          <w:lang w:val="el-GR"/>
        </w:rPr>
        <w:footnoteRef/>
      </w:r>
      <w:r w:rsidR="00ED450D" w:rsidRPr="003E37EC">
        <w:rPr>
          <w:sz w:val="24"/>
          <w:lang w:val="fi-FI"/>
        </w:rPr>
        <w:t xml:space="preserve"> </w:t>
      </w:r>
      <w:r w:rsidR="00ED450D" w:rsidRPr="003E37EC">
        <w:rPr>
          <w:sz w:val="24"/>
          <w:lang w:val="fi-FI"/>
        </w:rPr>
        <w:tab/>
      </w:r>
      <w:r w:rsidR="00881D7A" w:rsidRPr="007126B6">
        <w:rPr>
          <w:sz w:val="24"/>
          <w:szCs w:val="24"/>
          <w:u w:color="0000FF"/>
          <w:lang w:val="el-GR"/>
        </w:rPr>
        <w:t>ΕΕ</w:t>
      </w:r>
      <w:r w:rsidR="00881D7A" w:rsidRPr="007126B6">
        <w:rPr>
          <w:sz w:val="24"/>
          <w:szCs w:val="24"/>
          <w:u w:color="0000FF"/>
          <w:lang w:val="fi-FI"/>
        </w:rPr>
        <w:t xml:space="preserve"> L</w:t>
      </w:r>
      <w:r w:rsidR="007126B6" w:rsidRPr="007126B6">
        <w:rPr>
          <w:sz w:val="24"/>
          <w:szCs w:val="24"/>
          <w:u w:color="0000FF"/>
          <w:lang w:val="fi-FI"/>
        </w:rPr>
        <w:t>,</w:t>
      </w:r>
      <w:r w:rsidR="00881D7A" w:rsidRPr="007126B6">
        <w:rPr>
          <w:sz w:val="24"/>
          <w:szCs w:val="24"/>
          <w:u w:color="0000FF"/>
          <w:lang w:val="fi-FI"/>
        </w:rPr>
        <w:t xml:space="preserve"> </w:t>
      </w:r>
      <w:r w:rsidR="007126B6" w:rsidRPr="007126B6">
        <w:rPr>
          <w:sz w:val="24"/>
          <w:szCs w:val="24"/>
          <w:u w:color="0000FF"/>
          <w:lang w:val="fi-FI"/>
        </w:rPr>
        <w:t>2024/</w:t>
      </w:r>
      <w:r w:rsidR="00881D7A" w:rsidRPr="007126B6">
        <w:rPr>
          <w:sz w:val="24"/>
          <w:szCs w:val="24"/>
          <w:u w:color="0000FF"/>
          <w:lang w:val="fi-FI"/>
        </w:rPr>
        <w:t>1623, 19.6.2024, ELI:</w:t>
      </w:r>
      <w:r w:rsidRPr="007126B6">
        <w:rPr>
          <w:sz w:val="24"/>
          <w:szCs w:val="24"/>
          <w:u w:color="0000FF"/>
          <w:lang w:val="fi-FI"/>
        </w:rPr>
        <w:t xml:space="preserve"> </w:t>
      </w:r>
      <w:hyperlink r:id="rId2" w:history="1">
        <w:r w:rsidRPr="007126B6">
          <w:rPr>
            <w:rStyle w:val="Hyperlink"/>
            <w:sz w:val="24"/>
            <w:szCs w:val="24"/>
            <w:lang w:val="fi-FI"/>
          </w:rPr>
          <w:t>http://data.europa.eu/eli/reg/2024/1623/oj</w:t>
        </w:r>
      </w:hyperlink>
      <w:r w:rsidR="00881D7A" w:rsidRPr="007126B6">
        <w:rPr>
          <w:sz w:val="24"/>
          <w:szCs w:val="24"/>
          <w:u w:color="0000FF"/>
          <w:lang w:val="fi-FI"/>
        </w:rPr>
        <w:t>.</w:t>
      </w:r>
    </w:p>
  </w:footnote>
  <w:footnote w:id="4">
    <w:p w:rsidR="00CB1228" w:rsidRPr="003E37EC" w:rsidRDefault="00CB1228" w:rsidP="00ED450D">
      <w:pPr>
        <w:pStyle w:val="FootnoteText"/>
        <w:ind w:left="567" w:hanging="567"/>
        <w:rPr>
          <w:sz w:val="24"/>
          <w:lang w:val="fi-FI"/>
        </w:rPr>
      </w:pPr>
      <w:r w:rsidRPr="007126B6">
        <w:rPr>
          <w:rStyle w:val="FootnoteReference"/>
          <w:sz w:val="24"/>
          <w:szCs w:val="24"/>
          <w:lang w:val="el-GR"/>
        </w:rPr>
        <w:footnoteRef/>
      </w:r>
      <w:r w:rsidR="00ED450D" w:rsidRPr="007126B6">
        <w:rPr>
          <w:sz w:val="24"/>
          <w:szCs w:val="24"/>
          <w:lang w:val="fi-FI"/>
        </w:rPr>
        <w:t xml:space="preserve"> </w:t>
      </w:r>
      <w:r w:rsidR="00ED450D" w:rsidRPr="007126B6">
        <w:rPr>
          <w:sz w:val="24"/>
          <w:szCs w:val="24"/>
          <w:lang w:val="fi-FI"/>
        </w:rPr>
        <w:tab/>
      </w:r>
      <w:r w:rsidR="00881D7A" w:rsidRPr="007126B6">
        <w:rPr>
          <w:sz w:val="24"/>
          <w:szCs w:val="24"/>
          <w:u w:color="0000FF"/>
          <w:lang w:val="el-GR"/>
        </w:rPr>
        <w:t>ΕΕ</w:t>
      </w:r>
      <w:r w:rsidR="00881D7A" w:rsidRPr="007126B6">
        <w:rPr>
          <w:sz w:val="24"/>
          <w:szCs w:val="24"/>
          <w:u w:color="0000FF"/>
          <w:lang w:val="fi-FI"/>
        </w:rPr>
        <w:t xml:space="preserve"> L</w:t>
      </w:r>
      <w:r w:rsidR="007126B6" w:rsidRPr="007126B6">
        <w:rPr>
          <w:sz w:val="24"/>
          <w:szCs w:val="24"/>
          <w:u w:color="0000FF"/>
          <w:lang w:val="fi-FI"/>
        </w:rPr>
        <w:t>,</w:t>
      </w:r>
      <w:r w:rsidR="00881D7A" w:rsidRPr="007126B6">
        <w:rPr>
          <w:sz w:val="24"/>
          <w:szCs w:val="24"/>
          <w:u w:color="0000FF"/>
          <w:lang w:val="fi-FI"/>
        </w:rPr>
        <w:t xml:space="preserve"> </w:t>
      </w:r>
      <w:r w:rsidR="007126B6" w:rsidRPr="007126B6">
        <w:rPr>
          <w:sz w:val="24"/>
          <w:szCs w:val="24"/>
          <w:u w:color="0000FF"/>
          <w:lang w:val="fi-FI"/>
        </w:rPr>
        <w:t>2024/</w:t>
      </w:r>
      <w:r w:rsidR="00881D7A" w:rsidRPr="007126B6">
        <w:rPr>
          <w:sz w:val="24"/>
          <w:szCs w:val="24"/>
          <w:u w:color="0000FF"/>
          <w:lang w:val="fi-FI"/>
        </w:rPr>
        <w:t>1619, 19.6.2024, ELI:</w:t>
      </w:r>
      <w:r w:rsidRPr="007126B6">
        <w:rPr>
          <w:sz w:val="24"/>
          <w:szCs w:val="24"/>
          <w:u w:color="0000FF"/>
          <w:lang w:val="fi-FI"/>
        </w:rPr>
        <w:t xml:space="preserve"> </w:t>
      </w:r>
      <w:hyperlink r:id="rId3" w:history="1">
        <w:r w:rsidRPr="007126B6">
          <w:rPr>
            <w:rStyle w:val="Hyperlink"/>
            <w:sz w:val="24"/>
            <w:szCs w:val="24"/>
            <w:lang w:val="fi-FI"/>
          </w:rPr>
          <w:t>http://data.europa.eu/eli/dir/2024/1619/oj</w:t>
        </w:r>
      </w:hyperlink>
      <w:r w:rsidR="00881D7A" w:rsidRPr="007126B6">
        <w:rPr>
          <w:sz w:val="24"/>
          <w:szCs w:val="24"/>
          <w:u w:color="0000FF"/>
          <w:lang w:val="fi-FI"/>
        </w:rPr>
        <w:t>.</w:t>
      </w:r>
    </w:p>
  </w:footnote>
  <w:footnote w:id="5">
    <w:p w:rsidR="00CB1228" w:rsidRPr="003E37EC" w:rsidRDefault="00CB1228" w:rsidP="00ED450D">
      <w:pPr>
        <w:pStyle w:val="FootnoteText"/>
        <w:ind w:left="567" w:hanging="567"/>
        <w:rPr>
          <w:sz w:val="24"/>
          <w:lang w:val="fi-FI"/>
        </w:rPr>
      </w:pPr>
      <w:r w:rsidRPr="00ED450D">
        <w:rPr>
          <w:rStyle w:val="FootnoteReference"/>
          <w:sz w:val="24"/>
          <w:lang w:val="el-GR"/>
        </w:rPr>
        <w:footnoteRef/>
      </w:r>
      <w:r w:rsidR="00ED450D" w:rsidRPr="003E37EC">
        <w:rPr>
          <w:sz w:val="24"/>
          <w:lang w:val="fi-FI"/>
        </w:rPr>
        <w:t xml:space="preserve"> </w:t>
      </w:r>
      <w:r w:rsidR="00ED450D" w:rsidRPr="003E37EC">
        <w:rPr>
          <w:sz w:val="24"/>
          <w:lang w:val="fi-FI"/>
        </w:rPr>
        <w:tab/>
      </w:r>
      <w:hyperlink r:id="rId4" w:anchor="toc6" w:history="1">
        <w:r w:rsidRPr="003E37EC">
          <w:rPr>
            <w:rStyle w:val="Hyperlink"/>
            <w:sz w:val="24"/>
            <w:lang w:val="fi-FI"/>
          </w:rPr>
          <w:t>https://www.ecb.europa.eu/press/projections/html/ecb.projections202412</w:t>
        </w:r>
        <w:r w:rsidR="00881D7A" w:rsidRPr="003E37EC">
          <w:rPr>
            <w:rStyle w:val="Hyperlink"/>
            <w:sz w:val="24"/>
            <w:lang w:val="fi-FI"/>
          </w:rPr>
          <w:br/>
        </w:r>
        <w:r w:rsidRPr="003E37EC">
          <w:rPr>
            <w:rStyle w:val="Hyperlink"/>
            <w:sz w:val="24"/>
            <w:lang w:val="fi-FI"/>
          </w:rPr>
          <w:t>_eurosystemstaff~71a06224a5.el.html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45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45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45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CC00993"/>
    <w:multiLevelType w:val="multilevel"/>
    <w:tmpl w:val="017C6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68A24C6D"/>
    <w:multiLevelType w:val="hybridMultilevel"/>
    <w:tmpl w:val="432A2D6E"/>
    <w:lvl w:ilvl="0" w:tplc="60F6339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EL"/>
    <w:docVar w:name="dvnumam" w:val="0"/>
    <w:docVar w:name="dvpe" w:val="765.056"/>
    <w:docVar w:name="dvrapporteur" w:val="Εισηγήτρια: "/>
    <w:docVar w:name="dvtitre" w:val="Ψήφισμα του Ευρωπαϊκού Κοινοβουλίου σχετικά με την ετήσια έκθεση της Ευρωπαϊκής Κεντρικής Τράπεζας για το 2024(2024/2054(INI))"/>
  </w:docVars>
  <w:rsids>
    <w:rsidRoot w:val="00DC12E0"/>
    <w:rsid w:val="00002272"/>
    <w:rsid w:val="00064002"/>
    <w:rsid w:val="000677B9"/>
    <w:rsid w:val="000831BA"/>
    <w:rsid w:val="000A42CC"/>
    <w:rsid w:val="000E7DD9"/>
    <w:rsid w:val="0010095E"/>
    <w:rsid w:val="00125B37"/>
    <w:rsid w:val="00187494"/>
    <w:rsid w:val="001F1BEC"/>
    <w:rsid w:val="001F32AE"/>
    <w:rsid w:val="002767FF"/>
    <w:rsid w:val="002B18FE"/>
    <w:rsid w:val="002B5493"/>
    <w:rsid w:val="002D74CB"/>
    <w:rsid w:val="00343214"/>
    <w:rsid w:val="00361C00"/>
    <w:rsid w:val="00395FA1"/>
    <w:rsid w:val="003E15D4"/>
    <w:rsid w:val="003E37EC"/>
    <w:rsid w:val="00411CCE"/>
    <w:rsid w:val="0041666E"/>
    <w:rsid w:val="00421060"/>
    <w:rsid w:val="004474A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26B6"/>
    <w:rsid w:val="00731ADD"/>
    <w:rsid w:val="00734777"/>
    <w:rsid w:val="00747932"/>
    <w:rsid w:val="00751A4A"/>
    <w:rsid w:val="00756632"/>
    <w:rsid w:val="00762C74"/>
    <w:rsid w:val="00786EC0"/>
    <w:rsid w:val="007D1690"/>
    <w:rsid w:val="007E22AD"/>
    <w:rsid w:val="00817416"/>
    <w:rsid w:val="00842779"/>
    <w:rsid w:val="00865F67"/>
    <w:rsid w:val="00881A7B"/>
    <w:rsid w:val="00881D7A"/>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51E0"/>
    <w:rsid w:val="00BD48FE"/>
    <w:rsid w:val="00BD7BD8"/>
    <w:rsid w:val="00BE6ADC"/>
    <w:rsid w:val="00C05BFE"/>
    <w:rsid w:val="00C23CD4"/>
    <w:rsid w:val="00C61C0C"/>
    <w:rsid w:val="00C941CB"/>
    <w:rsid w:val="00CB1228"/>
    <w:rsid w:val="00CC2357"/>
    <w:rsid w:val="00CF071A"/>
    <w:rsid w:val="00D058B8"/>
    <w:rsid w:val="00D56C11"/>
    <w:rsid w:val="00D834A0"/>
    <w:rsid w:val="00D872DF"/>
    <w:rsid w:val="00D91E21"/>
    <w:rsid w:val="00DA7FCD"/>
    <w:rsid w:val="00DC12E0"/>
    <w:rsid w:val="00E365E1"/>
    <w:rsid w:val="00E820A4"/>
    <w:rsid w:val="00EB006A"/>
    <w:rsid w:val="00EB4772"/>
    <w:rsid w:val="00ED169E"/>
    <w:rsid w:val="00ED4235"/>
    <w:rsid w:val="00ED450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72226"/>
  <w15:chartTrackingRefBased/>
  <w15:docId w15:val="{5C39B73B-B907-4B24-BBD9-9B215E7B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1228"/>
    <w:pPr>
      <w:spacing w:before="480" w:after="240"/>
    </w:pPr>
    <w:rPr>
      <w:snapToGrid w:val="0"/>
      <w:lang w:eastAsia="en-US"/>
    </w:rPr>
  </w:style>
  <w:style w:type="paragraph" w:customStyle="1" w:styleId="NormalHanging12a">
    <w:name w:val="NormalHanging12a"/>
    <w:basedOn w:val="Normal"/>
    <w:rsid w:val="00CB1228"/>
    <w:pPr>
      <w:widowControl/>
      <w:spacing w:after="240"/>
      <w:ind w:left="567" w:hanging="567"/>
    </w:pPr>
    <w:rPr>
      <w:snapToGrid w:val="0"/>
      <w:lang w:eastAsia="en-US"/>
    </w:rPr>
  </w:style>
  <w:style w:type="paragraph" w:customStyle="1" w:styleId="NormalCenter12a">
    <w:name w:val="NormalCenter12a"/>
    <w:basedOn w:val="Normal"/>
    <w:rsid w:val="00CB1228"/>
    <w:pPr>
      <w:spacing w:after="240"/>
      <w:jc w:val="center"/>
    </w:pPr>
  </w:style>
  <w:style w:type="character" w:customStyle="1" w:styleId="BoldItalic">
    <w:name w:val="BoldItalic"/>
    <w:uiPriority w:val="1"/>
    <w:rsid w:val="00CB1228"/>
    <w:rPr>
      <w:b/>
      <w:i/>
      <w:u w:val="none"/>
    </w:rPr>
  </w:style>
  <w:style w:type="character" w:customStyle="1" w:styleId="Italic">
    <w:name w:val="Italic"/>
    <w:uiPriority w:val="1"/>
    <w:rsid w:val="00CB1228"/>
    <w:rPr>
      <w:i/>
    </w:rPr>
  </w:style>
  <w:style w:type="paragraph" w:customStyle="1" w:styleId="Normal12a24b">
    <w:name w:val="Normal12a24b"/>
    <w:basedOn w:val="Normal"/>
    <w:rsid w:val="00CB1228"/>
    <w:pPr>
      <w:spacing w:before="360" w:after="240"/>
    </w:pPr>
    <w:rPr>
      <w:snapToGrid w:val="0"/>
      <w:lang w:eastAsia="en-US"/>
    </w:rPr>
  </w:style>
  <w:style w:type="character" w:styleId="Hyperlink">
    <w:name w:val="Hyperlink"/>
    <w:basedOn w:val="DefaultParagraphFont"/>
    <w:rsid w:val="00CB1228"/>
    <w:rPr>
      <w:color w:val="0000FF"/>
      <w:u w:val="single"/>
    </w:rPr>
  </w:style>
  <w:style w:type="paragraph" w:styleId="BalloonText">
    <w:name w:val="Balloon Text"/>
    <w:basedOn w:val="Normal"/>
    <w:link w:val="BalloonTextChar"/>
    <w:rsid w:val="00881D7A"/>
    <w:rPr>
      <w:rFonts w:ascii="Segoe UI" w:hAnsi="Segoe UI" w:cs="Segoe UI"/>
      <w:sz w:val="18"/>
      <w:szCs w:val="18"/>
    </w:rPr>
  </w:style>
  <w:style w:type="character" w:customStyle="1" w:styleId="BalloonTextChar">
    <w:name w:val="Balloon Text Char"/>
    <w:basedOn w:val="DefaultParagraphFont"/>
    <w:link w:val="BalloonText"/>
    <w:rsid w:val="00881D7A"/>
    <w:rPr>
      <w:rFonts w:ascii="Segoe UI" w:hAnsi="Segoe UI" w:cs="Segoe UI"/>
      <w:sz w:val="18"/>
      <w:szCs w:val="18"/>
      <w:lang w:val="el-GR"/>
    </w:rPr>
  </w:style>
  <w:style w:type="character" w:styleId="FollowedHyperlink">
    <w:name w:val="FollowedHyperlink"/>
    <w:basedOn w:val="DefaultParagraphFont"/>
    <w:rsid w:val="00881D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e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F212E-BA27-40E7-A055-90CB77DD0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4357</Words>
  <Characters>25379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SEMEDO Teresa</cp:lastModifiedBy>
  <cp:revision>2</cp:revision>
  <cp:lastPrinted>2004-11-19T15:42:00Z</cp:lastPrinted>
  <dcterms:created xsi:type="dcterms:W3CDTF">2025-03-25T15:38:00Z</dcterms:created>
  <dcterms:modified xsi:type="dcterms:W3CDTF">2025-03-25T15:38:00Z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A10-0003/2025</vt:lpwstr>
  </property>
  <property fmtid="{D5CDD505-2E9C-101B-9397-08002B2CF9AE}" pid="4" name="&lt;Type&gt;">
    <vt:lpwstr>RR</vt:lpwstr>
  </property>
</Properties>
</file>