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52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52A8" w:rsidRDefault="00785C33" w:rsidP="0010095E">
            <w:pPr>
              <w:pStyle w:val="EPName"/>
            </w:pPr>
            <w:r w:rsidRPr="000E52A8">
              <w:t>Europski parlament</w:t>
            </w:r>
          </w:p>
          <w:p w:rsidR="00751A4A" w:rsidRPr="000E52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52A8">
              <w:t>2024</w:t>
            </w:r>
            <w:r w:rsidR="00817416" w:rsidRPr="000E52A8">
              <w:t>-202</w:t>
            </w:r>
            <w:r w:rsidRPr="000E52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52A8" w:rsidRDefault="00187494" w:rsidP="0010095E">
            <w:pPr>
              <w:pStyle w:val="EPLogo"/>
            </w:pPr>
            <w:r w:rsidRPr="000E52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52A8" w:rsidRDefault="00D058B8" w:rsidP="004C5D52">
      <w:pPr>
        <w:pStyle w:val="LineTop"/>
      </w:pPr>
    </w:p>
    <w:p w:rsidR="00680577" w:rsidRPr="000E52A8" w:rsidRDefault="00785C33" w:rsidP="00680577">
      <w:pPr>
        <w:pStyle w:val="EPBodyTA1"/>
      </w:pPr>
      <w:r w:rsidRPr="000E52A8">
        <w:t>USVOJENI TEKSTOVI</w:t>
      </w:r>
    </w:p>
    <w:p w:rsidR="00D058B8" w:rsidRPr="000E52A8" w:rsidRDefault="00D058B8" w:rsidP="00D058B8">
      <w:pPr>
        <w:pStyle w:val="LineBottom"/>
      </w:pPr>
    </w:p>
    <w:p w:rsidR="00785C33" w:rsidRPr="000E52A8" w:rsidRDefault="00785C33" w:rsidP="00785C33">
      <w:pPr>
        <w:pStyle w:val="ATHeading1"/>
      </w:pPr>
      <w:bookmarkStart w:id="0" w:name="TANumber"/>
      <w:r w:rsidRPr="000E52A8">
        <w:t>P10_TA(2025)00</w:t>
      </w:r>
      <w:bookmarkEnd w:id="0"/>
      <w:r w:rsidR="00B83ED8">
        <w:t>11</w:t>
      </w:r>
    </w:p>
    <w:p w:rsidR="00785C33" w:rsidRPr="000E52A8" w:rsidRDefault="00785C33" w:rsidP="00785C33">
      <w:pPr>
        <w:pStyle w:val="ATHeading2"/>
      </w:pPr>
      <w:bookmarkStart w:id="1" w:name="title"/>
      <w:r w:rsidRPr="000E52A8">
        <w:t>Europska središnja banka – godišnje izvješće za 2024.</w:t>
      </w:r>
      <w:bookmarkEnd w:id="1"/>
    </w:p>
    <w:p w:rsidR="00785C33" w:rsidRPr="000E52A8" w:rsidRDefault="00785C33" w:rsidP="00785C33">
      <w:pPr>
        <w:rPr>
          <w:i/>
          <w:vanish/>
        </w:rPr>
      </w:pPr>
      <w:r w:rsidRPr="000E52A8">
        <w:rPr>
          <w:i/>
        </w:rPr>
        <w:fldChar w:fldCharType="begin"/>
      </w:r>
      <w:r w:rsidRPr="000E52A8">
        <w:rPr>
          <w:i/>
        </w:rPr>
        <w:instrText xml:space="preserve"> TC"(</w:instrText>
      </w:r>
      <w:bookmarkStart w:id="2" w:name="DocNumber"/>
      <w:r w:rsidRPr="000E52A8">
        <w:rPr>
          <w:i/>
        </w:rPr>
        <w:instrText>A10-0003/2025</w:instrText>
      </w:r>
      <w:bookmarkEnd w:id="2"/>
      <w:r w:rsidRPr="000E52A8">
        <w:rPr>
          <w:i/>
        </w:rPr>
        <w:instrText xml:space="preserve"> - Izvjestiteljica: Anouk Van Brug)"\l3 \n&gt; \* MERGEFORMAT </w:instrText>
      </w:r>
      <w:r w:rsidRPr="000E52A8">
        <w:rPr>
          <w:i/>
        </w:rPr>
        <w:fldChar w:fldCharType="end"/>
      </w:r>
    </w:p>
    <w:p w:rsidR="00785C33" w:rsidRPr="000E52A8" w:rsidRDefault="00785C33" w:rsidP="00785C33">
      <w:pPr>
        <w:rPr>
          <w:vanish/>
        </w:rPr>
      </w:pPr>
      <w:bookmarkStart w:id="3" w:name="Commission"/>
      <w:r w:rsidRPr="000E52A8">
        <w:rPr>
          <w:vanish/>
        </w:rPr>
        <w:t>Odbor za ekonomsku i monetarnu politiku</w:t>
      </w:r>
      <w:bookmarkEnd w:id="3"/>
    </w:p>
    <w:p w:rsidR="00785C33" w:rsidRPr="000E52A8" w:rsidRDefault="00785C33" w:rsidP="00785C33">
      <w:pPr>
        <w:rPr>
          <w:vanish/>
        </w:rPr>
      </w:pPr>
      <w:bookmarkStart w:id="4" w:name="PE"/>
      <w:r w:rsidRPr="000E52A8">
        <w:rPr>
          <w:vanish/>
        </w:rPr>
        <w:t>PE765.056</w:t>
      </w:r>
      <w:bookmarkEnd w:id="4"/>
    </w:p>
    <w:p w:rsidR="00785C33" w:rsidRPr="000E52A8" w:rsidRDefault="00785C33" w:rsidP="00785C33">
      <w:pPr>
        <w:pStyle w:val="ATHeading3"/>
      </w:pPr>
      <w:bookmarkStart w:id="5" w:name="Sujet"/>
      <w:r w:rsidRPr="000E52A8">
        <w:t>Rezolu</w:t>
      </w:r>
      <w:r w:rsidR="000E52A8">
        <w:t>cija Europskog parlamenta od 11</w:t>
      </w:r>
      <w:r w:rsidRPr="000E52A8">
        <w:t xml:space="preserve">. </w:t>
      </w:r>
      <w:r w:rsidR="001F50E5">
        <w:t>veljače</w:t>
      </w:r>
      <w:r w:rsidR="000E52A8">
        <w:t xml:space="preserve"> </w:t>
      </w:r>
      <w:r w:rsidRPr="000E52A8">
        <w:t>2025. o Europskoj središnjoj banci – godišnje izvješće za 2024.</w:t>
      </w:r>
      <w:bookmarkEnd w:id="5"/>
      <w:r w:rsidRPr="000E52A8">
        <w:t xml:space="preserve"> </w:t>
      </w:r>
      <w:bookmarkStart w:id="6" w:name="References"/>
      <w:r w:rsidRPr="000E52A8">
        <w:t>(2024/2054(INI))</w:t>
      </w:r>
      <w:bookmarkEnd w:id="6"/>
    </w:p>
    <w:p w:rsidR="001B247A" w:rsidRPr="000E52A8" w:rsidRDefault="001B247A" w:rsidP="001B247A">
      <w:pPr>
        <w:pStyle w:val="EPComma"/>
      </w:pPr>
      <w:r w:rsidRPr="000E52A8">
        <w:rPr>
          <w:rStyle w:val="Italic"/>
        </w:rPr>
        <w:t>Europski parlament</w:t>
      </w:r>
      <w:r w:rsidRPr="000E52A8">
        <w:t>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Godišnje izvješće Europske središnje banke (ESB) za 2023.,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povratne informacije od 18. travnja 2024. koje je ESB dao kao odgovor na sadržaj Rezolucije Parlamenta o Godišnjem izvješću ESB-a za 2022.</w:t>
      </w:r>
      <w:r w:rsidRPr="000E52A8">
        <w:rPr>
          <w:rStyle w:val="FootnoteReference"/>
        </w:rPr>
        <w:footnoteReference w:id="1"/>
      </w:r>
      <w:r w:rsidRPr="000E52A8">
        <w:t>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Statut Europskog sustava središnjih banaka (ESSB) i ESB-a, a posebno njegove članke 2., 15. i 21.,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članak 119., članak 123. stavak 1., članak 125., članak 127. stavke 1. i 2., članak 130., članak 282. stavak 2. i članak 284. stavak 3. Ugovora o funkcioniranju Europske unije (UFEU),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članke 3. i 13. Ugovora o Europskoj uniji (UEU),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makroekonomske projekcije za europodručje koje su izradili stručnjaci Eurosustava od 7. ožujka 2024., 6. lipnja 2024., 12. rujna</w:t>
      </w:r>
      <w:r w:rsidR="00CF3DFA">
        <w:t xml:space="preserve"> 2024.</w:t>
      </w:r>
      <w:r w:rsidRPr="000E52A8">
        <w:t xml:space="preserve"> i 12. prosinca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odluke Upravnog vijeća ESB-a od 25. siječnja 2024., 7. ožujka 2024., 11. travnja 2024., 6. lipnja 2024., 18. srpnja 2024., 12. rujna 2024., 17. listopada</w:t>
      </w:r>
      <w:r w:rsidR="00CF3DFA">
        <w:t xml:space="preserve"> 2024.</w:t>
      </w:r>
      <w:r w:rsidRPr="000E52A8">
        <w:t xml:space="preserve"> i 12. prosinca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 xml:space="preserve">uzimajući u obzir </w:t>
      </w:r>
      <w:proofErr w:type="spellStart"/>
      <w:r w:rsidRPr="000E52A8">
        <w:t>Eurostatovu</w:t>
      </w:r>
      <w:proofErr w:type="spellEnd"/>
      <w:r w:rsidRPr="000E52A8">
        <w:t xml:space="preserve"> procjenu inflacije od </w:t>
      </w:r>
      <w:r w:rsidR="00B03D61" w:rsidRPr="00B03D61">
        <w:t>3. veljače 2025</w:t>
      </w:r>
      <w:r w:rsidR="00B03D61">
        <w:t>.</w:t>
      </w:r>
      <w:r w:rsidRPr="000E52A8">
        <w:t>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jesensku gospodarsku prognozu Komisije za 2024. objavljenu 26. studenog 2024.,</w:t>
      </w:r>
    </w:p>
    <w:p w:rsidR="001B247A" w:rsidRPr="000E52A8" w:rsidRDefault="001B247A" w:rsidP="001B247A">
      <w:pPr>
        <w:pStyle w:val="NormalHanging12a"/>
      </w:pPr>
      <w:r w:rsidRPr="000E52A8">
        <w:lastRenderedPageBreak/>
        <w:t>–</w:t>
      </w:r>
      <w:r w:rsidRPr="000E52A8">
        <w:tab/>
        <w:t xml:space="preserve">uzimajući u obzir izvješće Međunarodnog monetarnog fonda (MMF) o svjetskim gospodarskim izgledima iz </w:t>
      </w:r>
      <w:r w:rsidR="00B03D61" w:rsidRPr="00B03D61">
        <w:t>siječnja 2025</w:t>
      </w:r>
      <w:r w:rsidRPr="000E52A8">
        <w:t>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 xml:space="preserve">uzimajući u obzir monetarne dijaloge s predsjednicom ESB-a Christine </w:t>
      </w:r>
      <w:proofErr w:type="spellStart"/>
      <w:r w:rsidRPr="000E52A8">
        <w:t>Lagarde</w:t>
      </w:r>
      <w:proofErr w:type="spellEnd"/>
      <w:r w:rsidRPr="000E52A8">
        <w:t xml:space="preserve"> od 15. veljače 2024., 30. rujna 2024. i 4. prosinca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svoju Odluku od 1. lipnja 2023. o sporazumima u obliku razmjene pisama između Europskog parlamenta i Europske središnje banke o strukturiranju praksi interakcije u području središnjeg bankarstva</w:t>
      </w:r>
      <w:r w:rsidRPr="000E52A8">
        <w:rPr>
          <w:rStyle w:val="FootnoteReference"/>
        </w:rPr>
        <w:footnoteReference w:id="2"/>
      </w:r>
      <w:r w:rsidRPr="000E52A8">
        <w:t>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europski stup socijalnih prava,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 xml:space="preserve">uzimajući u obzir da je Upravno vijeće ESB-a 21. srpnja 2022. odobrilo instrument zaštite transmisije (engl. </w:t>
      </w:r>
      <w:proofErr w:type="spellStart"/>
      <w:r w:rsidRPr="000E52A8">
        <w:t>Transmission</w:t>
      </w:r>
      <w:proofErr w:type="spellEnd"/>
      <w:r w:rsidRPr="000E52A8">
        <w:t xml:space="preserve"> Protection Instrument, TPI),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Komisijin Prijedlog uredbe Europskog parlamenta i Vijeća od 28. lipnja 2023. o uvođenju digitalnog eura (COM(2023)0369),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prvo i drugo izvješće o napretku pripremne faze projekta digitalnog eura, koja je ESB objavio 24. lipnja 2024. i 2. prosinca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četiri izvješća o napretku faze istraživanja projekta digitalnog eura, koja je ESB objavio 13. srpnja 2023., 24. travnja 2023., 21. prosinca 2022. i 29. rujna 2022.,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reviziju strategije monetarne politike ESB-a pokrenutu 23. siječnja 2020. i dovršenu 8. srpnja 2021. te predstojeću procjenu strategije monetarne politike za 2025.,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reviziju operativnog okvira ESB-a objavljenu 13. ožujka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Godišnje izvješće ESB-a o međunarodnoj ulozi eura objavljeno u lipnju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rezultate ESB-ova prvog testiranja otpornosti na stres u pogledu kibernetičke otpornosti od 26. srpnja 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pregled financijske stabilnosti ESB-a objavljen 20. studenog 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objavu revidirane Uredbe o kapitalnim zahtjevima</w:t>
      </w:r>
      <w:r w:rsidRPr="000E52A8">
        <w:rPr>
          <w:rStyle w:val="FootnoteReference"/>
        </w:rPr>
        <w:footnoteReference w:id="3"/>
      </w:r>
      <w:r w:rsidRPr="000E52A8">
        <w:t xml:space="preserve"> („CRR III”) i revidirane Direktive o kapitalnim zahtjevima</w:t>
      </w:r>
      <w:r w:rsidRPr="000E52A8">
        <w:rPr>
          <w:rStyle w:val="FootnoteReference"/>
        </w:rPr>
        <w:footnoteReference w:id="4"/>
      </w:r>
      <w:r w:rsidRPr="000E52A8">
        <w:t xml:space="preserve"> („CRD VI”) u Službenom listu Europske unije 19. lipnja 2024.,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rezultate ESB-ova testiranja otpornosti na stres u pogledu klimatske otpornosti od 8. srpnja 2022.,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ESB-ovu ažuriranu Izjavu o okolišu iz 2024.,</w:t>
      </w:r>
    </w:p>
    <w:p w:rsidR="001B247A" w:rsidRPr="000E52A8" w:rsidRDefault="001B247A" w:rsidP="001B247A">
      <w:pPr>
        <w:pStyle w:val="NormalHanging12a"/>
      </w:pPr>
      <w:r w:rsidRPr="000E52A8">
        <w:lastRenderedPageBreak/>
        <w:t>–</w:t>
      </w:r>
      <w:r w:rsidRPr="000E52A8">
        <w:tab/>
        <w:t>uzimajući u obzir plan ESB-a za klimu i prirodu za razdoblje 2024. - 2025.,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članak 142. stavak 1. Poslovnika,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članak 55. Poslovnika,</w:t>
      </w:r>
    </w:p>
    <w:p w:rsidR="001B247A" w:rsidRPr="000E52A8" w:rsidRDefault="001B247A" w:rsidP="001B247A">
      <w:pPr>
        <w:pStyle w:val="NormalHanging12a"/>
      </w:pPr>
      <w:r w:rsidRPr="000E52A8">
        <w:t>–</w:t>
      </w:r>
      <w:r w:rsidRPr="000E52A8">
        <w:tab/>
        <w:t>uzimajući u obzir izvješće Odbora za ekonomsku i monetarnu politiku (A10-0003/2025),</w:t>
      </w:r>
    </w:p>
    <w:p w:rsidR="001B247A" w:rsidRPr="000E52A8" w:rsidRDefault="001B247A" w:rsidP="001B247A">
      <w:pPr>
        <w:pStyle w:val="NormalHanging12a"/>
      </w:pPr>
      <w:r w:rsidRPr="000E52A8">
        <w:t>A.</w:t>
      </w:r>
      <w:r w:rsidRPr="000E52A8">
        <w:tab/>
        <w:t xml:space="preserve">budući da je prema podacima </w:t>
      </w:r>
      <w:proofErr w:type="spellStart"/>
      <w:r w:rsidRPr="000E52A8">
        <w:t>Eurostata</w:t>
      </w:r>
      <w:proofErr w:type="spellEnd"/>
      <w:r w:rsidRPr="000E52A8">
        <w:t xml:space="preserve"> stopa inflacije mjerena harmoniziranim indeksom potrošačkih cijena (HIPC) u europodručju u </w:t>
      </w:r>
      <w:r w:rsidR="00B03D61" w:rsidRPr="00B03D61">
        <w:t>prosincu</w:t>
      </w:r>
      <w:r w:rsidRPr="000E52A8">
        <w:t xml:space="preserve"> 2024. iznosila 2,</w:t>
      </w:r>
      <w:r w:rsidR="00B03D61">
        <w:t>4</w:t>
      </w:r>
      <w:r w:rsidRPr="000E52A8">
        <w:t> %;</w:t>
      </w:r>
    </w:p>
    <w:p w:rsidR="001B247A" w:rsidRPr="000E52A8" w:rsidRDefault="001B247A" w:rsidP="001B247A">
      <w:pPr>
        <w:pStyle w:val="NormalHanging12a"/>
      </w:pPr>
      <w:r w:rsidRPr="000E52A8">
        <w:t>B.</w:t>
      </w:r>
      <w:r w:rsidRPr="000E52A8">
        <w:tab/>
        <w:t>budući da se prema makroekonomskim projekcijama stručnjaka Eurosustava za europodručje iz prosinca 2024. predviđa da će se inflacija mjerena HIPC-om smanjiti na 2,1 % 2025. i 1,9 % 2026. te zatim povećati na 2,1 % 2027.</w:t>
      </w:r>
      <w:r w:rsidRPr="000E52A8">
        <w:rPr>
          <w:rStyle w:val="FootnoteReference"/>
        </w:rPr>
        <w:footnoteReference w:id="5"/>
      </w:r>
      <w:r w:rsidRPr="000E52A8">
        <w:t>;</w:t>
      </w:r>
      <w:r w:rsidR="00B03D61">
        <w:t xml:space="preserve"> </w:t>
      </w:r>
      <w:r w:rsidR="00B03D61" w:rsidRPr="00B03D61">
        <w:t>budući da projekcije za inflaciju pokazuju znatne varijacije diljem europodručja;</w:t>
      </w:r>
    </w:p>
    <w:p w:rsidR="001B247A" w:rsidRPr="000E52A8" w:rsidRDefault="001B247A" w:rsidP="001B247A">
      <w:pPr>
        <w:pStyle w:val="NormalHanging12a"/>
      </w:pPr>
      <w:r w:rsidRPr="000E52A8">
        <w:t>C.</w:t>
      </w:r>
      <w:r w:rsidRPr="000E52A8">
        <w:tab/>
        <w:t>budući da je glavni cilj ESB-a očuvanje stabilnosti cijena, koju definira kao stopu inflacije od 2 % u srednjoročnom razdoblju;</w:t>
      </w:r>
    </w:p>
    <w:p w:rsidR="001B247A" w:rsidRPr="000E52A8" w:rsidRDefault="001B247A" w:rsidP="001B247A">
      <w:pPr>
        <w:pStyle w:val="NormalHanging12a"/>
      </w:pPr>
      <w:r w:rsidRPr="000E52A8">
        <w:t>D.</w:t>
      </w:r>
      <w:r w:rsidRPr="000E52A8">
        <w:tab/>
        <w:t>budući da bi ESB trebala promicati opće ekonomske politike u EU-u i time doprinosi postizanju ciljeva EU-a kako su utvrđeni u članku 3. UEU-a;</w:t>
      </w:r>
    </w:p>
    <w:p w:rsidR="001B247A" w:rsidRPr="000E52A8" w:rsidRDefault="001B247A" w:rsidP="001B247A">
      <w:pPr>
        <w:pStyle w:val="NormalHanging12a"/>
      </w:pPr>
      <w:r w:rsidRPr="000E52A8">
        <w:t>E.</w:t>
      </w:r>
      <w:r w:rsidRPr="000E52A8">
        <w:tab/>
        <w:t>budući da je ESB politički neovisan, što znači da institucije i agencije EU-a kao ni vlade država članica ne bi smjele pokušavati na njega utjecati;</w:t>
      </w:r>
    </w:p>
    <w:p w:rsidR="001B247A" w:rsidRPr="000E52A8" w:rsidRDefault="001B247A" w:rsidP="001B247A">
      <w:pPr>
        <w:pStyle w:val="NormalHanging12a"/>
      </w:pPr>
      <w:r w:rsidRPr="000E52A8">
        <w:t>F.</w:t>
      </w:r>
      <w:r w:rsidRPr="000E52A8">
        <w:tab/>
        <w:t>budući da ESB može donositi odluke bez političkog uplitanja kako bi ispunio svoj primarni cilj održavanja stabilnosti cijena, s time da ga se može pozivati na odgovornost;</w:t>
      </w:r>
    </w:p>
    <w:p w:rsidR="001B247A" w:rsidRPr="000E52A8" w:rsidRDefault="001B247A" w:rsidP="001B247A">
      <w:pPr>
        <w:pStyle w:val="NormalHanging12a"/>
      </w:pPr>
      <w:r w:rsidRPr="000E52A8">
        <w:t>G.</w:t>
      </w:r>
      <w:r w:rsidRPr="000E52A8">
        <w:tab/>
        <w:t>budući da se zbog političke neovisnosti ESB mora suzdržavati od donošenja političkih odluka;</w:t>
      </w:r>
    </w:p>
    <w:p w:rsidR="001B247A" w:rsidRPr="000E52A8" w:rsidRDefault="001B247A" w:rsidP="001B247A">
      <w:pPr>
        <w:pStyle w:val="NormalHanging12a"/>
      </w:pPr>
      <w:r w:rsidRPr="000E52A8">
        <w:t>H.</w:t>
      </w:r>
      <w:r w:rsidRPr="000E52A8">
        <w:tab/>
        <w:t>budući da je člankom 123. UFEU-a i člankom 21. Statuta ESSB-a i ESB-a zabranjeno izravno monetarno financiranje država; budući da ESB može kupiti dužničke vrijednosne papire na sekundarnom tržištu ako je to potrebno za ostvarivanje njegovih ciljeva;</w:t>
      </w:r>
    </w:p>
    <w:p w:rsidR="001B247A" w:rsidRPr="000E52A8" w:rsidRDefault="001B247A" w:rsidP="001B247A">
      <w:pPr>
        <w:pStyle w:val="NormalHanging12a"/>
      </w:pPr>
      <w:r w:rsidRPr="000E52A8">
        <w:t>I.</w:t>
      </w:r>
      <w:r w:rsidRPr="000E52A8">
        <w:tab/>
        <w:t>budući da je Eurosustav izgrađen na načelu monetarne dominacije;</w:t>
      </w:r>
    </w:p>
    <w:p w:rsidR="001B247A" w:rsidRPr="000E52A8" w:rsidRDefault="001B247A" w:rsidP="001B247A">
      <w:pPr>
        <w:pStyle w:val="NormalHanging12a"/>
      </w:pPr>
      <w:r w:rsidRPr="000E52A8">
        <w:t>J.</w:t>
      </w:r>
      <w:r w:rsidRPr="000E52A8">
        <w:tab/>
        <w:t>budući da se sredstva kojima se otplaćuje glavnica dospjelih vrijednosnih papira kupljenih u okviru programa kupnje vrijednosnih papira više ne ulažu i da se sredstva kojima se otplaćuje glavnica dospjelih vrijednosnih papira kupljenih u okviru hitnog programa kupnje zbog pandemije (PEPP) više neće ponovno ulagati od siječnja 2025.;</w:t>
      </w:r>
    </w:p>
    <w:p w:rsidR="001B247A" w:rsidRPr="000E52A8" w:rsidRDefault="001B247A" w:rsidP="001B247A">
      <w:pPr>
        <w:pStyle w:val="NormalHanging12a"/>
      </w:pPr>
      <w:r w:rsidRPr="000E52A8">
        <w:t>K.</w:t>
      </w:r>
      <w:r w:rsidRPr="000E52A8">
        <w:tab/>
        <w:t>budući da su bankovne pričuve koje kreditne institucije drže u ESB-u u prosincu 2024. iznosile 3 bilijuna EUR;</w:t>
      </w:r>
    </w:p>
    <w:p w:rsidR="001B247A" w:rsidRPr="000E52A8" w:rsidRDefault="001B247A" w:rsidP="001B247A">
      <w:pPr>
        <w:pStyle w:val="NormalHanging12a"/>
      </w:pPr>
      <w:r w:rsidRPr="000E52A8">
        <w:t>L.</w:t>
      </w:r>
      <w:r w:rsidRPr="000E52A8">
        <w:tab/>
        <w:t>budući da je euro druga najvažnija valuta na svijetu;</w:t>
      </w:r>
    </w:p>
    <w:p w:rsidR="001B247A" w:rsidRPr="000E52A8" w:rsidRDefault="001B247A" w:rsidP="001B247A">
      <w:pPr>
        <w:pStyle w:val="NormalHanging12a"/>
      </w:pPr>
      <w:r w:rsidRPr="000E52A8">
        <w:lastRenderedPageBreak/>
        <w:t>M.</w:t>
      </w:r>
      <w:r w:rsidRPr="000E52A8">
        <w:tab/>
        <w:t>budući da ESB polaže račune Parlamentu kao instituciji koja predstavlja građane EU-a; budući da se to polaganje računa održava na najvišoj razini, uz redovitu organizaciju monetarnog dijaloga, redovito pojavljivanje predsjednika ESB-a na plenarnim sjednicama Parlamenta te razne posjete i sastanke između zastupnika u Parlamentu i članova odbora ESB-a;</w:t>
      </w:r>
    </w:p>
    <w:p w:rsidR="001B247A" w:rsidRPr="000E52A8" w:rsidRDefault="001B247A" w:rsidP="001B247A">
      <w:pPr>
        <w:pStyle w:val="Normal12a24b"/>
      </w:pPr>
      <w:r w:rsidRPr="000E52A8">
        <w:rPr>
          <w:rStyle w:val="BoldItalic"/>
        </w:rPr>
        <w:t>Opći pregled</w:t>
      </w:r>
    </w:p>
    <w:p w:rsidR="001B247A" w:rsidRPr="000E52A8" w:rsidRDefault="001B247A" w:rsidP="001B247A">
      <w:pPr>
        <w:pStyle w:val="NormalHanging12a"/>
      </w:pPr>
      <w:r w:rsidRPr="000E52A8">
        <w:t>1.</w:t>
      </w:r>
      <w:r w:rsidRPr="000E52A8">
        <w:tab/>
        <w:t>pozdravlja ulogu ESB-a u očuvanju monetarne i financijske stabilnosti, koja je nužan preduvjet za rast i gospodarsku stabilnost; naglašava da je u tom pogledu ESB institucija koja je odgovorna za očuvanje stabilnosti cijena u europodručju; napominje da Europski sustav središnjih banaka (ESSB), ne dovodeći u pitanje cilj održavanja stabilnosti cijena, podupire opće ekonomske politike Unije kako je utvrđeno u članku 127. UFEU-a;</w:t>
      </w:r>
    </w:p>
    <w:p w:rsidR="001B247A" w:rsidRPr="000E52A8" w:rsidRDefault="001B247A" w:rsidP="001B247A">
      <w:pPr>
        <w:pStyle w:val="NormalHanging12a"/>
      </w:pPr>
      <w:r w:rsidRPr="000E52A8">
        <w:t>2.</w:t>
      </w:r>
      <w:r w:rsidRPr="000E52A8">
        <w:tab/>
        <w:t>ističe da je statutarna neovisnost ESB-a, utvrđena Ugovorima, preduvjet za ispunjavanje njegova mandata, a to je održavanje stabilnosti cijena u europodručju i time doprinos gospodarskom rastu, konkurentnosti i otvaranju radnih mjesta;</w:t>
      </w:r>
    </w:p>
    <w:p w:rsidR="001B247A" w:rsidRPr="000E52A8" w:rsidRDefault="001B247A" w:rsidP="001B247A">
      <w:pPr>
        <w:pStyle w:val="NormalHanging12a"/>
      </w:pPr>
      <w:r w:rsidRPr="000E52A8">
        <w:t>3.</w:t>
      </w:r>
      <w:r w:rsidRPr="000E52A8">
        <w:tab/>
        <w:t>ističe važnost političke neovisnosti ESB-a, koja bi trebala ostati nepromijenjena; naglašava da ta neovisnost pak od ESB-a iziskuje da se suzdrži od poduzimanja političkih mjera; pozdravlja institucionalnu suradnju i time naglašava važnost odgovarajuće razine odgovornosti prema Parlamentu;</w:t>
      </w:r>
    </w:p>
    <w:p w:rsidR="001B247A" w:rsidRPr="000E52A8" w:rsidRDefault="001B247A" w:rsidP="001B247A">
      <w:pPr>
        <w:pStyle w:val="NormalHanging12a"/>
      </w:pPr>
      <w:r w:rsidRPr="000E52A8">
        <w:t>4.</w:t>
      </w:r>
      <w:r w:rsidRPr="000E52A8">
        <w:tab/>
        <w:t>poziva ESB i Europski parlament da u potpunosti iskoriste mehanizme odgovornosti i transparentnosti te da, kada je to moguće, dodatno poboljšaju te mehanizme, ne dovodeći pritom u pitanje neovisnost ESB-a;</w:t>
      </w:r>
    </w:p>
    <w:p w:rsidR="001B247A" w:rsidRPr="000E52A8" w:rsidRDefault="001B247A" w:rsidP="001B247A">
      <w:pPr>
        <w:pStyle w:val="NormalHanging12a"/>
      </w:pPr>
      <w:r w:rsidRPr="000E52A8">
        <w:t>5.</w:t>
      </w:r>
      <w:r w:rsidRPr="000E52A8">
        <w:tab/>
        <w:t>prepoznaje napore ESB-a da se inflacija vrati na razine razmjerne njegovu cilju od 2 % u srednjoročnom razdoblju;</w:t>
      </w:r>
    </w:p>
    <w:p w:rsidR="001B247A" w:rsidRPr="000E52A8" w:rsidRDefault="001B247A" w:rsidP="001B247A">
      <w:pPr>
        <w:pStyle w:val="NormalHanging12a"/>
      </w:pPr>
      <w:r w:rsidRPr="000E52A8">
        <w:t>6.</w:t>
      </w:r>
      <w:r w:rsidRPr="000E52A8">
        <w:tab/>
        <w:t>naglašava da bi monetarna politika ESB-a, uz ispunjavanje mandata, i fiskalne politike trebale djelovati zajedno kako bi pomogle europskim građanima i kućanstvima, kao i malim poduzećima;</w:t>
      </w:r>
    </w:p>
    <w:p w:rsidR="001B247A" w:rsidRPr="000E52A8" w:rsidRDefault="001B247A" w:rsidP="001B247A">
      <w:pPr>
        <w:pStyle w:val="NormalHanging12a"/>
      </w:pPr>
      <w:r w:rsidRPr="000E52A8">
        <w:t>7.</w:t>
      </w:r>
      <w:r w:rsidRPr="000E52A8">
        <w:tab/>
        <w:t>prima na znanje razlike među državama članicama u pogledu razina inflacije koje su iznad ili ispod cilja ESB-a od 2 %; naglašava da inflacija umanjuje kupovnu moć fiksnih prihoda, štednje i mirovina i da narušava signalnu funkciju cijena kojom se osigurava učinkovita raspodjela sredstava, čime negativno utječe na gospodarsku stabilnost;</w:t>
      </w:r>
    </w:p>
    <w:p w:rsidR="001B247A" w:rsidRPr="000E52A8" w:rsidRDefault="001B247A" w:rsidP="001B247A">
      <w:pPr>
        <w:pStyle w:val="NormalHanging12a"/>
      </w:pPr>
      <w:r w:rsidRPr="000E52A8">
        <w:t>8.</w:t>
      </w:r>
      <w:r w:rsidRPr="000E52A8">
        <w:tab/>
        <w:t>naglašava da je inflacija potaknula „krizu troškova života” za građane EU-a; stoga naglašava nužnost smanjenja inflacije na ciljanu stopu od 2 %; konstatira da visoke razine inflacije nerazmjerno utječu na kućanstva s nižim dohotkom, koja veći dio svojeg proračuna troše na osnovne potrepštine; naglašava da je vraćanje ukupne inflacije na ciljnu razinu stoga važno i za održavanje socijalne kohezije;</w:t>
      </w:r>
    </w:p>
    <w:p w:rsidR="001B247A" w:rsidRPr="000E52A8" w:rsidRDefault="001B247A" w:rsidP="001B247A">
      <w:pPr>
        <w:pStyle w:val="NormalHanging12a"/>
      </w:pPr>
      <w:r w:rsidRPr="000E52A8">
        <w:t>9.</w:t>
      </w:r>
      <w:r w:rsidRPr="000E52A8">
        <w:tab/>
        <w:t xml:space="preserve">žali zbog toga što je temeljna inflacija u europodručju i dalje visoka (2,7 % u </w:t>
      </w:r>
      <w:r w:rsidR="00D647C1">
        <w:t>prosincu</w:t>
      </w:r>
      <w:r w:rsidRPr="000E52A8">
        <w:t xml:space="preserve"> 2024.), pri čemu </w:t>
      </w:r>
      <w:r w:rsidR="00D647C1">
        <w:t>su</w:t>
      </w:r>
      <w:r w:rsidRPr="000E52A8">
        <w:t xml:space="preserve"> samo </w:t>
      </w:r>
      <w:r w:rsidR="00D647C1">
        <w:t>tri države članice</w:t>
      </w:r>
      <w:r w:rsidRPr="000E52A8">
        <w:t xml:space="preserve"> europodručja u </w:t>
      </w:r>
      <w:r w:rsidR="00D647C1">
        <w:t>prosincu</w:t>
      </w:r>
      <w:r w:rsidRPr="000E52A8">
        <w:t xml:space="preserve"> 2024. prijavil</w:t>
      </w:r>
      <w:r w:rsidR="00D647C1">
        <w:t>e</w:t>
      </w:r>
      <w:r w:rsidRPr="000E52A8">
        <w:t xml:space="preserve"> temeljnu stopu inflacije nižu od 2 %; podsjeća da ta situacija stvara gospodarsku nesigurnost, obeshrabruje štednju i povećava životne troškove građana, što posebno utječe na one s fiksnim i ograničenim prihodima;</w:t>
      </w:r>
    </w:p>
    <w:p w:rsidR="001B247A" w:rsidRPr="000E52A8" w:rsidRDefault="001B247A" w:rsidP="001B247A">
      <w:pPr>
        <w:pStyle w:val="NormalHanging12a"/>
      </w:pPr>
      <w:r w:rsidRPr="000E52A8">
        <w:lastRenderedPageBreak/>
        <w:t>10.</w:t>
      </w:r>
      <w:r w:rsidRPr="000E52A8">
        <w:tab/>
        <w:t xml:space="preserve">naglašava da bi zadržavanje previsokih kamatnih stopa moglo naštetiti ekonomskom rastu; upozorava ESB da ne smanjuje prebrzo kamatne stope s obzirom na rizik od ponovnog povećanja stopa inflacije, koja je i dalje iznad 2 %; ističe ključnu ulogu očekivanja u pogledu inflacije i činjenicu da bi ih prekomjerna </w:t>
      </w:r>
      <w:proofErr w:type="spellStart"/>
      <w:r w:rsidRPr="000E52A8">
        <w:t>volatilnost</w:t>
      </w:r>
      <w:proofErr w:type="spellEnd"/>
      <w:r w:rsidRPr="000E52A8">
        <w:t xml:space="preserve"> stopa inflacije mogla narušiti; poziva ESB da procijeni učinak promjena kamatnih stopa na različite gospodarske sektore, među ostalim na kapitalno intenzivne sektore;</w:t>
      </w:r>
    </w:p>
    <w:p w:rsidR="001B247A" w:rsidRPr="000E52A8" w:rsidRDefault="001B247A" w:rsidP="001B247A">
      <w:pPr>
        <w:pStyle w:val="NormalHanging12a"/>
      </w:pPr>
      <w:r w:rsidRPr="000E52A8">
        <w:t>11.</w:t>
      </w:r>
      <w:r w:rsidRPr="000E52A8">
        <w:tab/>
        <w:t>priznaje da su odluke o monetarnoj politici koje je donijelo Upravno vijeće ESB-a od početka inflacijske krize uzrokovane porastom cijena energije usmjerile inflaciju na put koji je u skladu s postizanjem cilja stabilnosti cijena, te da je pritom izbjegnuto ozbiljno pogoršanje gospodarske aktivnosti ili zaposlenosti;</w:t>
      </w:r>
    </w:p>
    <w:p w:rsidR="001B247A" w:rsidRPr="000E52A8" w:rsidRDefault="001B247A" w:rsidP="001B247A">
      <w:pPr>
        <w:pStyle w:val="NormalHanging12a"/>
      </w:pPr>
      <w:r w:rsidRPr="000E52A8">
        <w:t>12.</w:t>
      </w:r>
      <w:r w:rsidRPr="000E52A8">
        <w:tab/>
        <w:t>podsjeća da je Eurosustav izgrađen na načelu monetarne dominacije te da su za ekonomsku i monetarnu uniju stoga potrebne čvrste fiskalne politike u državama članicama kako bi se moglo odgovoriti na vanjske šokove; podsjeća na potrebu za odgovarajućom provedbom novog fiskalnog okvira kako bi se osigurala vjerodostojnost fiskalnih politika na razini ekonomske i monetarne unije; napominje da dostatan fiskalni prostor također omogućuje državama članicama da odgovore na vanjske šokove; prima na znanje fleksibilnost koju u tom pogledu omogućuju nova fiskalna pravila; ističe da države članice mogu povećati svoju otpornost na vanjske šokove fiskalnim mjerama i reformama kojima se potiče rast;</w:t>
      </w:r>
    </w:p>
    <w:p w:rsidR="001B247A" w:rsidRPr="000E52A8" w:rsidRDefault="001B247A" w:rsidP="001B247A">
      <w:pPr>
        <w:pStyle w:val="NormalHanging12a"/>
      </w:pPr>
      <w:r w:rsidRPr="000E52A8">
        <w:t>13.</w:t>
      </w:r>
      <w:r w:rsidRPr="000E52A8">
        <w:tab/>
        <w:t>podsjeća da razborite fiskalne politike država članica mogu dopuniti napore ESB-a da zadrži niske stope inflacije i na taj način zaštiti prihode; ističe da je rješavanje problema prekomjernog javnog deficita i razine duga ključno za održavanje stabilnog gospodarstva, održivog rasta i kako bi vlade imale na raspolaganju politički prostor za odgovor na negativne šokove; u tom pogledu prima na znanje nedavne zaključke pregleda financijske stabilnosti koji se odnose na visoke razine nacionalnog duga;</w:t>
      </w:r>
    </w:p>
    <w:p w:rsidR="001B247A" w:rsidRPr="000E52A8" w:rsidRDefault="001B247A" w:rsidP="001B247A">
      <w:pPr>
        <w:pStyle w:val="NormalHanging12a"/>
      </w:pPr>
      <w:r w:rsidRPr="000E52A8">
        <w:t>14.</w:t>
      </w:r>
      <w:r w:rsidRPr="000E52A8">
        <w:tab/>
        <w:t>konstatira da monetarne politike ESB-a usmjerene na ispunjavanje njegove glavne zadaće podliježu procjeni proporcionalnosti; konstatira da se u procjeni proporcionalnosti uzima u obzir učinak mjera monetarne politike na šire gospodarstvo i ekonomske politike;</w:t>
      </w:r>
    </w:p>
    <w:p w:rsidR="001B247A" w:rsidRPr="000E52A8" w:rsidRDefault="001B247A" w:rsidP="001B247A">
      <w:pPr>
        <w:pStyle w:val="Normal12a24b"/>
      </w:pPr>
      <w:r w:rsidRPr="000E52A8">
        <w:rPr>
          <w:rStyle w:val="BoldItalic"/>
        </w:rPr>
        <w:t>Monetarna politika</w:t>
      </w:r>
    </w:p>
    <w:p w:rsidR="001B247A" w:rsidRPr="000E52A8" w:rsidRDefault="001B247A" w:rsidP="001B247A">
      <w:pPr>
        <w:pStyle w:val="NormalHanging12a"/>
      </w:pPr>
      <w:r w:rsidRPr="000E52A8">
        <w:t>15.</w:t>
      </w:r>
      <w:r w:rsidRPr="000E52A8">
        <w:tab/>
        <w:t xml:space="preserve">zdušno pozdravlja činjenicu da se ukupna stopa inflacije od listopada 2022., kada je dosegla vrhunac od 10,6 %, u </w:t>
      </w:r>
      <w:r w:rsidR="00D647C1">
        <w:t>prosincu</w:t>
      </w:r>
      <w:r w:rsidRPr="000E52A8">
        <w:t xml:space="preserve"> 2024. smanjila na razinu od 2,</w:t>
      </w:r>
      <w:r w:rsidR="00D647C1">
        <w:t>4</w:t>
      </w:r>
      <w:r w:rsidRPr="000E52A8">
        <w:t> %;</w:t>
      </w:r>
    </w:p>
    <w:p w:rsidR="001B247A" w:rsidRPr="000E52A8" w:rsidRDefault="001B247A" w:rsidP="001B247A">
      <w:pPr>
        <w:pStyle w:val="NormalHanging12a"/>
      </w:pPr>
      <w:r w:rsidRPr="000E52A8">
        <w:t>16.</w:t>
      </w:r>
      <w:r w:rsidRPr="000E52A8">
        <w:tab/>
        <w:t xml:space="preserve">pozdravlja smanjenje temeljne stope inflacije od ožujka 2023., kada je dosegla </w:t>
      </w:r>
      <w:r w:rsidR="00AF251E">
        <w:t>vrhunac od 7,6 %</w:t>
      </w:r>
      <w:r w:rsidRPr="000E52A8">
        <w:t xml:space="preserve">, na 2,7 % u </w:t>
      </w:r>
      <w:r w:rsidR="00D647C1">
        <w:t>prosincu</w:t>
      </w:r>
      <w:r w:rsidRPr="000E52A8">
        <w:t xml:space="preserve"> 2024., ali izražava nelagodu zbog njezine povijesno i trajno visoke stope; sa zabrinutošću napominje da bi visoka temeljna inflacija mogla dovesti do veće ukupne inflacije;</w:t>
      </w:r>
    </w:p>
    <w:p w:rsidR="001B247A" w:rsidRPr="000E52A8" w:rsidRDefault="001B247A" w:rsidP="001B247A">
      <w:pPr>
        <w:pStyle w:val="NormalHanging12a"/>
      </w:pPr>
      <w:r w:rsidRPr="000E52A8">
        <w:t>17.</w:t>
      </w:r>
      <w:r w:rsidRPr="000E52A8">
        <w:tab/>
        <w:t>napominje da je ESB-u trebalo više od tri godine da postigne razinu inflacije koja je razmjerna ciljnoj stopi od 2 %; u tom pogledu podsjeća da je ESB netočno procijenio da se očekuje da će inflacija biti samo prolazna;</w:t>
      </w:r>
    </w:p>
    <w:p w:rsidR="001B247A" w:rsidRPr="000E52A8" w:rsidRDefault="001B247A" w:rsidP="001B247A">
      <w:pPr>
        <w:pStyle w:val="NormalHanging12a"/>
      </w:pPr>
      <w:r w:rsidRPr="000E52A8">
        <w:t>18.</w:t>
      </w:r>
      <w:r w:rsidRPr="000E52A8">
        <w:tab/>
        <w:t>naglašava da su šokovi u opskrbi, koji prvenstveno potječu iz vanjskih izvora, bili među ključnim pokretačima porasta inflacije; uviđa da monetarna politika ima izravniji učinak na razine inflacije kada prvenstveno proizlazi iz čimbenika potražnje, a ne iz čimbenika ponude;</w:t>
      </w:r>
    </w:p>
    <w:p w:rsidR="001B247A" w:rsidRPr="000E52A8" w:rsidRDefault="001B247A" w:rsidP="001B247A">
      <w:pPr>
        <w:pStyle w:val="NormalHanging12a"/>
      </w:pPr>
      <w:r w:rsidRPr="000E52A8">
        <w:lastRenderedPageBreak/>
        <w:t>19.</w:t>
      </w:r>
      <w:r w:rsidRPr="000E52A8">
        <w:tab/>
        <w:t xml:space="preserve">pozdravlja napore ESB-a da redovito ažurira svoje modele; poziva ESB da nastavi s preispitivanjem i poboljšanjem svojih modela i njihove uloge u donošenju politika s obzirom na njihovu nedovoljnu uspješnost posljednjih godina, kako bi se izvukle pouke iz prethodnih kriza, posebno ne bi li se bolje razlikovali izvori inflacije koji se temelje i na strani potražnje i na strani ponude; naglašava da gospodarski šokovi u opskrbi mogu proizaći iz mnogih izvora, među ostalim geopolitičkih događaja, katastrofa povezanih s klimom ili prirodnih katastrofa i </w:t>
      </w:r>
      <w:proofErr w:type="spellStart"/>
      <w:r w:rsidRPr="000E52A8">
        <w:t>kiberetičkih</w:t>
      </w:r>
      <w:proofErr w:type="spellEnd"/>
      <w:r w:rsidRPr="000E52A8">
        <w:t xml:space="preserve"> napada;</w:t>
      </w:r>
    </w:p>
    <w:p w:rsidR="001B247A" w:rsidRPr="000E52A8" w:rsidRDefault="001B247A" w:rsidP="001B247A">
      <w:pPr>
        <w:pStyle w:val="NormalHanging12a"/>
      </w:pPr>
      <w:r w:rsidRPr="000E52A8">
        <w:t>20.</w:t>
      </w:r>
      <w:r w:rsidRPr="000E52A8">
        <w:tab/>
        <w:t>naglašava da je uključivanje stambenih objekata u vlasništvu stanara u harmonizirani indeks potrošačkih cijena (HIPC) poželjno zbog reprezentativnosti i usporedivosti među zemljama europodručja; poziva na ubrzanje plana kako bi se osiguralo brzo uključivanje podataka koji se odnose na stambene objekte u vlasništvu stanara u HIPC; pozdravlja predanost Upravnog vijeća ESB-a da u svojim procjenama monetarne politike i odlukama razmotri i dostupne mjere inflacije u pogledu tromjesečnog samostalnog indeksa stambenih objekata u vlasništvu stanara;</w:t>
      </w:r>
    </w:p>
    <w:p w:rsidR="001B247A" w:rsidRPr="000E52A8" w:rsidRDefault="001B247A" w:rsidP="001B247A">
      <w:pPr>
        <w:pStyle w:val="NormalHanging12a"/>
      </w:pPr>
      <w:r w:rsidRPr="000E52A8">
        <w:t>21.</w:t>
      </w:r>
      <w:r w:rsidRPr="000E52A8">
        <w:tab/>
        <w:t xml:space="preserve">podržava odluku ESB-a da smanji svoje programe kupnje vrijednosnih papira, kako bi se </w:t>
      </w:r>
      <w:proofErr w:type="spellStart"/>
      <w:r w:rsidRPr="000E52A8">
        <w:t>likvidosni</w:t>
      </w:r>
      <w:proofErr w:type="spellEnd"/>
      <w:r w:rsidRPr="000E52A8">
        <w:t xml:space="preserve"> tržišni zahtjevi uravnotežili s razinama inflacije, s obzirom na višak likvidnosti na tržištu i pad stopa inflacije; pozdravlja činjenicu da portfelj imovine u okviru ESB-ovih programa kupnje od 2023. bilježi silazni trend;</w:t>
      </w:r>
    </w:p>
    <w:p w:rsidR="001B247A" w:rsidRPr="000E52A8" w:rsidRDefault="001B247A" w:rsidP="001B247A">
      <w:pPr>
        <w:pStyle w:val="NormalHanging12a"/>
      </w:pPr>
      <w:r w:rsidRPr="000E52A8">
        <w:t>22.</w:t>
      </w:r>
      <w:r w:rsidRPr="000E52A8">
        <w:tab/>
        <w:t>ističe da je kamata na bankovne rezerve komercijalnih banaka rezultirala time da je Eurosustav samo 2023. isplatio kamate u iznosu od 120 milijarde EUR kreditnim institucijama, što odgovara iznosu od 0,8 % BDP-a europodručja; smatra da je to znatna subvencija bankarskom sektoru; traži od ESB-a da učini nešto po tom pitanju;</w:t>
      </w:r>
    </w:p>
    <w:p w:rsidR="001B247A" w:rsidRPr="000E52A8" w:rsidRDefault="001B247A" w:rsidP="001B247A">
      <w:pPr>
        <w:pStyle w:val="NormalHanging12a"/>
      </w:pPr>
      <w:r w:rsidRPr="000E52A8">
        <w:t>23.</w:t>
      </w:r>
      <w:r w:rsidRPr="000E52A8">
        <w:tab/>
        <w:t xml:space="preserve">naglašava da su ESB-ovi programi kupnje nekonvencionalne politike primjenjive samo tijekom perioda krize i kojima bi se, ako se </w:t>
      </w:r>
      <w:r w:rsidR="00DC0DA3">
        <w:t xml:space="preserve">ne </w:t>
      </w:r>
      <w:r w:rsidRPr="000E52A8">
        <w:t>provedu pažljivo, mogla prekršiti zabrana monetarnog financiranja iz članka 123. stavka 1. UFEU-a; poziva ESB da nastavi pratiti postupno smanjenje svoje bilance kako bi se ograničili dugotrajni potencijalno destabilizirajući učinci u europodručju, uz istodobno praćenje rasta i konkurentnosti gospodarstva EU-a; poziva ESB da podijeli uvide o učinku programa kupnje na funkcioniranje financijskih tržišta, uključujući utjecaj na mirovinske fondove i suradnju u području mirovinskog osiguranja;</w:t>
      </w:r>
    </w:p>
    <w:p w:rsidR="001B247A" w:rsidRPr="000E52A8" w:rsidRDefault="001B247A" w:rsidP="001B247A">
      <w:pPr>
        <w:pStyle w:val="NormalHanging12a"/>
      </w:pPr>
      <w:r w:rsidRPr="000E52A8">
        <w:t>24.</w:t>
      </w:r>
      <w:r w:rsidRPr="000E52A8">
        <w:tab/>
        <w:t xml:space="preserve">naglašava da je ujednačena transmisija monetarne politike ključna za ostvarenje mandata ESB-a u pogledu stabilnosti cijena; ističe da su zbog prekomjernih razlika u prinosima državnih obveznica kreditni uvjeti neusklađeni s ujednačenom transmisijom monetarne politike te da to znatno otežava smanjenje javnog duga; prima na znanje uspostavu instrumenta za zaštitu prijenosa (TPI) u srpnju 2022. kao alata za podršku učinkovite transmisije monetarne politike; </w:t>
      </w:r>
    </w:p>
    <w:p w:rsidR="001B247A" w:rsidRPr="000E52A8" w:rsidRDefault="001B247A" w:rsidP="001B247A">
      <w:pPr>
        <w:pStyle w:val="NormalHanging12a"/>
      </w:pPr>
      <w:r w:rsidRPr="000E52A8">
        <w:t>25.</w:t>
      </w:r>
      <w:r w:rsidRPr="000E52A8">
        <w:tab/>
        <w:t>naglašava da su različite kamatne stope u europodručju – u odsutnosti ozbiljnih financijskih poremećaja – općenito posljedica različitih premija rizika za državne obveznice, što, između ostalog, odražava različite pristupe fiskalnoj politici; napominje da se intervencijama u okviru instrumenta zaštite transmisije mogu prikriti temeljni fiskalni izazovi; naglašava da bi se instrumenti za zaštitu prijenosa (TPI) pod uvjetima koje je utvrdio ESB trebali koristiti samo za rješavanje stresa na financijskom tržištu koji nije povezan s ekonomskim temeljima; poziva države članice da provode odgovorne fiskalne politike i osiguraju održivu razinu duga, kojima se jača njihova otpornost na trenutačne i buduće šokove;</w:t>
      </w:r>
    </w:p>
    <w:p w:rsidR="001B247A" w:rsidRPr="000E52A8" w:rsidRDefault="001B247A" w:rsidP="001B247A">
      <w:pPr>
        <w:pStyle w:val="Normal12a24b"/>
      </w:pPr>
      <w:r w:rsidRPr="000E52A8">
        <w:rPr>
          <w:rStyle w:val="BoldItalic"/>
        </w:rPr>
        <w:lastRenderedPageBreak/>
        <w:t xml:space="preserve">Digitalni euro </w:t>
      </w:r>
    </w:p>
    <w:p w:rsidR="001B247A" w:rsidRDefault="001B247A" w:rsidP="001B247A">
      <w:pPr>
        <w:pStyle w:val="NormalHanging12a"/>
      </w:pPr>
      <w:r w:rsidRPr="000E52A8">
        <w:t>26.</w:t>
      </w:r>
      <w:r w:rsidRPr="000E52A8">
        <w:tab/>
      </w:r>
      <w:r w:rsidR="00D647C1" w:rsidRPr="00D647C1">
        <w:t>prima na znanje</w:t>
      </w:r>
      <w:r w:rsidRPr="000E52A8">
        <w:t xml:space="preserve"> napredak ESB-ova projekta digitalnog eura i </w:t>
      </w:r>
      <w:r w:rsidR="00D647C1" w:rsidRPr="00D647C1">
        <w:t>pozdravlja</w:t>
      </w:r>
      <w:r w:rsidR="00D647C1">
        <w:t xml:space="preserve"> </w:t>
      </w:r>
      <w:r w:rsidRPr="000E52A8">
        <w:t xml:space="preserve">dijalog s Parlamentom u tom pogledu; ističe da bi </w:t>
      </w:r>
      <w:r w:rsidR="00D647C1" w:rsidRPr="00D647C1">
        <w:t xml:space="preserve">bilo koji </w:t>
      </w:r>
      <w:r w:rsidRPr="000E52A8">
        <w:t xml:space="preserve">digitalni euro trebao donijeti jasnu dodanu vrijednost europskim građanima, uključujući veću stratešku autonomiju u plaćanjima, višu razinu tržišnog natjecanja na tržištu plaćanja malih vrijednosti, potencijal za poticanje inovacija u plaćanjima i financijama, poboljšanu financijsku </w:t>
      </w:r>
      <w:proofErr w:type="spellStart"/>
      <w:r w:rsidRPr="000E52A8">
        <w:t>inkluziju</w:t>
      </w:r>
      <w:proofErr w:type="spellEnd"/>
      <w:r w:rsidRPr="000E52A8">
        <w:t xml:space="preserve"> i pouzdan </w:t>
      </w:r>
      <w:proofErr w:type="spellStart"/>
      <w:r w:rsidRPr="000E52A8">
        <w:t>izvanmrežni</w:t>
      </w:r>
      <w:proofErr w:type="spellEnd"/>
      <w:r w:rsidRPr="000E52A8">
        <w:t xml:space="preserve"> rezervni sustav plaćanja; poziva ESB da jasno </w:t>
      </w:r>
      <w:r w:rsidR="00D647C1" w:rsidRPr="00D647C1">
        <w:t>pokaže</w:t>
      </w:r>
      <w:r w:rsidR="00D647C1">
        <w:t xml:space="preserve"> </w:t>
      </w:r>
      <w:r w:rsidRPr="000E52A8">
        <w:t xml:space="preserve">te koristi </w:t>
      </w:r>
      <w:r w:rsidR="00D647C1" w:rsidRPr="00D647C1">
        <w:t xml:space="preserve">prije nego što suzakonodavci </w:t>
      </w:r>
      <w:r w:rsidR="004A6282">
        <w:t xml:space="preserve">EU-a </w:t>
      </w:r>
      <w:r w:rsidR="00D647C1" w:rsidRPr="00D647C1">
        <w:t>odluče hoće li uvesti digitalni euro kojim se pronalazi prava ravnoteža</w:t>
      </w:r>
      <w:r w:rsidRPr="000E52A8">
        <w:t>, između ostalog, u pogledu ograničenja dopuštenih iznosa, zabrinutosti u pogledu privatnosti, tržišnog natjecanja s privatnim rješenjima za plaćanje i upotrebljivosti u poslovnom kontekstu;</w:t>
      </w:r>
    </w:p>
    <w:p w:rsidR="00B03D61" w:rsidRPr="000E52A8" w:rsidRDefault="00F85ACE" w:rsidP="001B247A">
      <w:pPr>
        <w:pStyle w:val="NormalHanging12a"/>
      </w:pPr>
      <w:r>
        <w:t>27</w:t>
      </w:r>
      <w:r w:rsidR="00B03D61" w:rsidRPr="00B03D61">
        <w:t>.</w:t>
      </w:r>
      <w:r w:rsidR="00B03D61" w:rsidRPr="00B03D61">
        <w:tab/>
        <w:t xml:space="preserve">ustraje u tome da odluku o izdavanju digitalnog eura ne bi trebalo donositi isključivo Upravno vijeće ESB-a; umjesto toga, smatra da je odluka o uvođenju digitalnog eura u konačnici politička odluka koju moraju donijeti </w:t>
      </w:r>
      <w:r w:rsidR="00F90F0C">
        <w:t>su</w:t>
      </w:r>
      <w:r w:rsidR="00B03D61" w:rsidRPr="00B03D61">
        <w:t>zakonodavci EU-a s obzirom na mogući znatan utjecaj t</w:t>
      </w:r>
      <w:r w:rsidR="004A6282">
        <w:t>akv</w:t>
      </w:r>
      <w:r w:rsidR="00B03D61" w:rsidRPr="00B03D61">
        <w:t>e odluke na širok raspon područja obuhvaćenih nadležnostima EU-a, uključujući privatnost, zaštitu potrošača, financijsku stabilnost, financijsku politiku i druga područja koja nadilaze strogo područje monetarne politike;</w:t>
      </w:r>
    </w:p>
    <w:p w:rsidR="001B247A" w:rsidRPr="000E52A8" w:rsidRDefault="00F85ACE" w:rsidP="001B247A">
      <w:pPr>
        <w:pStyle w:val="NormalHanging12a"/>
      </w:pPr>
      <w:r>
        <w:t>28</w:t>
      </w:r>
      <w:r w:rsidR="001B247A" w:rsidRPr="000E52A8">
        <w:t>.</w:t>
      </w:r>
      <w:r w:rsidR="001B247A" w:rsidRPr="000E52A8">
        <w:tab/>
        <w:t xml:space="preserve">smatra da će digitalni euro postati uspješan samo ako europskim građanima pruža konkretnu dodanu vrijednost koju oni razumiju; napominje da mnogi europski građani trenutačno nisu čuli za projekt digitalnog eura ili su i dalje skeptični; </w:t>
      </w:r>
    </w:p>
    <w:p w:rsidR="001B247A" w:rsidRPr="000E52A8" w:rsidRDefault="00F85ACE" w:rsidP="001B247A">
      <w:pPr>
        <w:pStyle w:val="NormalHanging12a"/>
      </w:pPr>
      <w:r>
        <w:t>29</w:t>
      </w:r>
      <w:r w:rsidR="001B247A" w:rsidRPr="000E52A8">
        <w:t>.</w:t>
      </w:r>
      <w:r w:rsidR="001B247A" w:rsidRPr="000E52A8">
        <w:tab/>
        <w:t xml:space="preserve">ponavlja da </w:t>
      </w:r>
      <w:r w:rsidR="00D647C1">
        <w:t xml:space="preserve">bi gotovina </w:t>
      </w:r>
      <w:r w:rsidR="001B247A" w:rsidRPr="000E52A8">
        <w:t>trebala ostati široko dostupna i pristupačna u svakom trenutku kako bi se osigurala raznovrsnost sredstava plaćanja; pozdravlja u tom kontekstu Prijedlog uredbe o gotovini u eurima kao zakonskom sredstvu plaćanja;</w:t>
      </w:r>
    </w:p>
    <w:p w:rsidR="001B247A" w:rsidRPr="000E52A8" w:rsidRDefault="00F85ACE" w:rsidP="001B247A">
      <w:pPr>
        <w:pStyle w:val="NormalHanging12a"/>
      </w:pPr>
      <w:r>
        <w:t>30</w:t>
      </w:r>
      <w:r w:rsidR="001B247A" w:rsidRPr="000E52A8">
        <w:t>.</w:t>
      </w:r>
      <w:r w:rsidR="001B247A" w:rsidRPr="000E52A8">
        <w:tab/>
        <w:t>naglašava potrebu za modelom kompenzacije utemeljenim na troškovima za bankarski sektor, koji je zadužen za praktičnu provedbu projekta digitalnog eura; podsjeća da se modelom kompenzacije korisnicima mora jamčiti euro bez naknade;</w:t>
      </w:r>
    </w:p>
    <w:p w:rsidR="001B247A" w:rsidRPr="000E52A8" w:rsidRDefault="00F85ACE" w:rsidP="001B247A">
      <w:pPr>
        <w:pStyle w:val="NormalHanging12a"/>
      </w:pPr>
      <w:r>
        <w:t>31</w:t>
      </w:r>
      <w:r w:rsidR="001B247A" w:rsidRPr="000E52A8">
        <w:t>.</w:t>
      </w:r>
      <w:r w:rsidR="001B247A" w:rsidRPr="000E52A8">
        <w:tab/>
        <w:t>poziva ESB da uzme u obzir zabrinutost u pogledu financijske stabilnosti i moguće promjene u strukturi financijskog sektora koje proizlaze iz uvođenja digitalnog eura; podsjeća na važnost ograničenja dopuštenih iznosa kako se ne bi stvorili dodatni rizici za bilance banaka, posebno u kriznim situacijama;</w:t>
      </w:r>
    </w:p>
    <w:p w:rsidR="001B247A" w:rsidRPr="000E52A8" w:rsidRDefault="00F85ACE" w:rsidP="001B247A">
      <w:pPr>
        <w:pStyle w:val="NormalHanging12a"/>
      </w:pPr>
      <w:r>
        <w:t>32</w:t>
      </w:r>
      <w:r w:rsidR="001B247A" w:rsidRPr="000E52A8">
        <w:t>.</w:t>
      </w:r>
      <w:r w:rsidR="001B247A" w:rsidRPr="000E52A8">
        <w:tab/>
        <w:t>poziva ESB da prednost da snažnim mjerama zaštite privatnosti te da budu zlatni standard za privatnost za digitalnu valutu središnje banke kako bi se osiguralo povjerenje javnosti i riješila zabrinutost građana u pogledu zaštite podataka i autonomije;</w:t>
      </w:r>
    </w:p>
    <w:p w:rsidR="001B247A" w:rsidRPr="000E52A8" w:rsidRDefault="001B247A" w:rsidP="001B247A">
      <w:pPr>
        <w:pStyle w:val="Normal12a24b"/>
      </w:pPr>
      <w:r w:rsidRPr="000E52A8">
        <w:rPr>
          <w:rStyle w:val="BoldItalic"/>
        </w:rPr>
        <w:t>Sekundarni ciljevi</w:t>
      </w:r>
    </w:p>
    <w:p w:rsidR="001B247A" w:rsidRPr="000E52A8" w:rsidRDefault="00F85ACE" w:rsidP="001B247A">
      <w:pPr>
        <w:pStyle w:val="NormalHanging12a"/>
      </w:pPr>
      <w:r>
        <w:t>33</w:t>
      </w:r>
      <w:r w:rsidR="001B247A" w:rsidRPr="000E52A8">
        <w:t>.</w:t>
      </w:r>
      <w:r w:rsidR="001B247A" w:rsidRPr="000E52A8">
        <w:tab/>
        <w:t>naglašava da su sekundarni ciljevi EU-a, kako su trenutačno navedeni u Ugovorima, nejasni; napominje da su sekundarni ciljeve ESB-a potporne prirode i dopunjuju njegov primarni mandat; u skladu s Ugovorima cilj je EU-a promicati mir, njegove vrijednosti i dobrobit njegovih naroda, stvoriti uravnotežen gospodarski rast i stabilnost cijena, visoko konkurentno socijalno tržišno gospodarstvo u kojem se teži punoj zaposlenosti i društvenom napretku, te visoku razinu zaštite i poboljšanje kvalitete okoliša;</w:t>
      </w:r>
    </w:p>
    <w:p w:rsidR="001B247A" w:rsidRPr="000E52A8" w:rsidRDefault="00F85ACE" w:rsidP="001B247A">
      <w:pPr>
        <w:pStyle w:val="NormalHanging12a"/>
      </w:pPr>
      <w:r>
        <w:lastRenderedPageBreak/>
        <w:t>34</w:t>
      </w:r>
      <w:r w:rsidR="001B247A" w:rsidRPr="000E52A8">
        <w:t>.</w:t>
      </w:r>
      <w:r w:rsidR="001B247A" w:rsidRPr="000E52A8">
        <w:tab/>
        <w:t>podsjeća da, ne dovodeći u pitanje primarni mandat ESB-a, Ugovori od ESB-a zahtijevaju da podupire opće ekonomske politike Unije; poziva ESB da se pridržava svojeg mandata pri tumačenju svojih sekundarnih ciljeva ili djelovanju u skladu s njima; naglašava da prekoračenje tog mandata utječe na neovisnost ESB-a; smatra da bi održavanje stabilnosti cijena i stabilnih makroekonomskih uvjeta moglo dovesti do stvaranja pravih uvjeta za provedbu glavnih ciljeva ekonomske politike EU-a;</w:t>
      </w:r>
    </w:p>
    <w:p w:rsidR="001B247A" w:rsidRPr="000E52A8" w:rsidRDefault="00F85ACE" w:rsidP="001B247A">
      <w:pPr>
        <w:pStyle w:val="NormalHanging12a"/>
      </w:pPr>
      <w:r>
        <w:t>35</w:t>
      </w:r>
      <w:r w:rsidR="001B247A" w:rsidRPr="000E52A8">
        <w:t>.</w:t>
      </w:r>
      <w:r w:rsidR="001B247A" w:rsidRPr="000E52A8">
        <w:tab/>
        <w:t>naglašava da se sekundarni ciljevi ESB-a najbolje mogu ostvariti u stabilnom makroekonomskom okruženju koje potiče ulaganja i na temelju predvidivih razina cijena; poziva ESB da u svoje godišnje izvješće uvrsti posebno poglavlje u kojem objašnjava kako je protumačio i proveo svoje sekundarne ciljeve;</w:t>
      </w:r>
    </w:p>
    <w:p w:rsidR="001B247A" w:rsidRPr="000E52A8" w:rsidRDefault="00F85ACE" w:rsidP="001B247A">
      <w:pPr>
        <w:pStyle w:val="NormalHanging12a"/>
      </w:pPr>
      <w:r>
        <w:t>36</w:t>
      </w:r>
      <w:r w:rsidR="001B247A" w:rsidRPr="000E52A8">
        <w:t>.</w:t>
      </w:r>
      <w:r w:rsidR="001B247A" w:rsidRPr="000E52A8">
        <w:tab/>
        <w:t>naglašava da bi ESB trebao spriječiti narušavanje signalizacijske funkcije cijena kojom se osigurava učinkovita raspodjela resursa; poziva ESB da dodatno procijeni u kojoj mjeri klimatske promjene utječu na njegovu sposobnost očuvanja stabilnosti cijena;</w:t>
      </w:r>
    </w:p>
    <w:p w:rsidR="001B247A" w:rsidRPr="000E52A8" w:rsidRDefault="00F85ACE" w:rsidP="001B247A">
      <w:pPr>
        <w:pStyle w:val="NormalHanging12a"/>
      </w:pPr>
      <w:r>
        <w:t>37</w:t>
      </w:r>
      <w:r w:rsidR="001B247A" w:rsidRPr="000E52A8">
        <w:t>.</w:t>
      </w:r>
      <w:r w:rsidR="001B247A" w:rsidRPr="000E52A8">
        <w:tab/>
      </w:r>
      <w:r w:rsidR="00D647C1" w:rsidRPr="00F90F0C">
        <w:t>poziva ESB</w:t>
      </w:r>
      <w:r w:rsidR="001B247A" w:rsidRPr="000E52A8">
        <w:t xml:space="preserve"> da poštuje pristup tržišne neutralnosti u svojim monetarnim operacijama</w:t>
      </w:r>
      <w:r w:rsidR="00D647C1" w:rsidRPr="00D647C1">
        <w:t>, te napominje da ESB priznaje da je tržišna neutralnost operativni instrument, a ne pravni zahtjev</w:t>
      </w:r>
      <w:r w:rsidR="001B247A" w:rsidRPr="000E52A8">
        <w:t xml:space="preserve">; </w:t>
      </w:r>
    </w:p>
    <w:p w:rsidR="001B247A" w:rsidRPr="000E52A8" w:rsidRDefault="00F85ACE" w:rsidP="001B247A">
      <w:pPr>
        <w:pStyle w:val="NormalHanging12a"/>
      </w:pPr>
      <w:r>
        <w:t>38</w:t>
      </w:r>
      <w:r w:rsidR="001B247A" w:rsidRPr="000E52A8">
        <w:t>.</w:t>
      </w:r>
      <w:r w:rsidR="001B247A" w:rsidRPr="000E52A8">
        <w:tab/>
        <w:t xml:space="preserve">uviđa da ESB-ove mjere </w:t>
      </w:r>
      <w:proofErr w:type="spellStart"/>
      <w:r w:rsidR="001B247A" w:rsidRPr="000E52A8">
        <w:t>dekarbonizacije</w:t>
      </w:r>
      <w:proofErr w:type="spellEnd"/>
      <w:r w:rsidR="001B247A" w:rsidRPr="000E52A8">
        <w:t xml:space="preserve"> vlastitih korporativnih obveznica nisu slijedile strogo tržišno neutralan pristup;</w:t>
      </w:r>
    </w:p>
    <w:p w:rsidR="001B247A" w:rsidRPr="000E52A8" w:rsidRDefault="00F85ACE" w:rsidP="001B247A">
      <w:pPr>
        <w:pStyle w:val="NormalHanging12a"/>
      </w:pPr>
      <w:r>
        <w:t>39</w:t>
      </w:r>
      <w:r w:rsidR="001B247A" w:rsidRPr="000E52A8">
        <w:t>.</w:t>
      </w:r>
      <w:r w:rsidR="001B247A" w:rsidRPr="000E52A8">
        <w:tab/>
        <w:t>poziva ESB da preispita svoje politike kako bi osigurao da se tim mjerama promiče konkurentnost EU-a, ali i da se tim aktivnostima ni na koji način ne ugrožava primarni cilj ESB-a;</w:t>
      </w:r>
    </w:p>
    <w:p w:rsidR="001B247A" w:rsidRPr="000E52A8" w:rsidRDefault="00F85ACE" w:rsidP="001B247A">
      <w:pPr>
        <w:pStyle w:val="NormalHanging12a"/>
      </w:pPr>
      <w:r>
        <w:t>40</w:t>
      </w:r>
      <w:r w:rsidR="001B247A" w:rsidRPr="000E52A8">
        <w:t>.</w:t>
      </w:r>
      <w:r w:rsidR="001B247A" w:rsidRPr="000E52A8">
        <w:tab/>
        <w:t>poziva ESB da iskoristi sve dostupne alate kako bi osigurao da banke ozbiljno shvate sve financijske i vanjske rizike, uključujući klimatske i geopolitičke rizike; pozdravlja aktivnosti ESB-a na daljnjem poboljšanju alata i kapaciteta Eurosustava za procjenu rizika kako bi se bolje obuhvatili rizici povezani s klimom i okolišem, posebno zato što bi klimatske promjene i ekstremne vremenske pojave mogle dovesti do veće nestabilnosti cijena, posebno u poljoprivredno-prehrambenom sektoru; poziva ESB da nastavi s radom na testovima otpornosti na klimatske rizike koji su razvijeni kako bi se procijenila otpornost banaka i korporacija na rizik klimatske tranzicije;</w:t>
      </w:r>
    </w:p>
    <w:p w:rsidR="001B247A" w:rsidRPr="000E52A8" w:rsidRDefault="00F85ACE" w:rsidP="001B247A">
      <w:pPr>
        <w:pStyle w:val="NormalHanging12a"/>
      </w:pPr>
      <w:r>
        <w:t>41</w:t>
      </w:r>
      <w:r w:rsidR="001B247A" w:rsidRPr="000E52A8">
        <w:t>.</w:t>
      </w:r>
      <w:r w:rsidR="001B247A" w:rsidRPr="000E52A8">
        <w:tab/>
        <w:t>prima na znanje plan za klimu i prirodu za razdoblje 2024. – 2025.; poziva ESB da izradi geopolitički plan za razdoblje 2025. – 2030. kako bi se bolje razumjele posljedice rata i sukoba na stabilnost cijena i jednako postupalo sa svim potencijalnim izvorima vanjskih šokova;</w:t>
      </w:r>
    </w:p>
    <w:p w:rsidR="001B247A" w:rsidRPr="000E52A8" w:rsidRDefault="001B247A" w:rsidP="001B247A">
      <w:pPr>
        <w:pStyle w:val="Normal12a24b"/>
      </w:pPr>
      <w:r w:rsidRPr="000E52A8">
        <w:rPr>
          <w:rStyle w:val="BoldItalic"/>
        </w:rPr>
        <w:t>Ostali aspekti</w:t>
      </w:r>
    </w:p>
    <w:p w:rsidR="001B247A" w:rsidRPr="000E52A8" w:rsidRDefault="00F85ACE" w:rsidP="001B247A">
      <w:pPr>
        <w:pStyle w:val="NormalHanging12a"/>
      </w:pPr>
      <w:r>
        <w:t>42</w:t>
      </w:r>
      <w:r w:rsidR="001B247A" w:rsidRPr="000E52A8">
        <w:t>.</w:t>
      </w:r>
      <w:r w:rsidR="001B247A" w:rsidRPr="000E52A8">
        <w:tab/>
        <w:t>ističe da bi ojačana međunarodna uloga eura dovela do nižih kamatnih stopa u europodručju, poboljšanog statusa EU-a na međunarodnoj sceni i veće makroekonomske stabilnosti; podsjeća da bi jačanje međunarodne uloge eura doprinijelo jačanju strateške autonomije EU-a;</w:t>
      </w:r>
    </w:p>
    <w:p w:rsidR="001B247A" w:rsidRPr="000E52A8" w:rsidRDefault="00F85ACE" w:rsidP="001B247A">
      <w:pPr>
        <w:pStyle w:val="NormalHanging12a"/>
      </w:pPr>
      <w:r>
        <w:t>43</w:t>
      </w:r>
      <w:r w:rsidR="001B247A" w:rsidRPr="000E52A8">
        <w:t>.</w:t>
      </w:r>
      <w:r w:rsidR="001B247A" w:rsidRPr="000E52A8">
        <w:tab/>
        <w:t>poziva ESB da se pozabavi pitanjem jačanja međunarodne uloge eura u cilju povećanja njegove privlačnosti kao rezervne valute i da podupre promjene u tom smjeru koje su potaknute tržištem; napominje da bi dovršetak ekonomske i monetarne unije mogao potaknuti međunarodnu ulogu eura;</w:t>
      </w:r>
    </w:p>
    <w:p w:rsidR="001B247A" w:rsidRPr="000E52A8" w:rsidRDefault="00F85ACE" w:rsidP="001B247A">
      <w:pPr>
        <w:pStyle w:val="NormalHanging12a"/>
      </w:pPr>
      <w:r>
        <w:lastRenderedPageBreak/>
        <w:t>44</w:t>
      </w:r>
      <w:r w:rsidR="001B247A" w:rsidRPr="000E52A8">
        <w:t>.</w:t>
      </w:r>
      <w:r w:rsidR="001B247A" w:rsidRPr="000E52A8">
        <w:tab/>
        <w:t>prima na znanje potporu ESB-a uspostavi istinskog europskog sustava osiguranja depozita; potvrđuje da su podjela rizika i smanjenje rizika međusobno povezani;</w:t>
      </w:r>
    </w:p>
    <w:p w:rsidR="001B247A" w:rsidRPr="000E52A8" w:rsidRDefault="00F85ACE" w:rsidP="001B247A">
      <w:pPr>
        <w:pStyle w:val="NormalHanging12a"/>
      </w:pPr>
      <w:r>
        <w:t>45</w:t>
      </w:r>
      <w:r w:rsidR="001B247A" w:rsidRPr="000E52A8">
        <w:t>.</w:t>
      </w:r>
      <w:r w:rsidR="001B247A" w:rsidRPr="000E52A8">
        <w:tab/>
        <w:t>pozdravlja pozornost koju ESB pridaje rizicima od kibernetičkih napada; poziva ESB da zajamči sigurnost i zaštitu monetarnog sustava za njegove korisnike, posebno u svjetlu aktualnih geopolitičkih događanja;</w:t>
      </w:r>
    </w:p>
    <w:p w:rsidR="001B247A" w:rsidRPr="000E52A8" w:rsidRDefault="00F85ACE" w:rsidP="001B247A">
      <w:pPr>
        <w:pStyle w:val="NormalHanging12a"/>
      </w:pPr>
      <w:r>
        <w:t>46</w:t>
      </w:r>
      <w:r w:rsidR="001B247A" w:rsidRPr="000E52A8">
        <w:t>.</w:t>
      </w:r>
      <w:r w:rsidR="001B247A" w:rsidRPr="000E52A8">
        <w:tab/>
        <w:t xml:space="preserve">smatra da je financijska stabilnost preduvjet za učinkovitu monetarnu politiku i otporan financijski sustav; pozdravlja dovršetak okvira </w:t>
      </w:r>
      <w:proofErr w:type="spellStart"/>
      <w:r w:rsidR="001B247A" w:rsidRPr="000E52A8">
        <w:t>Basel</w:t>
      </w:r>
      <w:proofErr w:type="spellEnd"/>
      <w:r w:rsidR="001B247A" w:rsidRPr="000E52A8">
        <w:t xml:space="preserve"> III i njegovu provedbu od 1. siječnja 2025. jer ima potencijal za jačanje otpornosti bankarskog sektora u tom pogledu; primjećuje, međutim, kašnjenja i nedostatak jasnoće u pogledu provedbe određenog broja drugih jurisdikcija, što dovodi do nejednakih uvjeta na globalnoj razini;</w:t>
      </w:r>
    </w:p>
    <w:p w:rsidR="001B247A" w:rsidRPr="000E52A8" w:rsidRDefault="00F85ACE" w:rsidP="001B247A">
      <w:pPr>
        <w:pStyle w:val="NormalHanging12a"/>
      </w:pPr>
      <w:r>
        <w:t>47</w:t>
      </w:r>
      <w:r w:rsidR="001B247A" w:rsidRPr="000E52A8">
        <w:t>.</w:t>
      </w:r>
      <w:r w:rsidR="001B247A" w:rsidRPr="000E52A8">
        <w:tab/>
        <w:t>prima na znanje zabrinutost ESB-a zbog rasta bankarskog sektora u sjeni i rizika koji on može predstavljati za financijsku stabilnost;</w:t>
      </w:r>
    </w:p>
    <w:p w:rsidR="001B247A" w:rsidRPr="000E52A8" w:rsidRDefault="00F85ACE" w:rsidP="001B247A">
      <w:pPr>
        <w:pStyle w:val="NormalHanging12a"/>
      </w:pPr>
      <w:r>
        <w:t>48</w:t>
      </w:r>
      <w:r w:rsidR="001B247A" w:rsidRPr="000E52A8">
        <w:t>.</w:t>
      </w:r>
      <w:r w:rsidR="001B247A" w:rsidRPr="000E52A8">
        <w:tab/>
        <w:t>potiče suradnju s državama članicama i nacionalnim središnjim bankama na programima financijske pismenosti kako bi se pojedince i poduzeća osnažilo da donose informirane financijske odluke;</w:t>
      </w:r>
    </w:p>
    <w:p w:rsidR="001B247A" w:rsidRPr="000E52A8" w:rsidRDefault="00F85ACE" w:rsidP="001B247A">
      <w:pPr>
        <w:pStyle w:val="NormalHanging12a"/>
      </w:pPr>
      <w:r>
        <w:t>49</w:t>
      </w:r>
      <w:r w:rsidR="001B247A" w:rsidRPr="000E52A8">
        <w:t>.</w:t>
      </w:r>
      <w:r w:rsidR="001B247A" w:rsidRPr="000E52A8">
        <w:tab/>
        <w:t>žali zbog toga što su samo dva člana Izvršnog odbora i Upravnog vijeća ESB-a žene; ponavlja da bi kandidature za Izvršni odbor trebale biti rodno uravnotežene te da bi se popisi kandidata koji su ušli u uži izbor trebali podnositi Parlamentu; snažno potiče države članice europodručja da poboljšaju načela rodne ravnopravnosti u svojim postupcima imenovanja kako bi oba spola imala jednake mogućnosti da budu guverneri svojih nacionalnih središnjih banaka;</w:t>
      </w:r>
    </w:p>
    <w:p w:rsidR="001B247A" w:rsidRPr="000E52A8" w:rsidRDefault="00F85ACE" w:rsidP="001B247A">
      <w:pPr>
        <w:pStyle w:val="NormalHanging12a"/>
      </w:pPr>
      <w:r>
        <w:t>50</w:t>
      </w:r>
      <w:r w:rsidR="001B247A" w:rsidRPr="000E52A8">
        <w:t>.</w:t>
      </w:r>
      <w:r w:rsidR="001B247A" w:rsidRPr="000E52A8">
        <w:tab/>
        <w:t>ponavlja da bi se imenovanja u okviru ESB-a trebala temeljiti na objektivnim postupcima procjene zasluga i kompetencija;</w:t>
      </w:r>
    </w:p>
    <w:p w:rsidR="001B247A" w:rsidRPr="000E52A8" w:rsidRDefault="00F85ACE" w:rsidP="001B247A">
      <w:pPr>
        <w:pStyle w:val="NormalHanging12a"/>
      </w:pPr>
      <w:r>
        <w:t>51</w:t>
      </w:r>
      <w:r w:rsidR="001B247A" w:rsidRPr="000E52A8">
        <w:t>.</w:t>
      </w:r>
      <w:r w:rsidR="001B247A" w:rsidRPr="000E52A8">
        <w:tab/>
        <w:t>podržava cilj ESB-a da poveća zastupljenost žena poticanjem žena da napreduju u tom području; stoga pozdravlja inicijative kao što je stipendija ESB-a za žene u ekonomiji;</w:t>
      </w:r>
    </w:p>
    <w:p w:rsidR="001B247A" w:rsidRPr="000E52A8" w:rsidRDefault="00F85ACE" w:rsidP="001B247A">
      <w:pPr>
        <w:pStyle w:val="NormalHanging12a"/>
      </w:pPr>
      <w:r>
        <w:t>52</w:t>
      </w:r>
      <w:r w:rsidR="001B247A" w:rsidRPr="000E52A8">
        <w:t>.</w:t>
      </w:r>
      <w:r w:rsidR="001B247A" w:rsidRPr="000E52A8">
        <w:tab/>
        <w:t>ističe da se u najnovijem pregledu financijske stabilnosti koji je ESB objavio u studenome 2024. ističe zabrinutost zbog mogućnosti balona cijena imovine povezane s umjetnom inteligencijom s obzirom na njezinu koncentraciju među nekoliko velikih poduzeća k</w:t>
      </w:r>
      <w:r w:rsidR="001F50E5">
        <w:t>orisnika umjetne inteligencije;</w:t>
      </w:r>
    </w:p>
    <w:p w:rsidR="001B247A" w:rsidRPr="000E52A8" w:rsidRDefault="00F85ACE" w:rsidP="001B247A">
      <w:pPr>
        <w:pStyle w:val="NormalHanging12a"/>
      </w:pPr>
      <w:r>
        <w:t>53</w:t>
      </w:r>
      <w:r w:rsidR="001B247A" w:rsidRPr="000E52A8">
        <w:t>.</w:t>
      </w:r>
      <w:r w:rsidR="001B247A" w:rsidRPr="000E52A8">
        <w:tab/>
        <w:t>poziva na daljnje poboljšanje internog okvira ESB-a za zviždače i njegovo usklađivanje s Direktivom EU-a o zviždačima;</w:t>
      </w:r>
    </w:p>
    <w:p w:rsidR="001B247A" w:rsidRPr="000E52A8" w:rsidRDefault="00F85ACE" w:rsidP="001B247A">
      <w:pPr>
        <w:pStyle w:val="NormalHanging12a"/>
      </w:pPr>
      <w:r>
        <w:t>54</w:t>
      </w:r>
      <w:r w:rsidR="001B247A" w:rsidRPr="000E52A8">
        <w:t>.</w:t>
      </w:r>
      <w:r w:rsidR="001B247A" w:rsidRPr="000E52A8">
        <w:tab/>
        <w:t>poziva ESSB da nastavi i ojača svoje dijaloge s nacionalnim parlamentima, za koje smatra da bi ojačali legitimnost i politike ESSB-a;</w:t>
      </w:r>
    </w:p>
    <w:p w:rsidR="001B247A" w:rsidRPr="000E52A8" w:rsidRDefault="001B247A" w:rsidP="001B247A">
      <w:pPr>
        <w:pStyle w:val="NormalCenter12a"/>
      </w:pPr>
      <w:r w:rsidRPr="000E52A8">
        <w:t>°</w:t>
      </w:r>
    </w:p>
    <w:p w:rsidR="001B247A" w:rsidRPr="000E52A8" w:rsidRDefault="001B247A" w:rsidP="001B247A">
      <w:pPr>
        <w:pStyle w:val="NormalCenter12a"/>
      </w:pPr>
      <w:r w:rsidRPr="000E52A8">
        <w:t>°</w:t>
      </w:r>
      <w:r w:rsidRPr="000E52A8">
        <w:tab/>
        <w:t>°</w:t>
      </w:r>
    </w:p>
    <w:p w:rsidR="0098648F" w:rsidRPr="000E52A8" w:rsidRDefault="00F85ACE" w:rsidP="0098648F">
      <w:pPr>
        <w:pStyle w:val="NormalHanging12a"/>
      </w:pPr>
      <w:r>
        <w:t>55</w:t>
      </w:r>
      <w:r w:rsidR="001B247A" w:rsidRPr="000E52A8">
        <w:t>.</w:t>
      </w:r>
      <w:r w:rsidR="001B247A" w:rsidRPr="000E52A8">
        <w:tab/>
        <w:t>nalaže svojoj predsjednici da ovu Rezoluciju proslijedi Vijeću, Komisiji i Europskoj središnjoj banci.</w:t>
      </w:r>
    </w:p>
    <w:p w:rsidR="00E365E1" w:rsidRPr="000E52A8" w:rsidRDefault="00E365E1" w:rsidP="00785C33"/>
    <w:sectPr w:rsidR="00E365E1" w:rsidRPr="000E52A8" w:rsidSect="0098648F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C33" w:rsidRPr="0098648F" w:rsidRDefault="00785C33">
      <w:r w:rsidRPr="0098648F">
        <w:separator/>
      </w:r>
    </w:p>
  </w:endnote>
  <w:endnote w:type="continuationSeparator" w:id="0">
    <w:p w:rsidR="00785C33" w:rsidRPr="0098648F" w:rsidRDefault="00785C33">
      <w:r w:rsidRPr="009864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C33" w:rsidRPr="0098648F" w:rsidRDefault="00785C33">
      <w:r w:rsidRPr="0098648F">
        <w:separator/>
      </w:r>
    </w:p>
  </w:footnote>
  <w:footnote w:type="continuationSeparator" w:id="0">
    <w:p w:rsidR="00785C33" w:rsidRPr="0098648F" w:rsidRDefault="00785C33">
      <w:r w:rsidRPr="0098648F">
        <w:continuationSeparator/>
      </w:r>
    </w:p>
  </w:footnote>
  <w:footnote w:id="1">
    <w:p w:rsidR="001B247A" w:rsidRPr="000E52A8" w:rsidRDefault="001B247A" w:rsidP="0098648F">
      <w:pPr>
        <w:pStyle w:val="FootnoteText"/>
        <w:ind w:left="567" w:hanging="567"/>
        <w:rPr>
          <w:sz w:val="24"/>
          <w:szCs w:val="24"/>
          <w:lang w:val="hr-HR"/>
        </w:rPr>
      </w:pPr>
      <w:r w:rsidRPr="000E52A8">
        <w:rPr>
          <w:rStyle w:val="FootnoteReference"/>
          <w:sz w:val="24"/>
          <w:szCs w:val="24"/>
          <w:lang w:val="hr-HR"/>
        </w:rPr>
        <w:footnoteRef/>
      </w:r>
      <w:r w:rsidR="0098648F" w:rsidRPr="000E52A8">
        <w:rPr>
          <w:sz w:val="24"/>
          <w:szCs w:val="24"/>
          <w:lang w:val="hr-HR"/>
        </w:rPr>
        <w:t xml:space="preserve"> </w:t>
      </w:r>
      <w:r w:rsidR="0098648F" w:rsidRPr="000E52A8">
        <w:rPr>
          <w:sz w:val="24"/>
          <w:szCs w:val="24"/>
          <w:lang w:val="hr-HR"/>
        </w:rPr>
        <w:tab/>
      </w:r>
      <w:r w:rsidRPr="000E52A8">
        <w:rPr>
          <w:sz w:val="24"/>
          <w:szCs w:val="24"/>
          <w:lang w:val="hr-HR"/>
        </w:rPr>
        <w:t>SL C 283, 11.8.2023., str. 40.</w:t>
      </w:r>
    </w:p>
  </w:footnote>
  <w:footnote w:id="2">
    <w:p w:rsidR="001B247A" w:rsidRPr="000E52A8" w:rsidRDefault="001B247A" w:rsidP="0098648F">
      <w:pPr>
        <w:pStyle w:val="FootnoteText"/>
        <w:ind w:left="567" w:hanging="567"/>
        <w:rPr>
          <w:sz w:val="24"/>
          <w:szCs w:val="24"/>
          <w:lang w:val="hr-HR"/>
        </w:rPr>
      </w:pPr>
      <w:r w:rsidRPr="000E52A8">
        <w:rPr>
          <w:rStyle w:val="FootnoteReference"/>
          <w:sz w:val="24"/>
          <w:szCs w:val="24"/>
          <w:lang w:val="hr-HR"/>
        </w:rPr>
        <w:footnoteRef/>
      </w:r>
      <w:r w:rsidR="0098648F" w:rsidRPr="000E52A8">
        <w:rPr>
          <w:sz w:val="24"/>
          <w:szCs w:val="24"/>
          <w:lang w:val="hr-HR"/>
        </w:rPr>
        <w:t xml:space="preserve"> </w:t>
      </w:r>
      <w:r w:rsidR="0098648F" w:rsidRPr="000E52A8">
        <w:rPr>
          <w:sz w:val="24"/>
          <w:szCs w:val="24"/>
          <w:lang w:val="hr-HR"/>
        </w:rPr>
        <w:tab/>
      </w:r>
      <w:r w:rsidRPr="000E52A8">
        <w:rPr>
          <w:sz w:val="24"/>
          <w:szCs w:val="24"/>
          <w:lang w:val="hr-HR"/>
        </w:rPr>
        <w:t xml:space="preserve">Usvojeni tekstovi, SL C, C/2024/6738, 26.11.2024., ELI: </w:t>
      </w:r>
      <w:hyperlink r:id="rId1" w:history="1">
        <w:r w:rsidRPr="00FD5667">
          <w:rPr>
            <w:rStyle w:val="Hyperlink"/>
            <w:sz w:val="24"/>
            <w:szCs w:val="24"/>
            <w:lang w:val="hr-HR"/>
          </w:rPr>
          <w:t>http://data.europa.eu/eli/C/2024/6738/oj</w:t>
        </w:r>
      </w:hyperlink>
      <w:r w:rsidRPr="000E52A8">
        <w:rPr>
          <w:sz w:val="24"/>
          <w:szCs w:val="24"/>
          <w:lang w:val="hr-HR"/>
        </w:rPr>
        <w:t>.</w:t>
      </w:r>
    </w:p>
  </w:footnote>
  <w:footnote w:id="3">
    <w:p w:rsidR="001B247A" w:rsidRPr="00FD5667" w:rsidRDefault="001B247A" w:rsidP="0098648F">
      <w:pPr>
        <w:pStyle w:val="FootnoteText"/>
        <w:ind w:left="567" w:hanging="567"/>
        <w:rPr>
          <w:sz w:val="24"/>
          <w:szCs w:val="24"/>
          <w:lang w:val="hr-HR"/>
        </w:rPr>
      </w:pPr>
      <w:r w:rsidRPr="000E52A8">
        <w:rPr>
          <w:rStyle w:val="FootnoteReference"/>
          <w:sz w:val="24"/>
          <w:szCs w:val="24"/>
          <w:lang w:val="hr-HR"/>
        </w:rPr>
        <w:footnoteRef/>
      </w:r>
      <w:r w:rsidR="0098648F" w:rsidRPr="000E52A8">
        <w:rPr>
          <w:sz w:val="24"/>
          <w:szCs w:val="24"/>
          <w:lang w:val="hr-HR"/>
        </w:rPr>
        <w:t xml:space="preserve"> </w:t>
      </w:r>
      <w:r w:rsidR="0098648F" w:rsidRPr="000E52A8">
        <w:rPr>
          <w:sz w:val="24"/>
          <w:szCs w:val="24"/>
          <w:lang w:val="hr-HR"/>
        </w:rPr>
        <w:tab/>
      </w:r>
      <w:r w:rsidRPr="00FD5667">
        <w:rPr>
          <w:sz w:val="24"/>
          <w:szCs w:val="24"/>
          <w:lang w:val="hr-HR"/>
        </w:rPr>
        <w:t>SL L</w:t>
      </w:r>
      <w:r w:rsidR="00FD5667">
        <w:rPr>
          <w:sz w:val="24"/>
          <w:szCs w:val="24"/>
          <w:lang w:val="hr-HR"/>
        </w:rPr>
        <w:t>,</w:t>
      </w:r>
      <w:r w:rsidRPr="00FD5667">
        <w:rPr>
          <w:sz w:val="24"/>
          <w:szCs w:val="24"/>
          <w:lang w:val="hr-HR"/>
        </w:rPr>
        <w:t xml:space="preserve"> </w:t>
      </w:r>
      <w:r w:rsidR="00FD5667">
        <w:rPr>
          <w:sz w:val="24"/>
          <w:szCs w:val="24"/>
          <w:lang w:val="hr-HR"/>
        </w:rPr>
        <w:t>2024/</w:t>
      </w:r>
      <w:bookmarkStart w:id="7" w:name="_GoBack"/>
      <w:bookmarkEnd w:id="7"/>
      <w:r w:rsidRPr="00FD5667">
        <w:rPr>
          <w:sz w:val="24"/>
          <w:szCs w:val="24"/>
          <w:lang w:val="hr-HR"/>
        </w:rPr>
        <w:t xml:space="preserve">1623, 19.6.2024., ELI: </w:t>
      </w:r>
      <w:hyperlink r:id="rId2" w:history="1">
        <w:r w:rsidRPr="00FD5667">
          <w:rPr>
            <w:rStyle w:val="Hyperlink"/>
            <w:sz w:val="24"/>
            <w:szCs w:val="24"/>
            <w:lang w:val="hr-HR"/>
          </w:rPr>
          <w:t>http://data.europa.eu/eli/reg/2024/1623/oj</w:t>
        </w:r>
      </w:hyperlink>
      <w:r w:rsidRPr="00FD5667">
        <w:rPr>
          <w:sz w:val="24"/>
          <w:szCs w:val="24"/>
          <w:lang w:val="hr-HR"/>
        </w:rPr>
        <w:t>.</w:t>
      </w:r>
    </w:p>
  </w:footnote>
  <w:footnote w:id="4">
    <w:p w:rsidR="001B247A" w:rsidRPr="000E52A8" w:rsidRDefault="001B247A" w:rsidP="0098648F">
      <w:pPr>
        <w:pStyle w:val="FootnoteText"/>
        <w:ind w:left="567" w:hanging="567"/>
        <w:rPr>
          <w:sz w:val="24"/>
          <w:szCs w:val="24"/>
          <w:lang w:val="hr-HR"/>
        </w:rPr>
      </w:pPr>
      <w:r w:rsidRPr="00FD5667">
        <w:rPr>
          <w:rStyle w:val="FootnoteReference"/>
          <w:sz w:val="24"/>
          <w:szCs w:val="24"/>
          <w:lang w:val="hr-HR"/>
        </w:rPr>
        <w:footnoteRef/>
      </w:r>
      <w:r w:rsidRPr="00FD5667">
        <w:rPr>
          <w:sz w:val="24"/>
          <w:szCs w:val="24"/>
          <w:lang w:val="hr-HR"/>
        </w:rPr>
        <w:t xml:space="preserve"> </w:t>
      </w:r>
      <w:r w:rsidR="000E52A8" w:rsidRPr="00FD5667">
        <w:rPr>
          <w:sz w:val="24"/>
          <w:szCs w:val="24"/>
          <w:lang w:val="hr-HR"/>
        </w:rPr>
        <w:tab/>
      </w:r>
      <w:r w:rsidRPr="00FD5667">
        <w:rPr>
          <w:sz w:val="24"/>
          <w:szCs w:val="24"/>
          <w:lang w:val="hr-HR"/>
        </w:rPr>
        <w:t>SL L</w:t>
      </w:r>
      <w:r w:rsidR="00FD5667">
        <w:rPr>
          <w:sz w:val="24"/>
          <w:szCs w:val="24"/>
          <w:lang w:val="hr-HR"/>
        </w:rPr>
        <w:t>,</w:t>
      </w:r>
      <w:r w:rsidRPr="00FD5667">
        <w:rPr>
          <w:sz w:val="24"/>
          <w:szCs w:val="24"/>
          <w:lang w:val="hr-HR"/>
        </w:rPr>
        <w:t xml:space="preserve"> </w:t>
      </w:r>
      <w:r w:rsidR="00FD5667">
        <w:rPr>
          <w:sz w:val="24"/>
          <w:szCs w:val="24"/>
          <w:lang w:val="hr-HR"/>
        </w:rPr>
        <w:t>2024/</w:t>
      </w:r>
      <w:r w:rsidRPr="00FD5667">
        <w:rPr>
          <w:sz w:val="24"/>
          <w:szCs w:val="24"/>
          <w:lang w:val="hr-HR"/>
        </w:rPr>
        <w:t xml:space="preserve">1619, 19.6.2024., ELI: </w:t>
      </w:r>
      <w:hyperlink r:id="rId3" w:history="1">
        <w:r w:rsidRPr="00FD5667">
          <w:rPr>
            <w:rStyle w:val="Hyperlink"/>
            <w:sz w:val="24"/>
            <w:szCs w:val="24"/>
            <w:lang w:val="hr-HR"/>
          </w:rPr>
          <w:t>http://data.europa.eu/eli/dir/2024/1619/oj</w:t>
        </w:r>
      </w:hyperlink>
      <w:r w:rsidRPr="00FD5667">
        <w:rPr>
          <w:sz w:val="24"/>
          <w:szCs w:val="24"/>
          <w:lang w:val="hr-HR"/>
        </w:rPr>
        <w:t>.</w:t>
      </w:r>
    </w:p>
  </w:footnote>
  <w:footnote w:id="5">
    <w:p w:rsidR="001B247A" w:rsidRPr="000E52A8" w:rsidRDefault="001B247A" w:rsidP="00AF251E">
      <w:pPr>
        <w:pStyle w:val="FootnoteText"/>
        <w:ind w:left="567" w:hanging="567"/>
        <w:rPr>
          <w:sz w:val="24"/>
          <w:szCs w:val="24"/>
          <w:lang w:val="hr-HR"/>
        </w:rPr>
      </w:pPr>
      <w:r w:rsidRPr="000E52A8">
        <w:rPr>
          <w:rStyle w:val="FootnoteReference"/>
          <w:sz w:val="24"/>
          <w:szCs w:val="24"/>
          <w:lang w:val="hr-HR"/>
        </w:rPr>
        <w:footnoteRef/>
      </w:r>
      <w:r w:rsidRPr="000E52A8">
        <w:rPr>
          <w:sz w:val="24"/>
          <w:szCs w:val="24"/>
          <w:lang w:val="hr-HR"/>
        </w:rPr>
        <w:t xml:space="preserve"> </w:t>
      </w:r>
      <w:r w:rsidR="00AF251E">
        <w:rPr>
          <w:sz w:val="24"/>
          <w:szCs w:val="24"/>
          <w:lang w:val="hr-HR"/>
        </w:rPr>
        <w:tab/>
      </w:r>
      <w:hyperlink r:id="rId4" w:anchor="toc6" w:history="1">
        <w:r w:rsidRPr="000E52A8">
          <w:rPr>
            <w:rStyle w:val="Hyperlink"/>
            <w:sz w:val="24"/>
            <w:szCs w:val="24"/>
            <w:lang w:val="hr-HR"/>
          </w:rPr>
          <w:t>https://www.ecb.europa.eu/press/projections/html/ecb.projections202412_</w:t>
        </w:r>
        <w:r w:rsidR="00AF251E">
          <w:rPr>
            <w:rStyle w:val="Hyperlink"/>
            <w:sz w:val="24"/>
            <w:szCs w:val="24"/>
            <w:lang w:val="hr-HR"/>
          </w:rPr>
          <w:br/>
        </w:r>
        <w:r w:rsidRPr="000E52A8">
          <w:rPr>
            <w:rStyle w:val="Hyperlink"/>
            <w:sz w:val="24"/>
            <w:szCs w:val="24"/>
            <w:lang w:val="hr-HR"/>
          </w:rPr>
          <w:t>eurosystemstaff~71a06224a5.en.html#toc6</w:t>
        </w:r>
      </w:hyperlink>
      <w:r w:rsidRPr="000E52A8">
        <w:rPr>
          <w:sz w:val="24"/>
          <w:szCs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5"/>
    <w:docVar w:name="dvlangue" w:val="HR"/>
    <w:docVar w:name="dvnumam" w:val="0"/>
    <w:docVar w:name="dvpe" w:val="765.056"/>
    <w:docVar w:name="dvrapporteur" w:val="Izvjestiteljica: "/>
    <w:docVar w:name="dvtitre" w:val="Rezolucija Europskog parlamenta od .... 2025. o Europskoj središnjoj banci – godišnje izvješće za 2024.(2024/2054(INI))"/>
  </w:docVars>
  <w:rsids>
    <w:rsidRoot w:val="00785C33"/>
    <w:rsid w:val="00002272"/>
    <w:rsid w:val="00064002"/>
    <w:rsid w:val="000677B9"/>
    <w:rsid w:val="000831BA"/>
    <w:rsid w:val="000A42CC"/>
    <w:rsid w:val="000E52A8"/>
    <w:rsid w:val="000E7DD9"/>
    <w:rsid w:val="0010095E"/>
    <w:rsid w:val="00125B37"/>
    <w:rsid w:val="00187494"/>
    <w:rsid w:val="001B247A"/>
    <w:rsid w:val="001F32AE"/>
    <w:rsid w:val="001F50E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282"/>
    <w:rsid w:val="004C0004"/>
    <w:rsid w:val="004C1D46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C3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48F"/>
    <w:rsid w:val="00A1687D"/>
    <w:rsid w:val="00A43E52"/>
    <w:rsid w:val="00A4678D"/>
    <w:rsid w:val="00A778C7"/>
    <w:rsid w:val="00AB441E"/>
    <w:rsid w:val="00AB6293"/>
    <w:rsid w:val="00AE0928"/>
    <w:rsid w:val="00AF251E"/>
    <w:rsid w:val="00AF3B82"/>
    <w:rsid w:val="00B03D61"/>
    <w:rsid w:val="00B12E95"/>
    <w:rsid w:val="00B22876"/>
    <w:rsid w:val="00B558F0"/>
    <w:rsid w:val="00B83ED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DFA"/>
    <w:rsid w:val="00D058B8"/>
    <w:rsid w:val="00D56C11"/>
    <w:rsid w:val="00D647C1"/>
    <w:rsid w:val="00D834A0"/>
    <w:rsid w:val="00D872DF"/>
    <w:rsid w:val="00D91E21"/>
    <w:rsid w:val="00DA7FCD"/>
    <w:rsid w:val="00DC0DA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21A"/>
    <w:rsid w:val="00F5134D"/>
    <w:rsid w:val="00F74202"/>
    <w:rsid w:val="00F85ACE"/>
    <w:rsid w:val="00F87713"/>
    <w:rsid w:val="00F90F0C"/>
    <w:rsid w:val="00FB4360"/>
    <w:rsid w:val="00FD0C70"/>
    <w:rsid w:val="00FD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E60B7"/>
  <w15:chartTrackingRefBased/>
  <w15:docId w15:val="{D42CED16-9887-446D-AAA3-9389027F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247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1B247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B247A"/>
    <w:pPr>
      <w:spacing w:after="240"/>
      <w:jc w:val="center"/>
    </w:pPr>
  </w:style>
  <w:style w:type="character" w:customStyle="1" w:styleId="BoldItalic">
    <w:name w:val="BoldItalic"/>
    <w:uiPriority w:val="1"/>
    <w:rsid w:val="001B247A"/>
    <w:rPr>
      <w:b/>
      <w:i/>
      <w:u w:val="none"/>
    </w:rPr>
  </w:style>
  <w:style w:type="character" w:customStyle="1" w:styleId="Italic">
    <w:name w:val="Italic"/>
    <w:uiPriority w:val="1"/>
    <w:rsid w:val="001B247A"/>
    <w:rPr>
      <w:i/>
    </w:rPr>
  </w:style>
  <w:style w:type="paragraph" w:customStyle="1" w:styleId="Normal12a24b">
    <w:name w:val="Normal12a24b"/>
    <w:basedOn w:val="Normal"/>
    <w:rsid w:val="001B247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1B247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64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47C1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F90F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19/oj" TargetMode="External"/><Relationship Id="rId2" Type="http://schemas.openxmlformats.org/officeDocument/2006/relationships/hyperlink" Target="http://data.europa.eu/eli/reg/2024/1623/oj" TargetMode="External"/><Relationship Id="rId1" Type="http://schemas.openxmlformats.org/officeDocument/2006/relationships/hyperlink" Target="http://data.europa.eu/eli/C/2024/6738/oj" TargetMode="External"/><Relationship Id="rId4" Type="http://schemas.openxmlformats.org/officeDocument/2006/relationships/hyperlink" Target="https://www.ecb.europa.eu/press/projections/html/ecb.projections202412_eurosystemstaff~71a06224a5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B7CE0-71A8-4E58-B8EE-2CB0D647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3535</Words>
  <Characters>21061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SEMEDO Teresa</cp:lastModifiedBy>
  <cp:revision>3</cp:revision>
  <cp:lastPrinted>2004-11-19T15:42:00Z</cp:lastPrinted>
  <dcterms:created xsi:type="dcterms:W3CDTF">2025-03-04T13:44:00Z</dcterms:created>
  <dcterms:modified xsi:type="dcterms:W3CDTF">2025-03-25T16:09:00Z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P10_TA(2025)0011_</vt:lpwstr>
  </property>
  <property fmtid="{D5CDD505-2E9C-101B-9397-08002B2CF9AE}" pid="4" name="&lt;Type&gt;">
    <vt:lpwstr>RR</vt:lpwstr>
  </property>
</Properties>
</file>