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191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5191D" w:rsidRDefault="009312E4" w:rsidP="0010095E">
            <w:pPr>
              <w:pStyle w:val="EPName"/>
            </w:pPr>
            <w:r w:rsidRPr="0035191D">
              <w:t>Parlament Europejski</w:t>
            </w:r>
          </w:p>
          <w:p w:rsidR="00751A4A" w:rsidRPr="0035191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5191D">
              <w:t>2024</w:t>
            </w:r>
            <w:r w:rsidR="00817416" w:rsidRPr="0035191D">
              <w:t>-202</w:t>
            </w:r>
            <w:r w:rsidRPr="0035191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5191D" w:rsidRDefault="00187494" w:rsidP="0010095E">
            <w:pPr>
              <w:pStyle w:val="EPLogo"/>
            </w:pPr>
            <w:r w:rsidRPr="0035191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5191D" w:rsidRDefault="00D058B8" w:rsidP="004C5D52">
      <w:pPr>
        <w:pStyle w:val="LineTop"/>
      </w:pPr>
    </w:p>
    <w:p w:rsidR="00680577" w:rsidRPr="0035191D" w:rsidRDefault="009312E4" w:rsidP="00680577">
      <w:pPr>
        <w:pStyle w:val="EPBodyTA1"/>
      </w:pPr>
      <w:r w:rsidRPr="0035191D">
        <w:t>TEKSTY PRZYJĘTE</w:t>
      </w:r>
    </w:p>
    <w:p w:rsidR="00D058B8" w:rsidRPr="0035191D" w:rsidRDefault="00D058B8" w:rsidP="00D058B8">
      <w:pPr>
        <w:pStyle w:val="LineBottom"/>
      </w:pPr>
    </w:p>
    <w:p w:rsidR="009312E4" w:rsidRPr="0035191D" w:rsidRDefault="009312E4" w:rsidP="009312E4">
      <w:pPr>
        <w:pStyle w:val="ATHeading1"/>
      </w:pPr>
      <w:bookmarkStart w:id="0" w:name="TANumber"/>
      <w:r w:rsidRPr="0035191D">
        <w:t>P10_TA(2025)00</w:t>
      </w:r>
      <w:bookmarkEnd w:id="0"/>
      <w:r w:rsidR="00A2120C">
        <w:t>11</w:t>
      </w:r>
    </w:p>
    <w:p w:rsidR="009312E4" w:rsidRPr="00064993" w:rsidRDefault="00064993" w:rsidP="009312E4">
      <w:pPr>
        <w:pStyle w:val="ATHeading2"/>
      </w:pPr>
      <w:r w:rsidRPr="00064993">
        <w:t>Europejski Bank Centralny – raport roczny 2024</w:t>
      </w:r>
    </w:p>
    <w:p w:rsidR="009312E4" w:rsidRPr="0035191D" w:rsidRDefault="009312E4" w:rsidP="009312E4">
      <w:pPr>
        <w:rPr>
          <w:i/>
          <w:vanish/>
        </w:rPr>
      </w:pPr>
      <w:r w:rsidRPr="0035191D">
        <w:rPr>
          <w:i/>
        </w:rPr>
        <w:fldChar w:fldCharType="begin"/>
      </w:r>
      <w:r w:rsidRPr="0035191D">
        <w:rPr>
          <w:i/>
        </w:rPr>
        <w:instrText xml:space="preserve"> TC"(</w:instrText>
      </w:r>
      <w:bookmarkStart w:id="1" w:name="DocNumber"/>
      <w:r w:rsidRPr="0035191D">
        <w:rPr>
          <w:i/>
        </w:rPr>
        <w:instrText>A10-0003/2025</w:instrText>
      </w:r>
      <w:bookmarkEnd w:id="1"/>
      <w:r w:rsidRPr="0035191D">
        <w:rPr>
          <w:i/>
        </w:rPr>
        <w:instrText xml:space="preserve"> - Sprawozdawca: Anouk Van Brug</w:instrText>
      </w:r>
      <w:proofErr w:type="gramStart"/>
      <w:r w:rsidRPr="0035191D">
        <w:rPr>
          <w:i/>
        </w:rPr>
        <w:instrText>)"\l</w:instrText>
      </w:r>
      <w:proofErr w:type="gramEnd"/>
      <w:r w:rsidRPr="0035191D">
        <w:rPr>
          <w:i/>
        </w:rPr>
        <w:instrText xml:space="preserve">3 \n&gt; \* MERGEFORMAT </w:instrText>
      </w:r>
      <w:r w:rsidRPr="0035191D">
        <w:rPr>
          <w:i/>
        </w:rPr>
        <w:fldChar w:fldCharType="end"/>
      </w:r>
    </w:p>
    <w:p w:rsidR="009312E4" w:rsidRPr="0035191D" w:rsidRDefault="009312E4" w:rsidP="009312E4">
      <w:pPr>
        <w:rPr>
          <w:vanish/>
        </w:rPr>
      </w:pPr>
      <w:bookmarkStart w:id="2" w:name="Commission"/>
      <w:r w:rsidRPr="0035191D">
        <w:rPr>
          <w:vanish/>
        </w:rPr>
        <w:t>Komisja Gospodarcza i Monetarna</w:t>
      </w:r>
      <w:bookmarkEnd w:id="2"/>
    </w:p>
    <w:p w:rsidR="009312E4" w:rsidRPr="0035191D" w:rsidRDefault="009312E4" w:rsidP="009312E4">
      <w:pPr>
        <w:rPr>
          <w:vanish/>
        </w:rPr>
      </w:pPr>
      <w:bookmarkStart w:id="3" w:name="PE"/>
      <w:r w:rsidRPr="0035191D">
        <w:rPr>
          <w:vanish/>
        </w:rPr>
        <w:t>PE765.056</w:t>
      </w:r>
      <w:bookmarkEnd w:id="3"/>
    </w:p>
    <w:p w:rsidR="009312E4" w:rsidRPr="0035191D" w:rsidRDefault="009312E4" w:rsidP="009312E4">
      <w:pPr>
        <w:pStyle w:val="ATHeading3"/>
      </w:pPr>
      <w:bookmarkStart w:id="4" w:name="Sujet"/>
      <w:r w:rsidRPr="0035191D">
        <w:t xml:space="preserve">Rezolucja Parlamentu Europejskiego z dnia </w:t>
      </w:r>
      <w:r w:rsidR="00DA2916">
        <w:t>11</w:t>
      </w:r>
      <w:r w:rsidR="00064993">
        <w:t xml:space="preserve"> lutego</w:t>
      </w:r>
      <w:r w:rsidRPr="0035191D">
        <w:t xml:space="preserve"> 2025 r. w sprawie Europejskiego Banku Centralnego – raport za rok 2024</w:t>
      </w:r>
      <w:bookmarkEnd w:id="4"/>
      <w:r w:rsidRPr="0035191D">
        <w:t xml:space="preserve"> </w:t>
      </w:r>
      <w:bookmarkStart w:id="5" w:name="References"/>
      <w:r w:rsidRPr="0035191D">
        <w:t>(2024/2054(INI))</w:t>
      </w:r>
      <w:bookmarkEnd w:id="5"/>
    </w:p>
    <w:p w:rsidR="00295436" w:rsidRPr="0035191D" w:rsidRDefault="00295436" w:rsidP="00295436">
      <w:pPr>
        <w:pStyle w:val="EPComma"/>
      </w:pPr>
      <w:r w:rsidRPr="0035191D">
        <w:rPr>
          <w:rStyle w:val="Italic"/>
        </w:rPr>
        <w:t>Parlament Europejski</w:t>
      </w:r>
      <w:r w:rsidRPr="0035191D">
        <w:t>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raport Europejskiego Banku Centralnego (EBC) za rok 2023,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informacje zwrotne, które EBC przekazał 18 kwietnia 2024 r. w odpowiedzi na uwagi Parlamentu zawarte w rezolucji w sprawie raportu rocznego EBC za rok 2022</w:t>
      </w:r>
      <w:r w:rsidRPr="0035191D">
        <w:rPr>
          <w:rStyle w:val="FootnoteReference"/>
        </w:rPr>
        <w:footnoteReference w:id="1"/>
      </w:r>
      <w:r w:rsidRPr="0035191D">
        <w:t>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Statut Europejskiego Systemu Banków Centralnych (ESBC) i EBC, w szczególności jego art. 2, 15 i 21,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art. 119, art. 123 ust. 1, art. 125, art. 127 ust. 1 i 2, art. 130, art. 282 ust. 2 i art. 284 ust. 3 Traktatu o funkcjonowaniu Unii Europejskiej (TFUE),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art. 3 i 13 Traktatu o Unii Europejskiej (TUE),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projekcje makroekonomiczne ekspertów Eurosystemu dla strefy euro z 7 marca</w:t>
      </w:r>
      <w:r w:rsidR="006E3DFB">
        <w:t xml:space="preserve"> 2024 r.</w:t>
      </w:r>
      <w:r w:rsidRPr="0035191D">
        <w:t>, 6 czerwca</w:t>
      </w:r>
      <w:r w:rsidR="006E3DFB">
        <w:t xml:space="preserve"> 2024 r.</w:t>
      </w:r>
      <w:r w:rsidRPr="0035191D">
        <w:t>, 12 września</w:t>
      </w:r>
      <w:r w:rsidR="006E3DFB">
        <w:t xml:space="preserve"> 2024 r.</w:t>
      </w:r>
      <w:r w:rsidRPr="0035191D">
        <w:t xml:space="preserve"> i 12 grudnia 2024 r.,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decyzje Rady Prezesów EBC z 25 stycznia</w:t>
      </w:r>
      <w:r w:rsidR="006E3DFB">
        <w:t xml:space="preserve"> 2024 r.</w:t>
      </w:r>
      <w:r w:rsidRPr="0035191D">
        <w:t>, 7 marca</w:t>
      </w:r>
      <w:r w:rsidR="006E3DFB">
        <w:t xml:space="preserve"> 2024 r.</w:t>
      </w:r>
      <w:r w:rsidRPr="0035191D">
        <w:t>, 11 kwietnia</w:t>
      </w:r>
      <w:r w:rsidR="006E3DFB">
        <w:t xml:space="preserve"> 2024 r.</w:t>
      </w:r>
      <w:r w:rsidRPr="0035191D">
        <w:t>, 6 czerwca</w:t>
      </w:r>
      <w:r w:rsidR="006E3DFB">
        <w:t xml:space="preserve"> 2024 r.</w:t>
      </w:r>
      <w:r w:rsidRPr="0035191D">
        <w:t>, 18 lipca</w:t>
      </w:r>
      <w:r w:rsidR="006E3DFB">
        <w:t xml:space="preserve"> 2024 r.</w:t>
      </w:r>
      <w:r w:rsidRPr="0035191D">
        <w:t>, 12 września</w:t>
      </w:r>
      <w:r w:rsidR="006E3DFB">
        <w:t xml:space="preserve"> 2024 r.</w:t>
      </w:r>
      <w:r w:rsidRPr="0035191D">
        <w:t>, 17 października</w:t>
      </w:r>
      <w:r w:rsidR="006E3DFB">
        <w:t xml:space="preserve"> 2024 r.</w:t>
      </w:r>
      <w:r w:rsidRPr="0035191D">
        <w:t xml:space="preserve"> </w:t>
      </w:r>
      <w:r w:rsidR="006E3DFB">
        <w:t>i</w:t>
      </w:r>
      <w:r w:rsidRPr="0035191D">
        <w:t xml:space="preserve"> 12 grudnia 2024 r.,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 xml:space="preserve">uwzględniając prognozy inflacyjne Eurostatu z </w:t>
      </w:r>
      <w:r w:rsidR="00A2120C">
        <w:t>3</w:t>
      </w:r>
      <w:r w:rsidRPr="0035191D">
        <w:t xml:space="preserve"> </w:t>
      </w:r>
      <w:r w:rsidR="00A2120C">
        <w:t>lutego</w:t>
      </w:r>
      <w:r w:rsidR="00A2120C" w:rsidRPr="0035191D">
        <w:t xml:space="preserve"> </w:t>
      </w:r>
      <w:r w:rsidRPr="0035191D">
        <w:t>202</w:t>
      </w:r>
      <w:r w:rsidR="00A2120C">
        <w:t>5</w:t>
      </w:r>
      <w:r w:rsidRPr="0035191D">
        <w:t xml:space="preserve"> r.,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jesienną prognozę gospodarczą Komisji opublikowaną 26 listopada 2024 r.,</w:t>
      </w:r>
    </w:p>
    <w:p w:rsidR="00295436" w:rsidRPr="0035191D" w:rsidRDefault="00295436" w:rsidP="00295436">
      <w:pPr>
        <w:pStyle w:val="NormalHanging12a"/>
      </w:pPr>
      <w:r w:rsidRPr="0035191D">
        <w:lastRenderedPageBreak/>
        <w:t>–</w:t>
      </w:r>
      <w:r w:rsidRPr="0035191D">
        <w:tab/>
        <w:t>uwzględniając światową prognozę gospodarczą Międzynarodowego Funduszu Walutowego (MFW) z</w:t>
      </w:r>
      <w:r w:rsidR="00A2120C">
        <w:t>e</w:t>
      </w:r>
      <w:r w:rsidRPr="0035191D">
        <w:t xml:space="preserve"> </w:t>
      </w:r>
      <w:r w:rsidR="00A2120C">
        <w:t>stycznia</w:t>
      </w:r>
      <w:r w:rsidR="00A2120C" w:rsidRPr="0035191D">
        <w:t xml:space="preserve"> </w:t>
      </w:r>
      <w:r w:rsidRPr="0035191D">
        <w:t>202</w:t>
      </w:r>
      <w:r w:rsidR="00A2120C">
        <w:t>5</w:t>
      </w:r>
      <w:r w:rsidRPr="0035191D">
        <w:t xml:space="preserve"> r.,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 xml:space="preserve">uwzględniając dialogi monetarne z prezeską EBC Christine </w:t>
      </w:r>
      <w:proofErr w:type="spellStart"/>
      <w:r w:rsidRPr="0035191D">
        <w:t>Lagarde</w:t>
      </w:r>
      <w:proofErr w:type="spellEnd"/>
      <w:r w:rsidRPr="0035191D">
        <w:t xml:space="preserve"> z 15 lutego</w:t>
      </w:r>
      <w:r w:rsidR="006E3DFB">
        <w:t xml:space="preserve"> 2024 r.</w:t>
      </w:r>
      <w:r w:rsidRPr="0035191D">
        <w:t xml:space="preserve">, 30 września </w:t>
      </w:r>
      <w:r w:rsidR="006E3DFB">
        <w:t xml:space="preserve">2024 r. </w:t>
      </w:r>
      <w:r w:rsidRPr="0035191D">
        <w:t>i 4 grudnia 2024 r.,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swoją decyzję z 1 czerwca 2023 r. w sprawie porozumienia międzyinstytucjonalnego w formie wymiany listów między Parlamentem Europejskim a EBC: uporządkowanie praktyk w zakresie współdziałania w dziedzinie bankowości centralnej</w:t>
      </w:r>
      <w:r w:rsidRPr="0035191D">
        <w:rPr>
          <w:rStyle w:val="FootnoteReference"/>
        </w:rPr>
        <w:footnoteReference w:id="2"/>
      </w:r>
      <w:r w:rsidRPr="0035191D">
        <w:t>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Europejski filar praw socjalnych,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zatwierdzenie instrumentu ochrony transmisji (TPI) przez Radę Prezesów EBC 21 lipca 2022 r.,</w:t>
      </w:r>
    </w:p>
    <w:p w:rsidR="00295436" w:rsidRPr="009373DA" w:rsidRDefault="00295436" w:rsidP="00295436">
      <w:pPr>
        <w:pStyle w:val="NormalHanging12a"/>
      </w:pPr>
      <w:r w:rsidRPr="0035191D">
        <w:t>–</w:t>
      </w:r>
      <w:r w:rsidRPr="0035191D">
        <w:tab/>
        <w:t>uwzględniając wniosek Komisji z 28 czerwca 2023 r. dotyczący rozporządzenia Parlamentu Europejskiego i Rady w sprawie ustanowienia cyfrowego euro (</w:t>
      </w:r>
      <w:hyperlink r:id="rId9" w:history="1">
        <w:r w:rsidRPr="009373DA">
          <w:rPr>
            <w:rStyle w:val="Hyperlink"/>
            <w:color w:val="auto"/>
            <w:u w:val="none"/>
          </w:rPr>
          <w:t>COM(2023)0369</w:t>
        </w:r>
      </w:hyperlink>
      <w:r w:rsidRPr="009373DA">
        <w:t>),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pierwsze i drugie sprawozdanie EBC, odpowiednio z 24 czerwca</w:t>
      </w:r>
      <w:r w:rsidR="006E3DFB">
        <w:t xml:space="preserve"> 2024 r.</w:t>
      </w:r>
      <w:r w:rsidRPr="0035191D">
        <w:t xml:space="preserve"> i 2 grudnia 2024 r., z postępów fazy przygotowawczej cyfrowego euro,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 xml:space="preserve">uwzględniając cztery sprawozdania EBC z postępów z 13 lipca </w:t>
      </w:r>
      <w:r w:rsidR="006E3DFB">
        <w:t xml:space="preserve">2023 r. </w:t>
      </w:r>
      <w:r w:rsidRPr="0035191D">
        <w:t xml:space="preserve">i 24 kwietnia 2023 r. oraz z 21 grudnia </w:t>
      </w:r>
      <w:r w:rsidR="006E3DFB">
        <w:t xml:space="preserve">2022 r. </w:t>
      </w:r>
      <w:r w:rsidRPr="0035191D">
        <w:t>i 29 września 2022 r. w sprawie etapu badań cyfrowego euro,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przegląd strategii polityki pieniężnej EBC rozpoczęty 23 stycznia 2020 r. i zakończony 8 lipca 2021 r. oraz zbliżającą się ocenę strategii polityki pieniężnej w 2025 r.,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przegląd ram operacyjnych EBC opublikowany 13 marca 2024 r.,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sprawozdanie roczne EBC w sprawie międzynarodowej roli euro z czerwca 2024 r.,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 xml:space="preserve">uwzględniając wyniki pierwszego testu warunków skrajnych w zakresie </w:t>
      </w:r>
      <w:proofErr w:type="spellStart"/>
      <w:r w:rsidRPr="0035191D">
        <w:t>cyberodporności</w:t>
      </w:r>
      <w:proofErr w:type="spellEnd"/>
      <w:r w:rsidRPr="0035191D">
        <w:t xml:space="preserve"> przeprowadzonego przez EBC 26 lipca 2024 r.,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 xml:space="preserve">uwzględniając „Financial </w:t>
      </w:r>
      <w:proofErr w:type="spellStart"/>
      <w:r w:rsidRPr="0035191D">
        <w:t>Stability</w:t>
      </w:r>
      <w:proofErr w:type="spellEnd"/>
      <w:r w:rsidRPr="0035191D">
        <w:t xml:space="preserve"> </w:t>
      </w:r>
      <w:proofErr w:type="spellStart"/>
      <w:r w:rsidRPr="0035191D">
        <w:t>Review</w:t>
      </w:r>
      <w:proofErr w:type="spellEnd"/>
      <w:r w:rsidRPr="0035191D">
        <w:t>” EBC opublikowany 20 listopada 2024 r.,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publikację zmienionego rozporządzenia w sprawie wymogów kapitałowych</w:t>
      </w:r>
      <w:r w:rsidRPr="0035191D">
        <w:rPr>
          <w:rStyle w:val="FootnoteReference"/>
        </w:rPr>
        <w:footnoteReference w:id="3"/>
      </w:r>
      <w:r w:rsidRPr="0035191D">
        <w:t xml:space="preserve"> („CRR III”) i dyrektywy w sprawie wymogów kapitałowych</w:t>
      </w:r>
      <w:r w:rsidRPr="0035191D">
        <w:rPr>
          <w:rStyle w:val="FootnoteReference"/>
        </w:rPr>
        <w:footnoteReference w:id="4"/>
      </w:r>
      <w:r w:rsidRPr="0035191D">
        <w:t xml:space="preserve"> („CRD VI”) w Dzienniku Urzędowym Unii Europejskiej 19 czerwca 2024 r.,</w:t>
      </w:r>
    </w:p>
    <w:p w:rsidR="00295436" w:rsidRPr="0035191D" w:rsidRDefault="00295436" w:rsidP="00295436">
      <w:pPr>
        <w:pStyle w:val="NormalHanging12a"/>
      </w:pPr>
      <w:r w:rsidRPr="0035191D">
        <w:lastRenderedPageBreak/>
        <w:t>–</w:t>
      </w:r>
      <w:r w:rsidRPr="0035191D">
        <w:tab/>
        <w:t>uwzględniając wyniki testu warunków skrajnych w zakresie ryzyka związanego z klimatem przeprowadzonego przez EBC 8 lipca 2022 r.,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aktualizację deklaracji środowiskowej EBC z 2024 r.,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plan EBC na rzecz klimatu i przyrody na lata 2024–2025,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art. 142 ust. 1 Regulaminu,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art. 55 Regulaminu,</w:t>
      </w:r>
    </w:p>
    <w:p w:rsidR="00295436" w:rsidRPr="0035191D" w:rsidRDefault="00295436" w:rsidP="00295436">
      <w:pPr>
        <w:pStyle w:val="NormalHanging12a"/>
      </w:pPr>
      <w:r w:rsidRPr="0035191D">
        <w:t>–</w:t>
      </w:r>
      <w:r w:rsidRPr="0035191D">
        <w:tab/>
        <w:t>uwzględniając sprawozdanie Komisji Gospodarczej i Monetarnej (A10-0003/2025),</w:t>
      </w:r>
    </w:p>
    <w:p w:rsidR="00295436" w:rsidRPr="0035191D" w:rsidRDefault="00295436" w:rsidP="00295436">
      <w:pPr>
        <w:pStyle w:val="NormalHanging12a"/>
      </w:pPr>
      <w:r w:rsidRPr="0035191D">
        <w:t>A.</w:t>
      </w:r>
      <w:r w:rsidRPr="0035191D">
        <w:tab/>
      </w:r>
      <w:proofErr w:type="gramStart"/>
      <w:r w:rsidRPr="0035191D">
        <w:t>mając</w:t>
      </w:r>
      <w:proofErr w:type="gramEnd"/>
      <w:r w:rsidRPr="0035191D">
        <w:t xml:space="preserve"> na uwadze, że według Eurostatu inflacja zharmonizowanego indeksu cen konsumpcyjnych (HICP) w strefie euro osiągnęła w </w:t>
      </w:r>
      <w:r w:rsidR="00A2120C" w:rsidRPr="009373DA">
        <w:t>grudniu</w:t>
      </w:r>
      <w:r w:rsidR="00A2120C" w:rsidRPr="00533116">
        <w:t xml:space="preserve"> </w:t>
      </w:r>
      <w:r w:rsidRPr="0035191D">
        <w:t>2024 r. poziom 2,</w:t>
      </w:r>
      <w:r w:rsidR="00A2120C">
        <w:t>4</w:t>
      </w:r>
      <w:r w:rsidRPr="0035191D">
        <w:t> %;</w:t>
      </w:r>
    </w:p>
    <w:p w:rsidR="00295436" w:rsidRPr="0035191D" w:rsidRDefault="00295436" w:rsidP="00295436">
      <w:pPr>
        <w:pStyle w:val="NormalHanging12a"/>
      </w:pPr>
      <w:r w:rsidRPr="0035191D">
        <w:t>B.</w:t>
      </w:r>
      <w:r w:rsidRPr="0035191D">
        <w:tab/>
        <w:t>mając na uwadze, że według projekcji makroekonomicznych ekspertów Eurosystemu dla strefy euro z grudnia 2024 r. inflacja HICP spadnie do 2,1 % w 2025 r., a następnie spadnie do 1,9 % w 2026 r. i 2,1 % w 2027 r.</w:t>
      </w:r>
      <w:r w:rsidRPr="0035191D">
        <w:rPr>
          <w:rStyle w:val="FootnoteReference"/>
        </w:rPr>
        <w:footnoteReference w:id="5"/>
      </w:r>
      <w:r w:rsidRPr="0035191D">
        <w:t>;</w:t>
      </w:r>
      <w:r w:rsidR="00A2120C">
        <w:t xml:space="preserve"> </w:t>
      </w:r>
      <w:r w:rsidR="00A2120C" w:rsidRPr="009373DA">
        <w:t>mając na uwadze, że prognozy dotyczące inflacji są bardzo zróżnicowane w strefie euro;</w:t>
      </w:r>
    </w:p>
    <w:p w:rsidR="00295436" w:rsidRPr="0035191D" w:rsidRDefault="00295436" w:rsidP="00295436">
      <w:pPr>
        <w:pStyle w:val="NormalHanging12a"/>
      </w:pPr>
      <w:r w:rsidRPr="0035191D">
        <w:t>C.</w:t>
      </w:r>
      <w:r w:rsidRPr="0035191D">
        <w:tab/>
      </w:r>
      <w:proofErr w:type="gramStart"/>
      <w:r w:rsidRPr="0035191D">
        <w:t>mając</w:t>
      </w:r>
      <w:proofErr w:type="gramEnd"/>
      <w:r w:rsidRPr="0035191D">
        <w:t xml:space="preserve"> na uwadze, że głównym celem EBC jest utrzymanie stabilności cen, co zgodnie z jego definicją oznacza w średnim okresie inflację na poziomie 2 %;</w:t>
      </w:r>
    </w:p>
    <w:p w:rsidR="00295436" w:rsidRPr="0035191D" w:rsidRDefault="00295436" w:rsidP="00295436">
      <w:pPr>
        <w:pStyle w:val="NormalHanging12a"/>
      </w:pPr>
      <w:r w:rsidRPr="0035191D">
        <w:t>D.</w:t>
      </w:r>
      <w:r w:rsidRPr="0035191D">
        <w:tab/>
      </w:r>
      <w:proofErr w:type="gramStart"/>
      <w:r w:rsidRPr="0035191D">
        <w:t>mając</w:t>
      </w:r>
      <w:proofErr w:type="gramEnd"/>
      <w:r w:rsidRPr="0035191D">
        <w:t xml:space="preserve"> na uwadze, że EBC powinien wspierać ogólne polityki gospodarcze w UE, przyczyniając się tym samym do osiągnięcia celów Unii ustanowionych w artykule 3 TUE;</w:t>
      </w:r>
    </w:p>
    <w:p w:rsidR="00295436" w:rsidRPr="0035191D" w:rsidRDefault="00295436" w:rsidP="00295436">
      <w:pPr>
        <w:pStyle w:val="NormalHanging12a"/>
      </w:pPr>
      <w:r w:rsidRPr="0035191D">
        <w:t>E.</w:t>
      </w:r>
      <w:r w:rsidRPr="0035191D">
        <w:tab/>
      </w:r>
      <w:proofErr w:type="gramStart"/>
      <w:r w:rsidRPr="0035191D">
        <w:t>mając</w:t>
      </w:r>
      <w:proofErr w:type="gramEnd"/>
      <w:r w:rsidRPr="0035191D">
        <w:t xml:space="preserve"> na uwadze, że EBC jest politycznie niezależny, co oznacza, że ani instytucje i agencje UE, ani rządy państw członkowskich nie mogą próbować wywierać na niego wpływu;</w:t>
      </w:r>
    </w:p>
    <w:p w:rsidR="00295436" w:rsidRPr="0035191D" w:rsidRDefault="00295436" w:rsidP="00295436">
      <w:pPr>
        <w:pStyle w:val="NormalHanging12a"/>
      </w:pPr>
      <w:r w:rsidRPr="0035191D">
        <w:t>F.</w:t>
      </w:r>
      <w:r w:rsidRPr="0035191D">
        <w:tab/>
      </w:r>
      <w:proofErr w:type="gramStart"/>
      <w:r w:rsidRPr="0035191D">
        <w:t>mając</w:t>
      </w:r>
      <w:proofErr w:type="gramEnd"/>
      <w:r w:rsidRPr="0035191D">
        <w:t xml:space="preserve"> na uwadze, że EBC, choć można go pociągnąć do odpowiedzialności, może podejmować decyzje w celu osiągnięcia swojego podstawowego celu, jakim jest utrzymanie stabilności cen, bez ingerencji politycznych;</w:t>
      </w:r>
    </w:p>
    <w:p w:rsidR="00295436" w:rsidRPr="0035191D" w:rsidRDefault="00295436" w:rsidP="00295436">
      <w:pPr>
        <w:pStyle w:val="NormalHanging12a"/>
      </w:pPr>
      <w:r w:rsidRPr="0035191D">
        <w:t>G.</w:t>
      </w:r>
      <w:r w:rsidRPr="0035191D">
        <w:tab/>
        <w:t>mając na uwadze, że taka niezależność polityczna wymaga od EBC powstrzymania się od podejmowania działań politycznych;</w:t>
      </w:r>
    </w:p>
    <w:p w:rsidR="00295436" w:rsidRPr="0035191D" w:rsidRDefault="00295436" w:rsidP="00295436">
      <w:pPr>
        <w:pStyle w:val="NormalHanging12a"/>
      </w:pPr>
      <w:r w:rsidRPr="0035191D">
        <w:t>H.</w:t>
      </w:r>
      <w:r w:rsidRPr="0035191D">
        <w:tab/>
      </w:r>
      <w:proofErr w:type="gramStart"/>
      <w:r w:rsidRPr="0035191D">
        <w:t>mając</w:t>
      </w:r>
      <w:proofErr w:type="gramEnd"/>
      <w:r w:rsidRPr="0035191D">
        <w:t xml:space="preserve"> na uwadze, że w art. 123 TFUE i w art. 21 statutu ESBC i EBC zakazuje się bezpośredniego finansowania rządów ze środków banku centralnego; mając na uwadze, że EBC może nabywać dłużne papiery wartościowe na rynku wtórnym, jeśli jest to konieczne do realizacji jego celów;</w:t>
      </w:r>
    </w:p>
    <w:p w:rsidR="00295436" w:rsidRPr="0035191D" w:rsidRDefault="00295436" w:rsidP="00295436">
      <w:pPr>
        <w:pStyle w:val="NormalHanging12a"/>
      </w:pPr>
      <w:r w:rsidRPr="0035191D">
        <w:t>I.</w:t>
      </w:r>
      <w:r w:rsidRPr="0035191D">
        <w:tab/>
      </w:r>
      <w:proofErr w:type="gramStart"/>
      <w:r w:rsidRPr="0035191D">
        <w:t>mając</w:t>
      </w:r>
      <w:proofErr w:type="gramEnd"/>
      <w:r w:rsidRPr="0035191D">
        <w:t xml:space="preserve"> na uwadze, że Eurosystem został zbudowany na zasadzie dominacji walutowej;</w:t>
      </w:r>
    </w:p>
    <w:p w:rsidR="00295436" w:rsidRPr="0035191D" w:rsidRDefault="00295436" w:rsidP="00295436">
      <w:pPr>
        <w:pStyle w:val="NormalHanging12a"/>
      </w:pPr>
      <w:r w:rsidRPr="0035191D">
        <w:t>J.</w:t>
      </w:r>
      <w:r w:rsidRPr="0035191D">
        <w:tab/>
        <w:t xml:space="preserve">mając na uwadze, że spłaty kwoty głównej z tytułu zapadających papierów wartościowych nabytych w programie zakupu aktywów (APP) nie są już reinwestowane, a spłaty kwoty głównej z tytułu zapadających papierów wartościowych </w:t>
      </w:r>
      <w:r w:rsidRPr="0035191D">
        <w:lastRenderedPageBreak/>
        <w:t>nabytych w nadzwyczajnym programie zakupów w czasie pandemii (PEPP) nie będą już reinwestowane od stycznia 2025 r.;</w:t>
      </w:r>
    </w:p>
    <w:p w:rsidR="00295436" w:rsidRPr="0035191D" w:rsidRDefault="00295436" w:rsidP="00295436">
      <w:pPr>
        <w:pStyle w:val="NormalHanging12a"/>
      </w:pPr>
      <w:r w:rsidRPr="0035191D">
        <w:t>K.</w:t>
      </w:r>
      <w:r w:rsidRPr="0035191D">
        <w:tab/>
        <w:t>mając na uwadze, że rezerwy bankowe utrzymywane przez instytucje kredytowe w EBC wyniosły w grudniu 2024 r. 3 bln EUR;</w:t>
      </w:r>
    </w:p>
    <w:p w:rsidR="00295436" w:rsidRPr="0035191D" w:rsidRDefault="00295436" w:rsidP="00295436">
      <w:pPr>
        <w:pStyle w:val="NormalHanging12a"/>
      </w:pPr>
      <w:r w:rsidRPr="0035191D">
        <w:t>L.</w:t>
      </w:r>
      <w:r w:rsidRPr="0035191D">
        <w:tab/>
      </w:r>
      <w:proofErr w:type="gramStart"/>
      <w:r w:rsidRPr="0035191D">
        <w:t>mając</w:t>
      </w:r>
      <w:proofErr w:type="gramEnd"/>
      <w:r w:rsidRPr="0035191D">
        <w:t xml:space="preserve"> na uwadze, że euro jest drugą najważniejszą walutą na świecie;</w:t>
      </w:r>
    </w:p>
    <w:p w:rsidR="00295436" w:rsidRPr="0035191D" w:rsidRDefault="00295436" w:rsidP="00295436">
      <w:pPr>
        <w:pStyle w:val="NormalHanging12a"/>
      </w:pPr>
      <w:r w:rsidRPr="0035191D">
        <w:t>M.</w:t>
      </w:r>
      <w:r w:rsidRPr="0035191D">
        <w:tab/>
        <w:t>mając na uwadze, że EBC odpowiada przed Parlamentem jako instytucją UE reprezentującą obywateli UE; mając na uwadze, że jego odpowiedzialność jest rozliczana na najwyższym szczeblu dzięki regularnej organizacji dialogu walutowego, regularnym wystąpieniom prezesa EBC na posiedzeniach plenarnych Parlamentu oraz różnym wizytom i spotkaniom posłów z członkami Zarządu EBC;</w:t>
      </w:r>
    </w:p>
    <w:p w:rsidR="00295436" w:rsidRPr="0035191D" w:rsidRDefault="00295436" w:rsidP="00295436">
      <w:pPr>
        <w:pStyle w:val="Normal12a24b"/>
      </w:pPr>
      <w:r w:rsidRPr="0035191D">
        <w:rPr>
          <w:rStyle w:val="BoldItalic"/>
        </w:rPr>
        <w:t>Informacje ogólne</w:t>
      </w:r>
    </w:p>
    <w:p w:rsidR="00295436" w:rsidRPr="0035191D" w:rsidRDefault="00295436" w:rsidP="00295436">
      <w:pPr>
        <w:pStyle w:val="NormalHanging12a"/>
      </w:pPr>
      <w:r w:rsidRPr="0035191D">
        <w:t>1.</w:t>
      </w:r>
      <w:r w:rsidRPr="0035191D">
        <w:tab/>
      </w:r>
      <w:proofErr w:type="gramStart"/>
      <w:r w:rsidRPr="0035191D">
        <w:t>pozytywnie</w:t>
      </w:r>
      <w:proofErr w:type="gramEnd"/>
      <w:r w:rsidRPr="0035191D">
        <w:t xml:space="preserve"> odbiera rolę, jaką EBC odgrywa w utrzymaniu stabilności monetarnej i finansowej, która jest niezbędnym warunkiem wstępnym wzrostu i stabilności gospodarczej; podkreśla, że EBC jest w tym względzie instytucją odpowiedzialną za utrzymanie stabilności cen w strefie euro; stwierdza, że bez uszczerbku dla celu, jakim jest stabilność cen, ESBC wspiera ogólne polityki gospodarcze Unii zapisane w art. 127 TFUE;</w:t>
      </w:r>
    </w:p>
    <w:p w:rsidR="00295436" w:rsidRPr="0035191D" w:rsidRDefault="00295436" w:rsidP="00295436">
      <w:pPr>
        <w:pStyle w:val="NormalHanging12a"/>
      </w:pPr>
      <w:r w:rsidRPr="0035191D">
        <w:t>2.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>, że ustawowa niezależność EBC ustanowiona w traktatach jest niezbędnym warunkiem wywiązywania się przez niego z mandatu polegającego na utrzymywaniu stabilności cen w strefie euro, a tym samym przyczynianiu się do wzrostu gospodarczego, wzrostu konkurencyjności i tworzenia miejsc pracy;</w:t>
      </w:r>
    </w:p>
    <w:p w:rsidR="00295436" w:rsidRPr="0035191D" w:rsidRDefault="00295436" w:rsidP="00295436">
      <w:pPr>
        <w:pStyle w:val="NormalHanging12a"/>
      </w:pPr>
      <w:r w:rsidRPr="0035191D">
        <w:t>3.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 xml:space="preserve"> znaczenie niezależności politycznej EBC, która powinna pozostać nienaruszona; podkreśla, że taka niezależność wymaga od EBC powstrzymania się od podejmowania działań politycznych; z zadowoleniem przyjmuje współpracę instytucjonalną, podkreślając tym samym znaczenie odpowiedniego poziomu rozliczalności przed Parlamentem;</w:t>
      </w:r>
    </w:p>
    <w:p w:rsidR="00295436" w:rsidRPr="0035191D" w:rsidRDefault="00295436" w:rsidP="00295436">
      <w:pPr>
        <w:pStyle w:val="NormalHanging12a"/>
      </w:pPr>
      <w:r w:rsidRPr="0035191D">
        <w:t>4.</w:t>
      </w:r>
      <w:r w:rsidRPr="0035191D">
        <w:tab/>
      </w:r>
      <w:proofErr w:type="gramStart"/>
      <w:r w:rsidRPr="0035191D">
        <w:t>zachęca</w:t>
      </w:r>
      <w:proofErr w:type="gramEnd"/>
      <w:r w:rsidRPr="0035191D">
        <w:t xml:space="preserve"> EBC i Parlament Europejski, bez uszczerbku dla niezależności EBC, do wykorzystywania w pełni mechanizmów rozliczalności i przejrzystości oraz, w miarę możliwości, do dalszego wzmacniania tych mechanizmów;</w:t>
      </w:r>
    </w:p>
    <w:p w:rsidR="00295436" w:rsidRPr="0035191D" w:rsidRDefault="00295436" w:rsidP="00295436">
      <w:pPr>
        <w:pStyle w:val="NormalHanging12a"/>
      </w:pPr>
      <w:r w:rsidRPr="0035191D">
        <w:t>5.</w:t>
      </w:r>
      <w:r w:rsidRPr="0035191D">
        <w:tab/>
      </w:r>
      <w:proofErr w:type="gramStart"/>
      <w:r w:rsidRPr="0035191D">
        <w:t>docenia</w:t>
      </w:r>
      <w:proofErr w:type="gramEnd"/>
      <w:r w:rsidRPr="0035191D">
        <w:t xml:space="preserve"> wysiłki EBC na rzecz przywrócenia inflacji do poziomów odpowiadających celowi 2 % w perspektywie średnioterminowej;</w:t>
      </w:r>
    </w:p>
    <w:p w:rsidR="00295436" w:rsidRPr="0035191D" w:rsidRDefault="00295436" w:rsidP="00295436">
      <w:pPr>
        <w:pStyle w:val="NormalHanging12a"/>
      </w:pPr>
      <w:r w:rsidRPr="0035191D">
        <w:t>6.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>, że zarówno polityka monetarna EBC, podlegająca jego uprawnieniom, jak i polityka fiskalna powinny współdziałać na rzecz obywateli Europy i ich gospodarstw domowych, a także małych przedsiębiorstw;</w:t>
      </w:r>
    </w:p>
    <w:p w:rsidR="00295436" w:rsidRPr="0035191D" w:rsidRDefault="00295436" w:rsidP="00295436">
      <w:pPr>
        <w:pStyle w:val="NormalHanging12a"/>
      </w:pPr>
      <w:r w:rsidRPr="0035191D">
        <w:t>7.</w:t>
      </w:r>
      <w:r w:rsidRPr="0035191D">
        <w:tab/>
      </w:r>
      <w:proofErr w:type="gramStart"/>
      <w:r w:rsidRPr="0035191D">
        <w:t>odnotowuje</w:t>
      </w:r>
      <w:proofErr w:type="gramEnd"/>
      <w:r w:rsidRPr="0035191D">
        <w:t xml:space="preserve"> rozbieżności między państwami członkowskimi w odniesieniu do poziomów inflacji powyżej/poniżej 2-procentowego celu EBC; podkreśla, że inflacja zmniejsza siłę nabywczą stałych dochodów, oszczędności i emerytur oraz zakłóca funkcję sygnalizacyjną cen, która zapewnia efektywną alokację zasobów, i ma w ten sposób negatywny wpływ na stabilność gospodarczą;</w:t>
      </w:r>
    </w:p>
    <w:p w:rsidR="00295436" w:rsidRPr="0035191D" w:rsidRDefault="00295436" w:rsidP="00295436">
      <w:pPr>
        <w:pStyle w:val="NormalHanging12a"/>
      </w:pPr>
      <w:r w:rsidRPr="0035191D">
        <w:lastRenderedPageBreak/>
        <w:t>8.</w:t>
      </w:r>
      <w:r w:rsidRPr="0035191D">
        <w:tab/>
        <w:t xml:space="preserve">podkreśla, że inflacja wywołała kryzys kosztów utrzymania wśród obywateli UE; podkreśla w związku z tym konieczność obniżenia inflacji do docelowego poziomu 2 %; zauważa, że wysoki poziom inflacji w nieproporcjonalny sposób dotyka gospodarstwa domowe o niższych dochodach, które wydają większą część swojego budżetu na artykuły pierwszej potrzeby; podkreśla, że sprowadzenie inflacji </w:t>
      </w:r>
      <w:proofErr w:type="gramStart"/>
      <w:r w:rsidRPr="0035191D">
        <w:t>ogólnej  z</w:t>
      </w:r>
      <w:proofErr w:type="gramEnd"/>
      <w:r w:rsidRPr="0035191D">
        <w:t xml:space="preserve"> powrotem do docelowego poziomu jest ważne z punktu widzenia spójności społecznej;</w:t>
      </w:r>
    </w:p>
    <w:p w:rsidR="00295436" w:rsidRPr="0035191D" w:rsidRDefault="00295436" w:rsidP="00295436">
      <w:pPr>
        <w:pStyle w:val="NormalHanging12a"/>
      </w:pPr>
      <w:r w:rsidRPr="0035191D">
        <w:t>9.</w:t>
      </w:r>
      <w:r w:rsidRPr="0035191D">
        <w:tab/>
      </w:r>
      <w:proofErr w:type="gramStart"/>
      <w:r w:rsidRPr="0035191D">
        <w:t>ubolewa</w:t>
      </w:r>
      <w:proofErr w:type="gramEnd"/>
      <w:r w:rsidRPr="0035191D">
        <w:t xml:space="preserve">, że inflacja bazowa nadal utrzymuje się na wysokim poziomie w strefie euro (2,7 % w </w:t>
      </w:r>
      <w:r w:rsidR="00A2120C" w:rsidRPr="009373DA">
        <w:t>grudniu</w:t>
      </w:r>
      <w:r w:rsidR="00A2120C" w:rsidRPr="00533116">
        <w:t xml:space="preserve"> </w:t>
      </w:r>
      <w:r w:rsidRPr="0035191D">
        <w:t xml:space="preserve">2024 r.), przy czym w </w:t>
      </w:r>
      <w:r w:rsidR="00A2120C" w:rsidRPr="009373DA">
        <w:t>grudniu</w:t>
      </w:r>
      <w:r w:rsidR="00A2120C" w:rsidRPr="00533116">
        <w:t xml:space="preserve"> </w:t>
      </w:r>
      <w:r w:rsidRPr="0035191D">
        <w:t xml:space="preserve">2024 r. tylko </w:t>
      </w:r>
      <w:r w:rsidR="00A2120C" w:rsidRPr="009373DA">
        <w:t>trzy państwa</w:t>
      </w:r>
      <w:r w:rsidR="00A2120C">
        <w:rPr>
          <w:b/>
          <w:i/>
        </w:rPr>
        <w:t xml:space="preserve"> </w:t>
      </w:r>
      <w:r w:rsidRPr="0035191D">
        <w:t>członkowskie strefy euro zgłosił</w:t>
      </w:r>
      <w:r w:rsidR="00A2120C">
        <w:t>y</w:t>
      </w:r>
      <w:r w:rsidRPr="0035191D">
        <w:t xml:space="preserve"> stopy inflacji bazowej poniżej 2 %; przypomina, że taka sytuacja powoduje niepewność gospodarczą, zniechęca do oszczędzania i podwyższa koszty utrzymania obywateli, w szczególności tych, którzy mają stałe i ograniczone dochody;</w:t>
      </w:r>
    </w:p>
    <w:p w:rsidR="00295436" w:rsidRPr="0035191D" w:rsidRDefault="00295436" w:rsidP="00295436">
      <w:pPr>
        <w:pStyle w:val="NormalHanging12a"/>
      </w:pPr>
      <w:r w:rsidRPr="0035191D">
        <w:t>10.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>, że utrzymywanie zbyt wysokich stóp procentowych mogłoby zaszkodzić wzrostowi gospodarczemu; ostrzega EBC, aby nie obniżał stóp procentowych zbyt szybko, biorąc pod uwagę ryzyko ponownego wzrostu stopy inflacji, która pozostaje na poziomie powyżej 2 %; podkreśla kluczową rolę, jaką odgrywają oczekiwania inflacyjne oraz to, że nadmierna zmienność stóp inflacji może zniekształcać oczekiwania inflacyjne; zachęca EBC do oceny wpływu zmian stóp procentowych na różne sektory gospodarki, w tym sektory kapitałochłonne;</w:t>
      </w:r>
    </w:p>
    <w:p w:rsidR="00295436" w:rsidRPr="0035191D" w:rsidRDefault="00295436" w:rsidP="00295436">
      <w:pPr>
        <w:pStyle w:val="NormalHanging12a"/>
      </w:pPr>
      <w:r w:rsidRPr="0035191D">
        <w:t>11.</w:t>
      </w:r>
      <w:r w:rsidRPr="0035191D">
        <w:tab/>
      </w:r>
      <w:proofErr w:type="gramStart"/>
      <w:r w:rsidRPr="0035191D">
        <w:t>uznaje</w:t>
      </w:r>
      <w:proofErr w:type="gramEnd"/>
      <w:r w:rsidRPr="0035191D">
        <w:t>, że decyzje dotyczące polityki monetarnej podjęte przez Radę Prezesów EBC od czasu kryzysu inflacyjnego wynikającego z rosnących cen energii wprowadziły inflację na ścieżkę zgodną z dążeniem do osiągnięcia celu stabilności cen, a jednocześnie pozwoliły uniknąć poważnego osłabienia działalności gospodarczej lub poziomu zatrudnienia;</w:t>
      </w:r>
    </w:p>
    <w:p w:rsidR="00295436" w:rsidRPr="0035191D" w:rsidRDefault="00295436" w:rsidP="00295436">
      <w:pPr>
        <w:pStyle w:val="NormalHanging12a"/>
      </w:pPr>
      <w:r w:rsidRPr="0035191D">
        <w:t>12.</w:t>
      </w:r>
      <w:r w:rsidRPr="0035191D">
        <w:tab/>
      </w:r>
      <w:proofErr w:type="gramStart"/>
      <w:r w:rsidRPr="0035191D">
        <w:t>przypomina</w:t>
      </w:r>
      <w:proofErr w:type="gramEnd"/>
      <w:r w:rsidRPr="0035191D">
        <w:t>, że Eurosystem skonstruowano w oparciu o zasadę dominacji walutowej i że w związku z tym unia gospodarcza i walutowa wymaga solidnej polityki fiskalnej w państwach członkowskich, aby móc reagować na wstrząsy zewnętrzne; przypomina o potrzebie adekwatnego wdrożenia nowych ram fiskalnych w celu zapewnienia wiarygodności polityki fiskalnej na szczeblu unii gospodarczej i walutowej; zauważa, że wystarczająca przestrzeń fiskalna pozwala również państwom członkowskim reagować na wstrząsy zewnętrzne; odnotowuje elastyczność przewidzianą w nowych regułach fiskalnych w tym zakresie; zwraca uwagę, że państwa członkowskie mogą zwiększyć swoją odporność na wstrząsy zewnętrzne za pomocą środków fiskalnych, a także reform pobudzających wzrost gospodarczy;</w:t>
      </w:r>
    </w:p>
    <w:p w:rsidR="00295436" w:rsidRPr="0035191D" w:rsidRDefault="00295436" w:rsidP="00295436">
      <w:pPr>
        <w:pStyle w:val="NormalHanging12a"/>
      </w:pPr>
      <w:r w:rsidRPr="0035191D">
        <w:t>13.</w:t>
      </w:r>
      <w:r w:rsidRPr="0035191D">
        <w:tab/>
      </w:r>
      <w:proofErr w:type="gramStart"/>
      <w:r w:rsidRPr="0035191D">
        <w:t>przypomina</w:t>
      </w:r>
      <w:proofErr w:type="gramEnd"/>
      <w:r w:rsidRPr="0035191D">
        <w:t xml:space="preserve">, że rozważna polityka fiskalna państw członkowskich może uzupełniać wysiłki EBC na rzecz utrzymania inflacji na niskim poziomie, a tym samym ochrony dochodów; podkreśla, że rozwiązanie problemu nadmiernego poziomu deficytu publicznego i długu publicznego ma kluczowe znaczenie z punktu widzenia utrzymania stabilności gospodarczej, zrównoważonego wzrostu gospodarczego i zapewnienia rządom przestrzeni politycznej umożliwiającej reagowanie na niekorzystne wstrząsy; odnotowuje w związku z tym niedawne ustalenia z „Financial </w:t>
      </w:r>
      <w:proofErr w:type="spellStart"/>
      <w:r w:rsidRPr="0035191D">
        <w:t>Stability</w:t>
      </w:r>
      <w:proofErr w:type="spellEnd"/>
      <w:r w:rsidRPr="0035191D">
        <w:t xml:space="preserve"> </w:t>
      </w:r>
      <w:proofErr w:type="spellStart"/>
      <w:r w:rsidRPr="0035191D">
        <w:t>Review</w:t>
      </w:r>
      <w:proofErr w:type="spellEnd"/>
      <w:r w:rsidRPr="0035191D">
        <w:t>” dotyczące wysokiego poziomu długu krajowego;</w:t>
      </w:r>
    </w:p>
    <w:p w:rsidR="00295436" w:rsidRPr="0035191D" w:rsidRDefault="00295436" w:rsidP="00295436">
      <w:pPr>
        <w:pStyle w:val="NormalHanging12a"/>
      </w:pPr>
      <w:r w:rsidRPr="0035191D">
        <w:t>14.</w:t>
      </w:r>
      <w:r w:rsidRPr="0035191D">
        <w:tab/>
      </w:r>
      <w:proofErr w:type="gramStart"/>
      <w:r w:rsidRPr="0035191D">
        <w:t>zauważa</w:t>
      </w:r>
      <w:proofErr w:type="gramEnd"/>
      <w:r w:rsidRPr="0035191D">
        <w:t xml:space="preserve">, że polityka monetarna EBC, która jest jego głównym mandatem, podlega ocenie proporcjonalności; zauważa, że w ocenie proporcjonalności uwzględnia się </w:t>
      </w:r>
      <w:r w:rsidRPr="0035191D">
        <w:lastRenderedPageBreak/>
        <w:t>wpływ środków polityki monetarnej na szerzej rozumianą gospodarkę i politykę gospodarczą;</w:t>
      </w:r>
    </w:p>
    <w:p w:rsidR="00295436" w:rsidRPr="0035191D" w:rsidRDefault="00295436" w:rsidP="00295436">
      <w:pPr>
        <w:pStyle w:val="Normal12a24b"/>
      </w:pPr>
      <w:r w:rsidRPr="0035191D">
        <w:rPr>
          <w:rStyle w:val="BoldItalic"/>
        </w:rPr>
        <w:t>Polityka monetarna</w:t>
      </w:r>
    </w:p>
    <w:p w:rsidR="00295436" w:rsidRPr="0035191D" w:rsidRDefault="00295436" w:rsidP="00295436">
      <w:pPr>
        <w:pStyle w:val="NormalHanging12a"/>
      </w:pPr>
      <w:r w:rsidRPr="0035191D">
        <w:t>15.</w:t>
      </w:r>
      <w:r w:rsidRPr="0035191D">
        <w:tab/>
      </w:r>
      <w:proofErr w:type="gramStart"/>
      <w:r w:rsidRPr="0035191D">
        <w:t>z</w:t>
      </w:r>
      <w:proofErr w:type="gramEnd"/>
      <w:r w:rsidRPr="0035191D">
        <w:t xml:space="preserve"> dużym zadowoleniem przyjmuje fakt, że inflacja ogólna spadła z najwyższego poziomu 10,6 % w październiku 2022 r. do 2,</w:t>
      </w:r>
      <w:r w:rsidR="00A2120C">
        <w:t>4</w:t>
      </w:r>
      <w:r w:rsidRPr="0035191D">
        <w:t xml:space="preserve"> % w </w:t>
      </w:r>
      <w:r w:rsidR="00A2120C" w:rsidRPr="009373DA">
        <w:t>grudniu</w:t>
      </w:r>
      <w:r w:rsidR="00A2120C" w:rsidRPr="00533116">
        <w:t xml:space="preserve"> </w:t>
      </w:r>
      <w:r w:rsidRPr="0035191D">
        <w:t>2024 r.;</w:t>
      </w:r>
    </w:p>
    <w:p w:rsidR="00295436" w:rsidRPr="0035191D" w:rsidRDefault="00295436" w:rsidP="00295436">
      <w:pPr>
        <w:pStyle w:val="NormalHanging12a"/>
      </w:pPr>
      <w:r w:rsidRPr="0035191D">
        <w:t>16.</w:t>
      </w:r>
      <w:r w:rsidRPr="0035191D">
        <w:tab/>
      </w:r>
      <w:proofErr w:type="gramStart"/>
      <w:r w:rsidRPr="0035191D">
        <w:t>z</w:t>
      </w:r>
      <w:proofErr w:type="gramEnd"/>
      <w:r w:rsidRPr="0035191D">
        <w:t xml:space="preserve"> zadowoleniem przyjmuje spadek inflacji bazowej z najwyższego poziomu 7,6 % w marcu 2023 r. do 2,7 % w </w:t>
      </w:r>
      <w:r w:rsidR="00A2120C" w:rsidRPr="009373DA">
        <w:t>grudniu</w:t>
      </w:r>
      <w:r w:rsidR="00A2120C" w:rsidRPr="00533116">
        <w:t xml:space="preserve"> </w:t>
      </w:r>
      <w:r w:rsidRPr="0035191D">
        <w:t>2024 r., ale wyraża zaniepokojenie historycznie wysokim i utrzymującym się poziomem inflacji; zauważa z niepokojem, że wysoka inflacja bazowa może przełożyć się na wyższą inflację ogólną;</w:t>
      </w:r>
    </w:p>
    <w:p w:rsidR="00295436" w:rsidRPr="0035191D" w:rsidRDefault="00295436" w:rsidP="00295436">
      <w:pPr>
        <w:pStyle w:val="NormalHanging12a"/>
      </w:pPr>
      <w:r w:rsidRPr="0035191D">
        <w:t>17.</w:t>
      </w:r>
      <w:r w:rsidRPr="0035191D">
        <w:tab/>
      </w:r>
      <w:proofErr w:type="gramStart"/>
      <w:r w:rsidRPr="0035191D">
        <w:t>ubolewa</w:t>
      </w:r>
      <w:proofErr w:type="gramEnd"/>
      <w:r w:rsidRPr="0035191D">
        <w:t>, że EBC potrzebował ponad trzech lat na osiągnięcie poziomu inflacji, który odpowiada poziomowi docelowemu wynoszącemu 2 %; przypomina w związku z tym błędną ocenę EBC, zgodnie z którą oczekiwano, że inflacja będzie miała jedynie charakter przejściowy;</w:t>
      </w:r>
    </w:p>
    <w:p w:rsidR="00295436" w:rsidRPr="0035191D" w:rsidRDefault="00295436" w:rsidP="00295436">
      <w:pPr>
        <w:pStyle w:val="NormalHanging12a"/>
      </w:pPr>
      <w:r w:rsidRPr="0035191D">
        <w:t>18.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>, że wstrząsy podażowe, głównie ze źródeł zewnętrznych, były jednym z głównych czynników napędzających gwałtowny wzrost inflacji; przyznaje, że polityka monetarna ma większy bezpośredni wpływ na poziom inflacji, gdy wynika przede wszystkim z czynników popytu, a nie czynników podaży;</w:t>
      </w:r>
    </w:p>
    <w:p w:rsidR="00295436" w:rsidRPr="0035191D" w:rsidRDefault="00295436" w:rsidP="00295436">
      <w:pPr>
        <w:pStyle w:val="NormalHanging12a"/>
      </w:pPr>
      <w:r w:rsidRPr="0035191D">
        <w:t>19.</w:t>
      </w:r>
      <w:r w:rsidRPr="0035191D">
        <w:tab/>
      </w:r>
      <w:proofErr w:type="gramStart"/>
      <w:r w:rsidRPr="0035191D">
        <w:t>z</w:t>
      </w:r>
      <w:proofErr w:type="gramEnd"/>
      <w:r w:rsidRPr="0035191D">
        <w:t xml:space="preserve"> zadowoleniem przyjmuje wysiłki EBC mające na celu regularną aktualizację modeli; zachęca EBC do dalszego przeglądu i poprawy jego modeli i ich roli w kształtowaniu polityki w świetle słabych wyników modeli w ostatnich latach, aby wyciągnąć wnioski z poprzednich kryzysów i w celu lepszego rozróżnienia między źródłami inflacji po stronie popytu i podaży; podkreśla, że gospodarcze wstrząsy podażowe mogą pochodzić z wielu źródeł, m.in. zdarzeń geopolitycznych, klęsk żywiołowych lub katastrof związanych z klimatem oraz cyberataków;</w:t>
      </w:r>
    </w:p>
    <w:p w:rsidR="00295436" w:rsidRPr="0035191D" w:rsidRDefault="00295436" w:rsidP="00295436">
      <w:pPr>
        <w:pStyle w:val="NormalHanging12a"/>
      </w:pPr>
      <w:r w:rsidRPr="0035191D">
        <w:t>20.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>, że włączenie mieszkań i domów mieszkalnych zajmowanych przez właściciela (OOH) do HICP jest pożądane zarówno ze względu na reprezentatywność, jak i porównywalność między krajami strefy euro; wzywa do przyspieszenia planu działania w celu szybkiego włączenia danych OOH do HICP; z zadowoleniem przyjmuje zobowiązanie Rady Prezesów EBC do uwzględnienia zarówno w ocenach, jak i decyzjach dotyczących polityki monetarnej dostępnych środków inflacyjnych w odniesieniu do jednostkowego kwartalnego indeksu OOH;</w:t>
      </w:r>
    </w:p>
    <w:p w:rsidR="00295436" w:rsidRPr="0035191D" w:rsidRDefault="00295436" w:rsidP="00295436">
      <w:pPr>
        <w:pStyle w:val="NormalHanging12a"/>
      </w:pPr>
      <w:r w:rsidRPr="0035191D">
        <w:t>21.</w:t>
      </w:r>
      <w:r w:rsidRPr="0035191D">
        <w:tab/>
      </w:r>
      <w:proofErr w:type="gramStart"/>
      <w:r w:rsidRPr="0035191D">
        <w:t>popiera</w:t>
      </w:r>
      <w:proofErr w:type="gramEnd"/>
      <w:r w:rsidRPr="0035191D">
        <w:t xml:space="preserve"> decyzję EBC o zredukowaniu programów zakupu aktywów, aby zrównoważyć warunki płynności rynkowej i poziomy inflacji w związku z nadmierną płynnością na rynku i spadkiem stopy inflacji; z zadowoleniem przyjmuje fakt, że portfel aktywów w ramach programów zakupów EBC będzie wykazywał tendencję spadkową od 2023 r.;</w:t>
      </w:r>
    </w:p>
    <w:p w:rsidR="00295436" w:rsidRPr="0035191D" w:rsidRDefault="00295436" w:rsidP="00295436">
      <w:pPr>
        <w:pStyle w:val="NormalHanging12a"/>
      </w:pPr>
      <w:r w:rsidRPr="0035191D">
        <w:t>22.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>, że odsetki od utrzymywanych przez banki komercyjne rezerw bankowych spowodowały, że Eurosystem wypłacił w 2023 r. instytucjom kredytowym odsetki w wysokości ponad 120 mld EUR, co stanowi 0,8 % PKB strefy euro; uważa, że jest to znacząca pomoc dla sektora bankowego; zwraca się do EBC o zredukowanie problemu;</w:t>
      </w:r>
    </w:p>
    <w:p w:rsidR="00295436" w:rsidRPr="0035191D" w:rsidRDefault="00295436" w:rsidP="00295436">
      <w:pPr>
        <w:pStyle w:val="NormalHanging12a"/>
      </w:pPr>
      <w:r w:rsidRPr="0035191D">
        <w:t>23.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 xml:space="preserve">, że program zakupów EBC jest niekonwencjonalną metodą stosowaną tylko w razie kryzysu, która – jeśli nie będzie starannie wdrażana – niesie ze sobą ryzyko </w:t>
      </w:r>
      <w:r w:rsidRPr="0035191D">
        <w:lastRenderedPageBreak/>
        <w:t>naruszenia zakazu finansowania ze środków banku centralnego na mocy art. 123 ust. 1 TFUE; zachęca EBC do dalszego monitorowania stopniowego zmniejszania bilansu, aby ograniczyć przedłużające się potencjalne skutki destabilizujące w strefie euro, przy jednoczesnym monitorowaniu wzrostu i konkurencyjności gospodarki UE; zwraca się do EBC o podzielenie się spostrzeżeniami na temat wpływu programów zakupów na funkcjonowanie rynków finansowych, w tym wpływu na fundusze emerytalne i współpracę w zakresie ubezpieczeń emerytalnych;</w:t>
      </w:r>
    </w:p>
    <w:p w:rsidR="00295436" w:rsidRPr="0035191D" w:rsidRDefault="00295436" w:rsidP="00295436">
      <w:pPr>
        <w:pStyle w:val="NormalHanging12a"/>
      </w:pPr>
      <w:r w:rsidRPr="0035191D">
        <w:t>24.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 xml:space="preserve">, że równomierna transmisja polityki monetarnej jest niezbędna, by EBC wywiązywał się ze swojego mandatu dotyczącego stabilności cen; podkreśla, że nadmierne rozbieżności w rentowności obligacji skarbowych sprawiają, że warunki kredytowe są niespójne z jednolitą transmisją polityki monetarnej i niezwykle utrudniają redukcję długu publicznego; przyjmuje do wiadomości ustanowienie w lipcu 2022 r. instrumentu ochrony transmisji (TPI) jako narzędzia wspierającego transmisję polityki monetarnej; </w:t>
      </w:r>
    </w:p>
    <w:p w:rsidR="00295436" w:rsidRPr="0035191D" w:rsidRDefault="00295436" w:rsidP="00295436">
      <w:pPr>
        <w:pStyle w:val="NormalHanging12a"/>
      </w:pPr>
      <w:r w:rsidRPr="0035191D">
        <w:t>25.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>, że rozbieżne stopy procentowe w strefie euro są zasadniczo i przy braku poważnych wstrząsów finansowych wynikiem różnych poziomów premii za ryzyko naliczanych od obligacji skarbowych, co odzwierciedla różnorodność podejść do polityki fiskalnej; zauważa, że interwencje TPI mogą ukrywać problemy natury fiskalnej; podkreśla, że TPI należy wykorzystywać na warunkach określonych przez EBC wyłącznie w celu przeciwdziałania napięciom na rynku finansowym, które nie są związane z podstawowymi parametrami gospodarczymi; wzywa państwa członkowskie do odpowiedzialnej polityki fiskalnej i dbałości o równowagę zadłużenia, co zapewni odporność na obecne i przyszłe wstrząsy;</w:t>
      </w:r>
    </w:p>
    <w:p w:rsidR="00295436" w:rsidRPr="0035191D" w:rsidRDefault="00295436" w:rsidP="00295436">
      <w:pPr>
        <w:pStyle w:val="Normal12a24b"/>
      </w:pPr>
      <w:r w:rsidRPr="0035191D">
        <w:rPr>
          <w:rStyle w:val="BoldItalic"/>
        </w:rPr>
        <w:t xml:space="preserve">Cyfrowe euro </w:t>
      </w:r>
    </w:p>
    <w:p w:rsidR="00295436" w:rsidRDefault="00295436" w:rsidP="00295436">
      <w:pPr>
        <w:pStyle w:val="NormalHanging12a"/>
      </w:pPr>
      <w:r w:rsidRPr="0035191D">
        <w:t>26.</w:t>
      </w:r>
      <w:r w:rsidRPr="0035191D">
        <w:tab/>
      </w:r>
      <w:proofErr w:type="gramStart"/>
      <w:r w:rsidR="00A2120C" w:rsidRPr="009373DA">
        <w:t>odnotowuje</w:t>
      </w:r>
      <w:proofErr w:type="gramEnd"/>
      <w:r w:rsidR="00A2120C" w:rsidRPr="009373DA">
        <w:t xml:space="preserve"> </w:t>
      </w:r>
      <w:r w:rsidRPr="009373DA">
        <w:t xml:space="preserve">postępy EBC w realizacji projektu cyfrowego euro i </w:t>
      </w:r>
      <w:r w:rsidR="00A2120C" w:rsidRPr="009373DA">
        <w:t xml:space="preserve">jest zadowolony z dialogu </w:t>
      </w:r>
      <w:r w:rsidRPr="009373DA">
        <w:t xml:space="preserve">z Parlamentem na ten temat; podkreśla, że cyfrowe euro powinno </w:t>
      </w:r>
      <w:r w:rsidR="00A2120C" w:rsidRPr="009373DA">
        <w:t xml:space="preserve">zawsze przynosić </w:t>
      </w:r>
      <w:r w:rsidRPr="009373DA">
        <w:t xml:space="preserve">wyraźne korzyści obywatelom Europy, takie jak zwiększona strategiczna autonomia w obszarze płatności, wyższy poziom konkurencji na rynku płatności detalicznych, potencjał wspierania innowacji w zakresie płatności i usług finansowych, większa dostępność usług finansowych i godny zaufania system płatności rezerwowych offline; wzywa EBC do jasnego </w:t>
      </w:r>
      <w:r w:rsidR="00A2120C" w:rsidRPr="009373DA">
        <w:t xml:space="preserve">zademonstrowania tych korzyści zanim </w:t>
      </w:r>
      <w:proofErr w:type="spellStart"/>
      <w:r w:rsidR="00A2120C" w:rsidRPr="009373DA">
        <w:t>współprawodawcy</w:t>
      </w:r>
      <w:proofErr w:type="spellEnd"/>
      <w:r w:rsidR="00A2120C" w:rsidRPr="009373DA">
        <w:t xml:space="preserve"> UE zdecydują czy w ogóle wprowadzać cyfrowe euro, które osiągnie właściwą równowagę w zakresie, między innymi, limitów utrzymywanych kwot</w:t>
      </w:r>
      <w:r w:rsidRPr="009373DA">
        <w:t>, ochrony prywatności, konkurencji w zakresie prywatnych rozwiązań pł</w:t>
      </w:r>
      <w:r w:rsidRPr="0035191D">
        <w:t xml:space="preserve">atniczych </w:t>
      </w:r>
      <w:proofErr w:type="gramStart"/>
      <w:r w:rsidRPr="0035191D">
        <w:t>i</w:t>
      </w:r>
      <w:proofErr w:type="gramEnd"/>
      <w:r w:rsidRPr="0035191D">
        <w:t xml:space="preserve"> użyteczności w kontekście działalności przedsiębiorstw;</w:t>
      </w:r>
    </w:p>
    <w:p w:rsidR="00A2120C" w:rsidRPr="009373DA" w:rsidRDefault="00A2120C" w:rsidP="00295436">
      <w:pPr>
        <w:pStyle w:val="NormalHanging12a"/>
      </w:pPr>
      <w:r w:rsidRPr="009373DA">
        <w:t>27.</w:t>
      </w:r>
      <w:r w:rsidRPr="009373DA">
        <w:tab/>
      </w:r>
      <w:proofErr w:type="gramStart"/>
      <w:r w:rsidRPr="009373DA">
        <w:t>domaga</w:t>
      </w:r>
      <w:proofErr w:type="gramEnd"/>
      <w:r w:rsidRPr="009373DA">
        <w:t xml:space="preserve"> się, by decyzja o wprowadzeniu cyfrowego euro nie była podejmowana wyłącznie przez Radę Prezesów EBC; uważa decyzję o wprowadzeniu cyfrowego euro za decyzję głównie polityczną, która musi zostać podjęta przez </w:t>
      </w:r>
      <w:proofErr w:type="spellStart"/>
      <w:r w:rsidR="009373DA">
        <w:t>współprawodawców</w:t>
      </w:r>
      <w:proofErr w:type="spellEnd"/>
      <w:r w:rsidR="009373DA" w:rsidRPr="00AA6BB7">
        <w:t xml:space="preserve"> UE</w:t>
      </w:r>
      <w:r w:rsidRPr="009373DA">
        <w:t>, biorąc pod uwagę jej głęboki potencjalny wpływ na wiele obszarów kompetencji UE, w tym prywatność, ochronę konsumentów, stabilność finansową, politykę finansową i inne obszary, które wykraczają poza ścisłe ramy polityki monetarnej;</w:t>
      </w:r>
    </w:p>
    <w:p w:rsidR="00295436" w:rsidRPr="009373DA" w:rsidRDefault="00295436" w:rsidP="00295436">
      <w:pPr>
        <w:pStyle w:val="NormalHanging12a"/>
      </w:pPr>
      <w:r w:rsidRPr="0035191D">
        <w:t>2</w:t>
      </w:r>
      <w:r w:rsidR="00A2120C">
        <w:t>8</w:t>
      </w:r>
      <w:r w:rsidRPr="0035191D">
        <w:t>.</w:t>
      </w:r>
      <w:r w:rsidRPr="0035191D">
        <w:tab/>
      </w:r>
      <w:proofErr w:type="gramStart"/>
      <w:r w:rsidRPr="0035191D">
        <w:t>uważa</w:t>
      </w:r>
      <w:proofErr w:type="gramEnd"/>
      <w:r w:rsidRPr="0035191D">
        <w:t xml:space="preserve">, że cyfrowe euro odniesie sukces tylko wtedy, gdy zapewni obywatelom Europy wymierną wartość dodaną, którą obywatele będą w stanie zrozumieć; zauważa, że obecnie wielu obywateli europejskich albo nie słyszało o projekcie cyfrowego euro, albo pozostaje sceptycznych; </w:t>
      </w:r>
    </w:p>
    <w:p w:rsidR="00295436" w:rsidRPr="0035191D" w:rsidRDefault="00295436" w:rsidP="00295436">
      <w:pPr>
        <w:pStyle w:val="NormalHanging12a"/>
      </w:pPr>
      <w:r w:rsidRPr="009373DA">
        <w:lastRenderedPageBreak/>
        <w:t>2</w:t>
      </w:r>
      <w:r w:rsidR="00A2120C" w:rsidRPr="009373DA">
        <w:t>9</w:t>
      </w:r>
      <w:r w:rsidRPr="009373DA">
        <w:t>.</w:t>
      </w:r>
      <w:r w:rsidRPr="009373DA">
        <w:tab/>
      </w:r>
      <w:proofErr w:type="gramStart"/>
      <w:r w:rsidRPr="009373DA">
        <w:t>przypomina</w:t>
      </w:r>
      <w:proofErr w:type="gramEnd"/>
      <w:r w:rsidRPr="009373DA">
        <w:t xml:space="preserve">, że </w:t>
      </w:r>
      <w:r w:rsidR="00A2120C" w:rsidRPr="009373DA">
        <w:t>gotówka powinna pozostać</w:t>
      </w:r>
      <w:r w:rsidR="00A2120C" w:rsidRPr="00F460A2">
        <w:t xml:space="preserve"> </w:t>
      </w:r>
      <w:r w:rsidRPr="0035191D">
        <w:t>szeroko dostępna przez cały czas, aby zapewnić szeroki wybór środków płatniczych; w tym kontekście z zadowoleniem przyjmuje wniosek dotyczący rozporządzenia w sprawie stosowania gotówki euro jako prawnego środka płatniczego;</w:t>
      </w:r>
    </w:p>
    <w:p w:rsidR="00295436" w:rsidRPr="0035191D" w:rsidRDefault="00A2120C" w:rsidP="00295436">
      <w:pPr>
        <w:pStyle w:val="NormalHanging12a"/>
      </w:pPr>
      <w:r>
        <w:t>30</w:t>
      </w:r>
      <w:r w:rsidR="00295436" w:rsidRPr="0035191D">
        <w:t>.</w:t>
      </w:r>
      <w:r w:rsidR="00295436" w:rsidRPr="0035191D">
        <w:tab/>
      </w:r>
      <w:proofErr w:type="gramStart"/>
      <w:r w:rsidR="00295436" w:rsidRPr="0035191D">
        <w:t>podkreśla</w:t>
      </w:r>
      <w:proofErr w:type="gramEnd"/>
      <w:r w:rsidR="00295436" w:rsidRPr="0035191D">
        <w:t xml:space="preserve"> zapotrzebowanie na kosztowy model rekompensaty dla sektora bankowego, którego zadaniem jest praktyczne wdrożenie projektu cyfrowego euro; przypomina, że model rekompensaty musi gwarantować użytkownikom dostęp do euro bez opłat;</w:t>
      </w:r>
    </w:p>
    <w:p w:rsidR="00295436" w:rsidRPr="0035191D" w:rsidRDefault="00295436" w:rsidP="00295436">
      <w:pPr>
        <w:pStyle w:val="NormalHanging12a"/>
      </w:pPr>
      <w:r w:rsidRPr="0035191D">
        <w:t>3</w:t>
      </w:r>
      <w:r w:rsidR="00A2120C">
        <w:t>1</w:t>
      </w:r>
      <w:r w:rsidRPr="0035191D">
        <w:t>.</w:t>
      </w:r>
      <w:r w:rsidRPr="0035191D">
        <w:tab/>
      </w:r>
      <w:proofErr w:type="gramStart"/>
      <w:r w:rsidRPr="0035191D">
        <w:t>wzywa</w:t>
      </w:r>
      <w:proofErr w:type="gramEnd"/>
      <w:r w:rsidRPr="0035191D">
        <w:t xml:space="preserve"> EBC do należytego uwzględnienia obaw dotyczących stabilności finansowej i potencjalnych zmian w strukturze sektora finansowego wynikających z wprowadzenia cyfrowego euro; przypomina o znaczeniu utrzymywania limitów, aby nie stwarzać dodatkowego ryzyka dla bilansów banków, zwłaszcza w czasie kryzysu;</w:t>
      </w:r>
    </w:p>
    <w:p w:rsidR="00295436" w:rsidRPr="0035191D" w:rsidRDefault="00295436" w:rsidP="00295436">
      <w:pPr>
        <w:pStyle w:val="NormalHanging12a"/>
      </w:pPr>
      <w:r w:rsidRPr="0035191D">
        <w:t>3</w:t>
      </w:r>
      <w:r w:rsidR="00A2120C">
        <w:t>2</w:t>
      </w:r>
      <w:r w:rsidRPr="0035191D">
        <w:t>.</w:t>
      </w:r>
      <w:r w:rsidRPr="0035191D">
        <w:tab/>
      </w:r>
      <w:proofErr w:type="gramStart"/>
      <w:r w:rsidRPr="0035191D">
        <w:t>wzywa</w:t>
      </w:r>
      <w:proofErr w:type="gramEnd"/>
      <w:r w:rsidRPr="0035191D">
        <w:t xml:space="preserve"> EBC do postawienia na pierwszym miejscu solidnych zabezpieczeń prywatności, ustanawiając je złotym standardem dla prywatności cyfrowej waluty banku centralnego (CBDC), aby zapewnić zaufanie publiczne i rozwiać obawy obywateli dotyczące ochrony danych i autonomii;</w:t>
      </w:r>
    </w:p>
    <w:p w:rsidR="00295436" w:rsidRPr="0035191D" w:rsidRDefault="00295436" w:rsidP="00295436">
      <w:pPr>
        <w:pStyle w:val="Normal12a24b"/>
      </w:pPr>
      <w:r w:rsidRPr="0035191D">
        <w:rPr>
          <w:rStyle w:val="BoldItalic"/>
        </w:rPr>
        <w:t>Cele wtórne</w:t>
      </w:r>
    </w:p>
    <w:p w:rsidR="00295436" w:rsidRPr="0035191D" w:rsidRDefault="00295436" w:rsidP="00295436">
      <w:pPr>
        <w:pStyle w:val="NormalHanging12a"/>
      </w:pPr>
      <w:r w:rsidRPr="0035191D">
        <w:t>3</w:t>
      </w:r>
      <w:r w:rsidR="00A2120C">
        <w:t>3</w:t>
      </w:r>
      <w:r w:rsidRPr="0035191D">
        <w:t>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>, że wtórne cele UE nie są określone, jak zapisano w traktatach; zauważa, że wspierający charakter wtórnych celów EBC uzupełnia jego główny mandat; zgodnie z traktatami celem UE jest promowanie pokoju, jej wartości i dobrobytu jej obywateli, trwały rozwój gospodarczy oraz stabilność cen, społeczna gospodarka rynkowa o wysokiej konkurencyjności zmierzająca do pełnego zatrudnienia i postępu społecznego oraz wysoki poziom ochrony i poprawa stanu środowiska naturalnego;</w:t>
      </w:r>
    </w:p>
    <w:p w:rsidR="00295436" w:rsidRPr="0035191D" w:rsidRDefault="00295436" w:rsidP="00295436">
      <w:pPr>
        <w:pStyle w:val="NormalHanging12a"/>
      </w:pPr>
      <w:r w:rsidRPr="0035191D">
        <w:t>3</w:t>
      </w:r>
      <w:r w:rsidR="00A2120C">
        <w:t>4</w:t>
      </w:r>
      <w:r w:rsidRPr="0035191D">
        <w:t>.</w:t>
      </w:r>
      <w:r w:rsidRPr="0035191D">
        <w:tab/>
      </w:r>
      <w:proofErr w:type="gramStart"/>
      <w:r w:rsidRPr="0035191D">
        <w:t>przypomina</w:t>
      </w:r>
      <w:proofErr w:type="gramEnd"/>
      <w:r w:rsidRPr="0035191D">
        <w:t>, że bez uszczerbku dla głównego celu EBC traktaty zobowiązują go do wspierania ogólnych polityk gospodarczych Unii; wzywa EBC do przestrzegania swojego mandatu przy interpretowaniu celów wtórnych lub ich realizacji; podkreśla, że przekroczenie mandatu narusza niezależność polityczną EBC; uważa, że utrzymanie stabilności cen i stabilnych warunków makroekonomicznych sprzyja tworzeniu odpowiednich warunków do realizacji ogólnych celów polityki gospodarczej UE;</w:t>
      </w:r>
    </w:p>
    <w:p w:rsidR="00295436" w:rsidRPr="0035191D" w:rsidRDefault="00295436" w:rsidP="00295436">
      <w:pPr>
        <w:pStyle w:val="NormalHanging12a"/>
      </w:pPr>
      <w:r w:rsidRPr="0035191D">
        <w:t>3</w:t>
      </w:r>
      <w:r w:rsidR="00A2120C">
        <w:t>5</w:t>
      </w:r>
      <w:r w:rsidRPr="0035191D">
        <w:t>.</w:t>
      </w:r>
      <w:r w:rsidRPr="0035191D">
        <w:tab/>
      </w:r>
      <w:proofErr w:type="gramStart"/>
      <w:r w:rsidRPr="0035191D">
        <w:t>zaznacza</w:t>
      </w:r>
      <w:proofErr w:type="gramEnd"/>
      <w:r w:rsidRPr="0035191D">
        <w:t>, że cele wtórne EBC najlepiej osiąga się, gdy gospodarka rynkowa funkcjonuje w stabilnym otoczeniu makroekonomicznym opartym na przewidywalnych poziomach cen, które zachęcają do inwestycji; wzywa EBC do włączenia do raportu rocznego osobnego rozdziału poświęconego sposobowi, w jaki pojmował on i wdrożył cele wtórne;</w:t>
      </w:r>
    </w:p>
    <w:p w:rsidR="00295436" w:rsidRPr="0035191D" w:rsidRDefault="00295436" w:rsidP="00295436">
      <w:pPr>
        <w:pStyle w:val="NormalHanging12a"/>
      </w:pPr>
      <w:r w:rsidRPr="0035191D">
        <w:t>3</w:t>
      </w:r>
      <w:r w:rsidR="00A2120C">
        <w:t>6</w:t>
      </w:r>
      <w:r w:rsidRPr="0035191D">
        <w:t>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>, że EBC powinien zapobiegać zakłóceniom funkcji sygnalizacyjnej cen, która zapewnia efektywną alokację zasobów; zwraca się do EBC o dokładniejszą ocenę, w jakim stopniu zmiana klimatu wpływa na jego zdolność do utrzymania stabilności cen;</w:t>
      </w:r>
    </w:p>
    <w:p w:rsidR="00295436" w:rsidRPr="0035191D" w:rsidRDefault="00295436" w:rsidP="00295436">
      <w:pPr>
        <w:pStyle w:val="NormalHanging12a"/>
      </w:pPr>
      <w:r w:rsidRPr="0035191D">
        <w:t>3</w:t>
      </w:r>
      <w:r w:rsidR="00A2120C">
        <w:t>7</w:t>
      </w:r>
      <w:r w:rsidRPr="0035191D">
        <w:t>.</w:t>
      </w:r>
      <w:r w:rsidRPr="0035191D">
        <w:tab/>
      </w:r>
      <w:proofErr w:type="gramStart"/>
      <w:r w:rsidR="00A2120C" w:rsidRPr="009373DA">
        <w:t>wzywa</w:t>
      </w:r>
      <w:proofErr w:type="gramEnd"/>
      <w:r w:rsidR="00A2120C" w:rsidRPr="009373DA">
        <w:t xml:space="preserve"> EBC do respektowania podejścia opartego na neutralności rynkowej w operacjach monetarnych, zauważając jednocześnie, że EBC uznaje neutralność rynkową za instrument operacyjny, a nie wymóg prawny</w:t>
      </w:r>
      <w:r w:rsidRPr="0035191D">
        <w:t xml:space="preserve">; </w:t>
      </w:r>
    </w:p>
    <w:p w:rsidR="00295436" w:rsidRPr="0035191D" w:rsidRDefault="00295436" w:rsidP="00295436">
      <w:pPr>
        <w:pStyle w:val="NormalHanging12a"/>
      </w:pPr>
      <w:r w:rsidRPr="0035191D">
        <w:lastRenderedPageBreak/>
        <w:t>3</w:t>
      </w:r>
      <w:r w:rsidR="00A2120C">
        <w:t>8</w:t>
      </w:r>
      <w:r w:rsidRPr="0035191D">
        <w:t>.</w:t>
      </w:r>
      <w:r w:rsidRPr="0035191D">
        <w:tab/>
      </w:r>
      <w:proofErr w:type="gramStart"/>
      <w:r w:rsidRPr="0035191D">
        <w:t>stwierdza</w:t>
      </w:r>
      <w:proofErr w:type="gramEnd"/>
      <w:r w:rsidRPr="0035191D">
        <w:t>, że działania EBC mające na celu dekarbonizację posiadanych przez niego obligacji korporacyjnych nie były zgodne z podejściem ściśle neutralnym pod względem rynkowym;</w:t>
      </w:r>
    </w:p>
    <w:p w:rsidR="00295436" w:rsidRPr="0035191D" w:rsidRDefault="00295436" w:rsidP="00295436">
      <w:pPr>
        <w:pStyle w:val="NormalHanging12a"/>
      </w:pPr>
      <w:r w:rsidRPr="0035191D">
        <w:t>3</w:t>
      </w:r>
      <w:r w:rsidR="00A2120C">
        <w:t>9</w:t>
      </w:r>
      <w:r w:rsidRPr="0035191D">
        <w:t>.</w:t>
      </w:r>
      <w:r w:rsidRPr="0035191D">
        <w:tab/>
      </w:r>
      <w:proofErr w:type="gramStart"/>
      <w:r w:rsidRPr="0035191D">
        <w:t>zachęca</w:t>
      </w:r>
      <w:proofErr w:type="gramEnd"/>
      <w:r w:rsidRPr="0035191D">
        <w:t xml:space="preserve"> EBC do przeglądu jego strategii, aby upewnić się, że wspomniane działania promują konkurencyjność UE i w najmniejszym stopniu nie zagrażają głównemu celowi EBC;</w:t>
      </w:r>
    </w:p>
    <w:p w:rsidR="00295436" w:rsidRPr="0035191D" w:rsidRDefault="00A2120C" w:rsidP="00295436">
      <w:pPr>
        <w:pStyle w:val="NormalHanging12a"/>
      </w:pPr>
      <w:r>
        <w:t>40</w:t>
      </w:r>
      <w:r w:rsidR="00295436" w:rsidRPr="0035191D">
        <w:t>.</w:t>
      </w:r>
      <w:r w:rsidR="00295436" w:rsidRPr="0035191D">
        <w:tab/>
      </w:r>
      <w:proofErr w:type="gramStart"/>
      <w:r w:rsidR="00295436" w:rsidRPr="0035191D">
        <w:t>wzywa</w:t>
      </w:r>
      <w:proofErr w:type="gramEnd"/>
      <w:r w:rsidR="00295436" w:rsidRPr="0035191D">
        <w:t xml:space="preserve"> EBC do wykorzystania wszystkich dostępnych mu narzędzi, by zagwarantować, że banki poważnie potraktują ryzyko finansowe i zewnętrzne, w tym ryzyko klimatyczne i geopolityczne; z zadowoleniem przyjmuje działania EBC na rzecz dalszego udoskonalenia narzędzi i zdolności Eurosystemu w zakresie oceny ryzyka, aby lepiej uwzględniać ryzyko związane ze zmianą klimatu i środowiskiem, zwłaszcza ze względu na to, że zmiana klimatu i ekstremalne zjawiska pogodowe mogą skutkować większą zmiennością cen, zwłaszcza w sektorze rolno-spożywczym; zachęca EBC, by kontynuował prace nad testami warunków skrajnych w zakresie ryzyka związanego z klimatem, opracowanymi w celu oceny odporności banków i przedsiębiorstw w obliczu ryzyka przejścia związanego </w:t>
      </w:r>
      <w:proofErr w:type="gramStart"/>
      <w:r w:rsidR="00295436" w:rsidRPr="0035191D">
        <w:t>ze</w:t>
      </w:r>
      <w:proofErr w:type="gramEnd"/>
      <w:r w:rsidR="00295436" w:rsidRPr="0035191D">
        <w:t xml:space="preserve"> zmianami klimatu;</w:t>
      </w:r>
    </w:p>
    <w:p w:rsidR="00295436" w:rsidRPr="0035191D" w:rsidRDefault="00295436" w:rsidP="00295436">
      <w:pPr>
        <w:pStyle w:val="NormalHanging12a"/>
      </w:pPr>
      <w:r w:rsidRPr="0035191D">
        <w:t>4</w:t>
      </w:r>
      <w:r w:rsidR="00A2120C">
        <w:t>1</w:t>
      </w:r>
      <w:r w:rsidRPr="0035191D">
        <w:t>.</w:t>
      </w:r>
      <w:r w:rsidRPr="0035191D">
        <w:tab/>
      </w:r>
      <w:proofErr w:type="gramStart"/>
      <w:r w:rsidRPr="0035191D">
        <w:t>przyjmuje</w:t>
      </w:r>
      <w:proofErr w:type="gramEnd"/>
      <w:r w:rsidRPr="0035191D">
        <w:t xml:space="preserve"> do wiadomości plan na rzecz klimatu i przyrody na lata 2024–2025; zwraca się do EBC o sporządzenie planu geopolitycznego na lata 2025–2030, aby lepiej zrozumieć wpływ wojny i konfliktu na stabilność cen oraz jednakowo traktować wszystkie potencjalne źródła wstrząsów zewnętrznych;</w:t>
      </w:r>
    </w:p>
    <w:p w:rsidR="00295436" w:rsidRPr="0035191D" w:rsidRDefault="00295436" w:rsidP="00295436">
      <w:pPr>
        <w:pStyle w:val="Normal12a24b"/>
      </w:pPr>
      <w:r w:rsidRPr="0035191D">
        <w:rPr>
          <w:rStyle w:val="BoldItalic"/>
        </w:rPr>
        <w:t>Inne aspekty</w:t>
      </w:r>
    </w:p>
    <w:p w:rsidR="00295436" w:rsidRPr="0035191D" w:rsidRDefault="00295436" w:rsidP="00295436">
      <w:pPr>
        <w:pStyle w:val="NormalHanging12a"/>
      </w:pPr>
      <w:r w:rsidRPr="0035191D">
        <w:t>4</w:t>
      </w:r>
      <w:r w:rsidR="00A2120C">
        <w:t>2</w:t>
      </w:r>
      <w:r w:rsidRPr="0035191D">
        <w:t>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>, że wzmocnienie międzynarodowej roli euro doprowadziłoby do obniżenia stóp procentowych w strefie euro, zwiększenia prestiżu UE na arenie międzynarodowej i jej stabilności makroekonomicznej; przypomina, że wzmocnienie międzynarodowej roli euro przyczyniłoby się do zwiększenia strategicznej autonomii Unii;</w:t>
      </w:r>
    </w:p>
    <w:p w:rsidR="00295436" w:rsidRPr="0035191D" w:rsidRDefault="00295436" w:rsidP="00295436">
      <w:pPr>
        <w:pStyle w:val="NormalHanging12a"/>
      </w:pPr>
      <w:r w:rsidRPr="0035191D">
        <w:t>4</w:t>
      </w:r>
      <w:r w:rsidR="00225FB9">
        <w:t>3</w:t>
      </w:r>
      <w:r w:rsidRPr="0035191D">
        <w:t>.</w:t>
      </w:r>
      <w:r w:rsidRPr="0035191D">
        <w:tab/>
      </w:r>
      <w:proofErr w:type="gramStart"/>
      <w:r w:rsidRPr="0035191D">
        <w:t>wzywa</w:t>
      </w:r>
      <w:proofErr w:type="gramEnd"/>
      <w:r w:rsidRPr="0035191D">
        <w:t xml:space="preserve"> EBC, aby zastanowił się nad wzmocnieniem międzynarodowej roli euro, aby zwiększyć jego atrakcyjność jako waluty rezerwowej i wesprzeć tendencje rynkowe w tym kierunku; stwierdza, że ukończenie unii gospodarczej i walutowej mogłoby wzmocnić międzynarodową pozycję euro;</w:t>
      </w:r>
    </w:p>
    <w:p w:rsidR="00295436" w:rsidRPr="0035191D" w:rsidRDefault="00295436" w:rsidP="00295436">
      <w:pPr>
        <w:pStyle w:val="NormalHanging12a"/>
      </w:pPr>
      <w:r w:rsidRPr="0035191D">
        <w:t>4</w:t>
      </w:r>
      <w:r w:rsidR="00225FB9">
        <w:t>4</w:t>
      </w:r>
      <w:r w:rsidRPr="0035191D">
        <w:t>.</w:t>
      </w:r>
      <w:r w:rsidRPr="0035191D">
        <w:tab/>
      </w:r>
      <w:proofErr w:type="gramStart"/>
      <w:r w:rsidRPr="0035191D">
        <w:t>odnotowuje</w:t>
      </w:r>
      <w:proofErr w:type="gramEnd"/>
      <w:r w:rsidRPr="0035191D">
        <w:t xml:space="preserve"> poparcie EBC dla ustanowienia pełnoprawnego europejskiego systemu gwarantowania depozytów; przyznaje, że podział ryzyka i ograniczanie ryzyka są ze sobą powiązane;</w:t>
      </w:r>
    </w:p>
    <w:p w:rsidR="00295436" w:rsidRPr="0035191D" w:rsidRDefault="00295436" w:rsidP="00295436">
      <w:pPr>
        <w:pStyle w:val="NormalHanging12a"/>
      </w:pPr>
      <w:r w:rsidRPr="0035191D">
        <w:t>4</w:t>
      </w:r>
      <w:r w:rsidR="00225FB9">
        <w:t>5</w:t>
      </w:r>
      <w:r w:rsidRPr="0035191D">
        <w:t>.</w:t>
      </w:r>
      <w:r w:rsidRPr="0035191D">
        <w:tab/>
      </w:r>
      <w:proofErr w:type="gramStart"/>
      <w:r w:rsidRPr="0035191D">
        <w:t>z</w:t>
      </w:r>
      <w:proofErr w:type="gramEnd"/>
      <w:r w:rsidRPr="0035191D">
        <w:t xml:space="preserve"> zadowoleniem przyjmuje należytą uwagę, jaką EBC poświęca zagrożeniom związanym z cyberatakami; wzywa EBC do zapewnienia bezpieczeństwa i ochrony systemu monetarnego, zwłaszcza w świetle bieżących wydarzeń geopolitycznych;</w:t>
      </w:r>
    </w:p>
    <w:p w:rsidR="00295436" w:rsidRPr="0035191D" w:rsidRDefault="00295436" w:rsidP="00295436">
      <w:pPr>
        <w:pStyle w:val="NormalHanging12a"/>
      </w:pPr>
      <w:r w:rsidRPr="0035191D">
        <w:t>4</w:t>
      </w:r>
      <w:r w:rsidR="00225FB9">
        <w:t>6</w:t>
      </w:r>
      <w:r w:rsidRPr="0035191D">
        <w:t>.</w:t>
      </w:r>
      <w:r w:rsidRPr="0035191D">
        <w:tab/>
      </w:r>
      <w:proofErr w:type="gramStart"/>
      <w:r w:rsidRPr="0035191D">
        <w:t>uważa</w:t>
      </w:r>
      <w:proofErr w:type="gramEnd"/>
      <w:r w:rsidRPr="0035191D">
        <w:t>, że stabilność finansowa jest warunkiem wstępnym skutecznej polityki monetarnej i odpornego systemu finansowego; z zadowoleniem przyjmuje ukończenie pakietu Bazylea III i jego wdrożenie od 1 stycznia 2025 r., ponieważ może on wzmocnić odporność sektora bankowego w tym względzie; zauważa opóźnienia we wdrażaniu i brak jasności co do wdrażania go przez niektóre inne jurysdykcje, co skutkuje nierównymi warunkami działania na szczeblu globalnym;</w:t>
      </w:r>
    </w:p>
    <w:p w:rsidR="00295436" w:rsidRPr="0035191D" w:rsidRDefault="00295436" w:rsidP="00295436">
      <w:pPr>
        <w:pStyle w:val="NormalHanging12a"/>
      </w:pPr>
      <w:r w:rsidRPr="0035191D">
        <w:lastRenderedPageBreak/>
        <w:t>4</w:t>
      </w:r>
      <w:r w:rsidR="00225FB9">
        <w:t>7</w:t>
      </w:r>
      <w:r w:rsidRPr="0035191D">
        <w:t>.</w:t>
      </w:r>
      <w:r w:rsidRPr="0035191D">
        <w:tab/>
      </w:r>
      <w:proofErr w:type="gramStart"/>
      <w:r w:rsidRPr="0035191D">
        <w:t>dostrzega</w:t>
      </w:r>
      <w:proofErr w:type="gramEnd"/>
      <w:r w:rsidRPr="0035191D">
        <w:t xml:space="preserve"> obawy EBC co do rozwoju sektora działalności </w:t>
      </w:r>
      <w:proofErr w:type="spellStart"/>
      <w:r w:rsidRPr="0035191D">
        <w:t>parabankowej</w:t>
      </w:r>
      <w:proofErr w:type="spellEnd"/>
      <w:r w:rsidRPr="0035191D">
        <w:t xml:space="preserve"> i ryzyka, jakie może on stanowić dla stabilności finansowej;</w:t>
      </w:r>
    </w:p>
    <w:p w:rsidR="00295436" w:rsidRPr="0035191D" w:rsidRDefault="00295436" w:rsidP="00295436">
      <w:pPr>
        <w:pStyle w:val="NormalHanging12a"/>
      </w:pPr>
      <w:r w:rsidRPr="0035191D">
        <w:t>4</w:t>
      </w:r>
      <w:r w:rsidR="00225FB9">
        <w:t>8</w:t>
      </w:r>
      <w:r w:rsidRPr="0035191D">
        <w:t>.</w:t>
      </w:r>
      <w:r w:rsidRPr="0035191D">
        <w:tab/>
      </w:r>
      <w:proofErr w:type="gramStart"/>
      <w:r w:rsidRPr="0035191D">
        <w:t>zachęca</w:t>
      </w:r>
      <w:proofErr w:type="gramEnd"/>
      <w:r w:rsidRPr="0035191D">
        <w:t xml:space="preserve"> do współpracy z państwami członkowskimi i krajowymi bankami centralnymi w zakresie programów dotyczących wiedzy finansowej, aby umożliwić osobom fizycznym i przedsiębiorstwom podejmowanie świadomych decyzji finansowych;</w:t>
      </w:r>
    </w:p>
    <w:p w:rsidR="00295436" w:rsidRPr="0035191D" w:rsidRDefault="00295436" w:rsidP="00295436">
      <w:pPr>
        <w:pStyle w:val="NormalHanging12a"/>
      </w:pPr>
      <w:r w:rsidRPr="0035191D">
        <w:t>4</w:t>
      </w:r>
      <w:r w:rsidR="00225FB9">
        <w:t>9</w:t>
      </w:r>
      <w:r w:rsidRPr="0035191D">
        <w:t>.</w:t>
      </w:r>
      <w:r w:rsidRPr="0035191D">
        <w:tab/>
      </w:r>
      <w:proofErr w:type="gramStart"/>
      <w:r w:rsidRPr="0035191D">
        <w:t>ubolewa</w:t>
      </w:r>
      <w:proofErr w:type="gramEnd"/>
      <w:r w:rsidRPr="0035191D">
        <w:t>, że w Zarządzie i Radzie Prezesów EBC zasiadają tylko dwie kobiety; przypomina, że nominacje do Zarządu powinny być zrównoważone pod względem płci, a listy kandydatur powinny być przedstawiane Parlamentowi; wzywa państwa członkowskie należące do strefy euro do lepszego przestrzegania zasad równouprawnienia płci w procedurach nominacji, tak aby obie płcie miały równe szanse na pełnienie funkcji prezesa krajowego banku centralnego;</w:t>
      </w:r>
    </w:p>
    <w:p w:rsidR="00295436" w:rsidRPr="0035191D" w:rsidRDefault="00225FB9" w:rsidP="00295436">
      <w:pPr>
        <w:pStyle w:val="NormalHanging12a"/>
      </w:pPr>
      <w:r>
        <w:t>50</w:t>
      </w:r>
      <w:r w:rsidR="00295436" w:rsidRPr="0035191D">
        <w:t>.</w:t>
      </w:r>
      <w:r w:rsidR="00295436" w:rsidRPr="0035191D">
        <w:tab/>
      </w:r>
      <w:proofErr w:type="gramStart"/>
      <w:r w:rsidR="00295436" w:rsidRPr="0035191D">
        <w:t>przypomina</w:t>
      </w:r>
      <w:proofErr w:type="gramEnd"/>
      <w:r w:rsidR="00295436" w:rsidRPr="0035191D">
        <w:t>, że nominacje do EBC powinny opierać się na obiektywnych procedurach oceny zasług i umiejętności;</w:t>
      </w:r>
    </w:p>
    <w:p w:rsidR="00295436" w:rsidRPr="0035191D" w:rsidRDefault="00295436" w:rsidP="00295436">
      <w:pPr>
        <w:pStyle w:val="NormalHanging12a"/>
      </w:pPr>
      <w:r w:rsidRPr="0035191D">
        <w:t>5</w:t>
      </w:r>
      <w:r w:rsidR="00225FB9">
        <w:t>1</w:t>
      </w:r>
      <w:r w:rsidRPr="0035191D">
        <w:t>.</w:t>
      </w:r>
      <w:r w:rsidRPr="0035191D">
        <w:tab/>
      </w:r>
      <w:proofErr w:type="gramStart"/>
      <w:r w:rsidRPr="0035191D">
        <w:t>popiera</w:t>
      </w:r>
      <w:proofErr w:type="gramEnd"/>
      <w:r w:rsidRPr="0035191D">
        <w:t xml:space="preserve"> cel EBC polegający na zwiększeniu reprezentacji kobiet poprzez zachęcanie ich do angażowania się w jego działalność; w związku z tym z zadowoleniem przyjmuje inicjatywy takie jak stypendium EBC „Kobiety w dziedzinie ekonomii”;</w:t>
      </w:r>
    </w:p>
    <w:p w:rsidR="00295436" w:rsidRPr="0035191D" w:rsidRDefault="00295436" w:rsidP="00295436">
      <w:pPr>
        <w:pStyle w:val="NormalHanging12a"/>
      </w:pPr>
      <w:r w:rsidRPr="0035191D">
        <w:t>5</w:t>
      </w:r>
      <w:r w:rsidR="00225FB9">
        <w:t>2</w:t>
      </w:r>
      <w:r w:rsidRPr="0035191D">
        <w:t>.</w:t>
      </w:r>
      <w:r w:rsidRPr="0035191D">
        <w:tab/>
      </w:r>
      <w:proofErr w:type="gramStart"/>
      <w:r w:rsidRPr="0035191D">
        <w:t>podkreśla</w:t>
      </w:r>
      <w:proofErr w:type="gramEnd"/>
      <w:r w:rsidRPr="0035191D">
        <w:t xml:space="preserve">, że ostatni „Financial </w:t>
      </w:r>
      <w:proofErr w:type="spellStart"/>
      <w:r w:rsidRPr="0035191D">
        <w:t>Stability</w:t>
      </w:r>
      <w:proofErr w:type="spellEnd"/>
      <w:r w:rsidRPr="0035191D">
        <w:t xml:space="preserve"> </w:t>
      </w:r>
      <w:proofErr w:type="spellStart"/>
      <w:r w:rsidRPr="0035191D">
        <w:t>Review</w:t>
      </w:r>
      <w:proofErr w:type="spellEnd"/>
      <w:r w:rsidRPr="0035191D">
        <w:t>” opublikowany przez EBC w listopadzie 2024 r. budzi obawy co do ryzyka powstania bańki cenowej związanej ze sztuczną inteligencją (AI), biorąc pod uwagę koncentrację korzyści z AI w rękach kilku dużych przedsiębiorstw;</w:t>
      </w:r>
    </w:p>
    <w:p w:rsidR="00295436" w:rsidRPr="0035191D" w:rsidRDefault="00295436" w:rsidP="00295436">
      <w:pPr>
        <w:pStyle w:val="NormalHanging12a"/>
      </w:pPr>
      <w:r w:rsidRPr="0035191D">
        <w:t>5</w:t>
      </w:r>
      <w:r w:rsidR="00225FB9">
        <w:t>3</w:t>
      </w:r>
      <w:r w:rsidRPr="0035191D">
        <w:t>.</w:t>
      </w:r>
      <w:r w:rsidRPr="0035191D">
        <w:tab/>
      </w:r>
      <w:proofErr w:type="gramStart"/>
      <w:r w:rsidRPr="0035191D">
        <w:t>wzywa</w:t>
      </w:r>
      <w:proofErr w:type="gramEnd"/>
      <w:r w:rsidRPr="0035191D">
        <w:t xml:space="preserve"> do dalszego wzmocnienia wewnętrznego systemu informowania o nieprawidłowościach w EBC poprzez dostosowanie go do dyrektywy o ochronie sygnalistów;</w:t>
      </w:r>
    </w:p>
    <w:p w:rsidR="00295436" w:rsidRPr="0035191D" w:rsidRDefault="00295436" w:rsidP="00295436">
      <w:pPr>
        <w:pStyle w:val="NormalHanging12a"/>
      </w:pPr>
      <w:r w:rsidRPr="0035191D">
        <w:t>5</w:t>
      </w:r>
      <w:r w:rsidR="00225FB9">
        <w:t>4</w:t>
      </w:r>
      <w:r w:rsidRPr="0035191D">
        <w:t>.</w:t>
      </w:r>
      <w:r w:rsidRPr="0035191D">
        <w:tab/>
      </w:r>
      <w:proofErr w:type="gramStart"/>
      <w:r w:rsidRPr="0035191D">
        <w:t>zachęca</w:t>
      </w:r>
      <w:proofErr w:type="gramEnd"/>
      <w:r w:rsidRPr="0035191D">
        <w:t xml:space="preserve"> ESBC do kontynuowania i wzmacniania dialogu z parlamentami narodowymi, co jego zdaniem poprawi legitymację i politykę ESBC;</w:t>
      </w:r>
    </w:p>
    <w:p w:rsidR="00295436" w:rsidRPr="0035191D" w:rsidRDefault="00295436" w:rsidP="00295436">
      <w:pPr>
        <w:pStyle w:val="NormalCenter12a"/>
      </w:pPr>
      <w:r w:rsidRPr="0035191D">
        <w:t>°</w:t>
      </w:r>
    </w:p>
    <w:p w:rsidR="00295436" w:rsidRPr="0035191D" w:rsidRDefault="00295436" w:rsidP="00295436">
      <w:pPr>
        <w:pStyle w:val="NormalCenter12a"/>
      </w:pPr>
      <w:r w:rsidRPr="0035191D">
        <w:t>°</w:t>
      </w:r>
      <w:r w:rsidRPr="0035191D">
        <w:tab/>
        <w:t>°</w:t>
      </w:r>
    </w:p>
    <w:p w:rsidR="0035191D" w:rsidRPr="0035191D" w:rsidRDefault="00295436" w:rsidP="0035191D">
      <w:pPr>
        <w:pStyle w:val="NormalHanging12a"/>
      </w:pPr>
      <w:r w:rsidRPr="0035191D">
        <w:t>5</w:t>
      </w:r>
      <w:r w:rsidR="00225FB9">
        <w:t>5</w:t>
      </w:r>
      <w:r w:rsidRPr="0035191D">
        <w:t>.</w:t>
      </w:r>
      <w:r w:rsidRPr="0035191D">
        <w:tab/>
      </w:r>
      <w:proofErr w:type="gramStart"/>
      <w:r w:rsidRPr="0035191D">
        <w:t>zobowiązuje</w:t>
      </w:r>
      <w:proofErr w:type="gramEnd"/>
      <w:r w:rsidRPr="0035191D">
        <w:t xml:space="preserve"> swoją przewodniczącą do przekazania niniejszej rezolucji Radzie, Komisji oraz Europejskiemu Bankowi Centralnemu.</w:t>
      </w:r>
    </w:p>
    <w:p w:rsidR="00E365E1" w:rsidRPr="0035191D" w:rsidRDefault="00E365E1" w:rsidP="009312E4"/>
    <w:sectPr w:rsidR="00E365E1" w:rsidRPr="0035191D" w:rsidSect="0035191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2E4" w:rsidRPr="0035191D" w:rsidRDefault="009312E4">
      <w:r w:rsidRPr="0035191D">
        <w:separator/>
      </w:r>
    </w:p>
  </w:endnote>
  <w:endnote w:type="continuationSeparator" w:id="0">
    <w:p w:rsidR="009312E4" w:rsidRPr="0035191D" w:rsidRDefault="009312E4">
      <w:r w:rsidRPr="003519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19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19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19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2E4" w:rsidRPr="0035191D" w:rsidRDefault="009312E4">
      <w:r w:rsidRPr="0035191D">
        <w:separator/>
      </w:r>
    </w:p>
  </w:footnote>
  <w:footnote w:type="continuationSeparator" w:id="0">
    <w:p w:rsidR="009312E4" w:rsidRPr="0035191D" w:rsidRDefault="009312E4">
      <w:r w:rsidRPr="0035191D">
        <w:continuationSeparator/>
      </w:r>
    </w:p>
  </w:footnote>
  <w:footnote w:id="1">
    <w:p w:rsidR="00295436" w:rsidRPr="0035191D" w:rsidRDefault="00295436" w:rsidP="0035191D">
      <w:pPr>
        <w:pStyle w:val="FootnoteText"/>
        <w:ind w:left="567" w:hanging="567"/>
        <w:rPr>
          <w:sz w:val="24"/>
          <w:lang w:val="pl-PL"/>
        </w:rPr>
      </w:pPr>
      <w:r w:rsidRPr="0035191D">
        <w:rPr>
          <w:rStyle w:val="FootnoteReference"/>
          <w:sz w:val="24"/>
          <w:lang w:val="pl-PL"/>
        </w:rPr>
        <w:footnoteRef/>
      </w:r>
      <w:r w:rsidR="0035191D" w:rsidRPr="0035191D">
        <w:rPr>
          <w:sz w:val="24"/>
          <w:lang w:val="pl-PL"/>
        </w:rPr>
        <w:t xml:space="preserve"> </w:t>
      </w:r>
      <w:r w:rsidR="0035191D" w:rsidRPr="0035191D">
        <w:rPr>
          <w:sz w:val="24"/>
          <w:lang w:val="pl-PL"/>
        </w:rPr>
        <w:tab/>
      </w:r>
      <w:r w:rsidRPr="0035191D">
        <w:rPr>
          <w:sz w:val="24"/>
          <w:lang w:val="pl-PL"/>
        </w:rPr>
        <w:t xml:space="preserve">Dz.U. C 283 z 11.8.2023, </w:t>
      </w:r>
      <w:proofErr w:type="gramStart"/>
      <w:r w:rsidRPr="0035191D">
        <w:rPr>
          <w:sz w:val="24"/>
          <w:lang w:val="pl-PL"/>
        </w:rPr>
        <w:t>s</w:t>
      </w:r>
      <w:proofErr w:type="gramEnd"/>
      <w:r w:rsidRPr="0035191D">
        <w:rPr>
          <w:sz w:val="24"/>
          <w:lang w:val="pl-PL"/>
        </w:rPr>
        <w:t>. 40.</w:t>
      </w:r>
    </w:p>
  </w:footnote>
  <w:footnote w:id="2">
    <w:p w:rsidR="00295436" w:rsidRPr="0035191D" w:rsidRDefault="00295436" w:rsidP="0035191D">
      <w:pPr>
        <w:pStyle w:val="FootnoteText"/>
        <w:ind w:left="567" w:hanging="567"/>
        <w:rPr>
          <w:sz w:val="24"/>
          <w:lang w:val="pl-PL"/>
        </w:rPr>
      </w:pPr>
      <w:r w:rsidRPr="0035191D">
        <w:rPr>
          <w:rStyle w:val="FootnoteReference"/>
          <w:sz w:val="24"/>
          <w:lang w:val="pl-PL"/>
        </w:rPr>
        <w:footnoteRef/>
      </w:r>
      <w:r w:rsidR="0035191D" w:rsidRPr="0035191D">
        <w:rPr>
          <w:sz w:val="24"/>
          <w:lang w:val="pl-PL"/>
        </w:rPr>
        <w:t xml:space="preserve"> </w:t>
      </w:r>
      <w:r w:rsidR="0035191D" w:rsidRPr="0035191D">
        <w:rPr>
          <w:sz w:val="24"/>
          <w:lang w:val="pl-PL"/>
        </w:rPr>
        <w:tab/>
      </w:r>
      <w:r w:rsidRPr="0035191D">
        <w:rPr>
          <w:sz w:val="24"/>
          <w:lang w:val="pl-PL"/>
        </w:rPr>
        <w:t xml:space="preserve">Teksty przyjęte, Dz.U. C, C/2024/6738, 26.11.2024, ELI: </w:t>
      </w:r>
      <w:hyperlink r:id="rId1" w:history="1">
        <w:r w:rsidR="009373DA" w:rsidRPr="009373DA">
          <w:rPr>
            <w:rStyle w:val="Hyperlink"/>
            <w:sz w:val="24"/>
            <w:lang w:val="pl-PL"/>
          </w:rPr>
          <w:t>http://data.europa.eu/eli/C/2024/6738/oj</w:t>
        </w:r>
      </w:hyperlink>
      <w:r w:rsidRPr="0035191D">
        <w:rPr>
          <w:sz w:val="24"/>
          <w:lang w:val="pl-PL"/>
        </w:rPr>
        <w:t>.</w:t>
      </w:r>
    </w:p>
  </w:footnote>
  <w:footnote w:id="3">
    <w:p w:rsidR="00295436" w:rsidRPr="00821CDF" w:rsidRDefault="00295436" w:rsidP="0035191D">
      <w:pPr>
        <w:pStyle w:val="FootnoteText"/>
        <w:ind w:left="567" w:hanging="567"/>
        <w:rPr>
          <w:sz w:val="24"/>
          <w:lang w:val="fi-FI"/>
        </w:rPr>
      </w:pPr>
      <w:r w:rsidRPr="0035191D">
        <w:rPr>
          <w:rStyle w:val="FootnoteReference"/>
          <w:sz w:val="24"/>
          <w:lang w:val="pl-PL"/>
        </w:rPr>
        <w:footnoteRef/>
      </w:r>
      <w:r w:rsidR="0035191D" w:rsidRPr="00821CDF">
        <w:rPr>
          <w:sz w:val="24"/>
          <w:lang w:val="fi-FI"/>
        </w:rPr>
        <w:t xml:space="preserve"> </w:t>
      </w:r>
      <w:r w:rsidR="0035191D" w:rsidRPr="00821CDF">
        <w:rPr>
          <w:sz w:val="24"/>
          <w:lang w:val="fi-FI"/>
        </w:rPr>
        <w:tab/>
      </w:r>
      <w:hyperlink r:id="rId2" w:history="1">
        <w:r w:rsidRPr="00821CDF">
          <w:rPr>
            <w:sz w:val="24"/>
            <w:u w:color="0000FF"/>
            <w:lang w:val="fi-FI"/>
          </w:rPr>
          <w:t>Dz.U. L</w:t>
        </w:r>
        <w:r w:rsidR="00821CDF" w:rsidRPr="00821CDF">
          <w:rPr>
            <w:sz w:val="24"/>
            <w:u w:color="0000FF"/>
            <w:lang w:val="fi-FI"/>
          </w:rPr>
          <w:t>,</w:t>
        </w:r>
        <w:r w:rsidRPr="00821CDF">
          <w:rPr>
            <w:sz w:val="24"/>
            <w:u w:color="0000FF"/>
            <w:lang w:val="fi-FI"/>
          </w:rPr>
          <w:t xml:space="preserve"> </w:t>
        </w:r>
        <w:r w:rsidR="00821CDF" w:rsidRPr="00821CDF">
          <w:rPr>
            <w:sz w:val="24"/>
            <w:u w:color="0000FF"/>
            <w:lang w:val="fi-FI"/>
          </w:rPr>
          <w:t>2024/</w:t>
        </w:r>
        <w:r w:rsidRPr="00821CDF">
          <w:rPr>
            <w:sz w:val="24"/>
            <w:u w:color="0000FF"/>
            <w:lang w:val="fi-FI"/>
          </w:rPr>
          <w:t>1623</w:t>
        </w:r>
        <w:r w:rsidR="00821CDF" w:rsidRPr="00821CDF">
          <w:rPr>
            <w:sz w:val="24"/>
            <w:u w:color="0000FF"/>
            <w:lang w:val="fi-FI"/>
          </w:rPr>
          <w:t>,</w:t>
        </w:r>
        <w:r w:rsidRPr="00821CDF">
          <w:rPr>
            <w:sz w:val="24"/>
            <w:u w:color="0000FF"/>
            <w:lang w:val="fi-FI"/>
          </w:rPr>
          <w:t xml:space="preserve"> 19.6.2024, ELI:</w:t>
        </w:r>
      </w:hyperlink>
      <w:hyperlink r:id="rId3" w:history="1">
        <w:r w:rsidRPr="00821CDF">
          <w:rPr>
            <w:color w:val="0000FF"/>
            <w:sz w:val="24"/>
            <w:u w:val="single" w:color="0000FF"/>
            <w:lang w:val="fi-FI"/>
          </w:rPr>
          <w:t xml:space="preserve"> http://data.europa.eu/eli/reg/2024/1623/oj.</w:t>
        </w:r>
      </w:hyperlink>
    </w:p>
  </w:footnote>
  <w:footnote w:id="4">
    <w:p w:rsidR="00295436" w:rsidRPr="0035191D" w:rsidRDefault="00295436" w:rsidP="0035191D">
      <w:pPr>
        <w:pStyle w:val="FootnoteText"/>
        <w:ind w:left="567" w:hanging="567"/>
        <w:rPr>
          <w:sz w:val="24"/>
          <w:lang w:val="pl-PL"/>
        </w:rPr>
      </w:pPr>
      <w:r w:rsidRPr="0035191D">
        <w:rPr>
          <w:rStyle w:val="FootnoteReference"/>
          <w:sz w:val="24"/>
          <w:lang w:val="pl-PL"/>
        </w:rPr>
        <w:footnoteRef/>
      </w:r>
      <w:r w:rsidR="0035191D" w:rsidRPr="0035191D">
        <w:rPr>
          <w:sz w:val="24"/>
          <w:lang w:val="pl-PL"/>
        </w:rPr>
        <w:t xml:space="preserve"> </w:t>
      </w:r>
      <w:r w:rsidR="0035191D" w:rsidRPr="0035191D">
        <w:rPr>
          <w:sz w:val="24"/>
          <w:lang w:val="pl-PL"/>
        </w:rPr>
        <w:tab/>
      </w:r>
      <w:hyperlink r:id="rId4" w:history="1">
        <w:r w:rsidRPr="009373DA">
          <w:rPr>
            <w:sz w:val="24"/>
            <w:u w:color="0000FF"/>
            <w:lang w:val="pl-PL"/>
          </w:rPr>
          <w:t xml:space="preserve">Dz.U. </w:t>
        </w:r>
        <w:r w:rsidRPr="009373DA">
          <w:rPr>
            <w:sz w:val="24"/>
            <w:u w:color="0000FF"/>
            <w:lang w:val="pl-PL"/>
          </w:rPr>
          <w:t>L</w:t>
        </w:r>
        <w:r w:rsidR="00821CDF">
          <w:rPr>
            <w:sz w:val="24"/>
            <w:u w:color="0000FF"/>
            <w:lang w:val="pl-PL"/>
          </w:rPr>
          <w:t>,</w:t>
        </w:r>
        <w:r w:rsidRPr="009373DA">
          <w:rPr>
            <w:sz w:val="24"/>
            <w:u w:color="0000FF"/>
            <w:lang w:val="pl-PL"/>
          </w:rPr>
          <w:t xml:space="preserve"> </w:t>
        </w:r>
        <w:r w:rsidR="00821CDF">
          <w:rPr>
            <w:sz w:val="24"/>
            <w:u w:color="0000FF"/>
            <w:lang w:val="pl-PL"/>
          </w:rPr>
          <w:t>2024/</w:t>
        </w:r>
        <w:r w:rsidRPr="009373DA">
          <w:rPr>
            <w:sz w:val="24"/>
            <w:u w:color="0000FF"/>
            <w:lang w:val="pl-PL"/>
          </w:rPr>
          <w:t>1619</w:t>
        </w:r>
        <w:r w:rsidR="00821CDF">
          <w:rPr>
            <w:sz w:val="24"/>
            <w:u w:color="0000FF"/>
            <w:lang w:val="pl-PL"/>
          </w:rPr>
          <w:t>,</w:t>
        </w:r>
        <w:bookmarkStart w:id="6" w:name="_GoBack"/>
        <w:bookmarkEnd w:id="6"/>
        <w:r w:rsidRPr="009373DA">
          <w:rPr>
            <w:sz w:val="24"/>
            <w:u w:color="0000FF"/>
            <w:lang w:val="pl-PL"/>
          </w:rPr>
          <w:t xml:space="preserve"> 19.6.2024, ELI:</w:t>
        </w:r>
      </w:hyperlink>
      <w:hyperlink r:id="rId5" w:history="1">
        <w:r w:rsidRPr="0035191D">
          <w:rPr>
            <w:color w:val="0000FF"/>
            <w:sz w:val="24"/>
            <w:u w:val="single" w:color="0000FF"/>
            <w:lang w:val="pl-PL"/>
          </w:rPr>
          <w:t xml:space="preserve"> http://data.europa.eu/eli/dir/2024/1619/oj.</w:t>
        </w:r>
      </w:hyperlink>
    </w:p>
  </w:footnote>
  <w:footnote w:id="5">
    <w:p w:rsidR="00295436" w:rsidRPr="0035191D" w:rsidRDefault="00295436" w:rsidP="0035191D">
      <w:pPr>
        <w:pStyle w:val="FootnoteText"/>
        <w:ind w:left="567" w:hanging="567"/>
        <w:rPr>
          <w:sz w:val="24"/>
          <w:lang w:val="pl-PL"/>
        </w:rPr>
      </w:pPr>
      <w:r w:rsidRPr="0035191D">
        <w:rPr>
          <w:rStyle w:val="FootnoteReference"/>
          <w:sz w:val="24"/>
          <w:lang w:val="pl-PL"/>
        </w:rPr>
        <w:footnoteRef/>
      </w:r>
      <w:r w:rsidR="0035191D" w:rsidRPr="0035191D">
        <w:rPr>
          <w:sz w:val="24"/>
          <w:lang w:val="pl-PL"/>
        </w:rPr>
        <w:t xml:space="preserve"> </w:t>
      </w:r>
      <w:r w:rsidR="0035191D" w:rsidRPr="0035191D">
        <w:rPr>
          <w:sz w:val="24"/>
          <w:lang w:val="pl-PL"/>
        </w:rPr>
        <w:tab/>
      </w:r>
      <w:hyperlink r:id="rId6" w:anchor="toc6" w:history="1">
        <w:r w:rsidRPr="0035191D">
          <w:rPr>
            <w:rStyle w:val="Hyperlink"/>
            <w:sz w:val="24"/>
            <w:lang w:val="pl-PL"/>
          </w:rPr>
          <w:t>https://www.ecb.europa.eu/press/projections/html/ecb.projections202412_</w:t>
        </w:r>
        <w:r w:rsidR="00064993">
          <w:rPr>
            <w:rStyle w:val="Hyperlink"/>
            <w:sz w:val="24"/>
            <w:lang w:val="pl-PL"/>
          </w:rPr>
          <w:br/>
        </w:r>
        <w:r w:rsidRPr="0035191D">
          <w:rPr>
            <w:rStyle w:val="Hyperlink"/>
            <w:sz w:val="24"/>
            <w:lang w:val="pl-PL"/>
          </w:rPr>
          <w:t>eurosystemstaff~71a06224a5.pl.html</w:t>
        </w:r>
      </w:hyperlink>
      <w:r w:rsidRPr="0035191D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19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19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519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3/2025"/>
    <w:docVar w:name="dvlangue" w:val="PL"/>
    <w:docVar w:name="dvnumam" w:val="0"/>
    <w:docVar w:name="dvpe" w:val="765.056"/>
    <w:docVar w:name="dvrapporteur" w:val="Sprawozdawca: "/>
    <w:docVar w:name="dvstar" w:val="??"/>
    <w:docVar w:name="dvtitre" w:val="Rezolucja Parlamentu Europejskiego z dnia  2025 r. w sprawie Europejskiego Banku Centralnego – raport za rok 2024(2024/2054(INI))"/>
  </w:docVars>
  <w:rsids>
    <w:rsidRoot w:val="009312E4"/>
    <w:rsid w:val="00002272"/>
    <w:rsid w:val="00064002"/>
    <w:rsid w:val="00064993"/>
    <w:rsid w:val="000677B9"/>
    <w:rsid w:val="000831BA"/>
    <w:rsid w:val="000A42CC"/>
    <w:rsid w:val="000E7DD9"/>
    <w:rsid w:val="0010095E"/>
    <w:rsid w:val="00125B37"/>
    <w:rsid w:val="00187494"/>
    <w:rsid w:val="001F32AE"/>
    <w:rsid w:val="00225FB9"/>
    <w:rsid w:val="002767FF"/>
    <w:rsid w:val="00295436"/>
    <w:rsid w:val="002B18FE"/>
    <w:rsid w:val="002B5493"/>
    <w:rsid w:val="00343214"/>
    <w:rsid w:val="0035191D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3DF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CDF"/>
    <w:rsid w:val="00842779"/>
    <w:rsid w:val="00865F67"/>
    <w:rsid w:val="00881A7B"/>
    <w:rsid w:val="008840E5"/>
    <w:rsid w:val="00887B3E"/>
    <w:rsid w:val="008C2AC6"/>
    <w:rsid w:val="00930C23"/>
    <w:rsid w:val="009312E4"/>
    <w:rsid w:val="0093193B"/>
    <w:rsid w:val="009373DA"/>
    <w:rsid w:val="009509D8"/>
    <w:rsid w:val="00950B64"/>
    <w:rsid w:val="00981893"/>
    <w:rsid w:val="00A1687D"/>
    <w:rsid w:val="00A2120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91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19E4C"/>
  <w15:chartTrackingRefBased/>
  <w15:docId w15:val="{820C8898-57CE-4DA2-9836-C85AC03D1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95436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295436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295436"/>
    <w:pPr>
      <w:spacing w:after="240"/>
      <w:jc w:val="center"/>
    </w:pPr>
  </w:style>
  <w:style w:type="character" w:customStyle="1" w:styleId="BoldItalic">
    <w:name w:val="BoldItalic"/>
    <w:uiPriority w:val="1"/>
    <w:rsid w:val="00295436"/>
    <w:rPr>
      <w:b/>
      <w:i/>
      <w:u w:val="none"/>
    </w:rPr>
  </w:style>
  <w:style w:type="character" w:customStyle="1" w:styleId="Italic">
    <w:name w:val="Italic"/>
    <w:uiPriority w:val="1"/>
    <w:rsid w:val="00295436"/>
    <w:rPr>
      <w:i/>
    </w:rPr>
  </w:style>
  <w:style w:type="paragraph" w:customStyle="1" w:styleId="Normal12a24b">
    <w:name w:val="Normal12a24b"/>
    <w:basedOn w:val="Normal"/>
    <w:rsid w:val="00295436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29543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212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2120C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PL/ALL/?uri=CELEX:52023PC0369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623/oj" TargetMode="External"/><Relationship Id="rId2" Type="http://schemas.openxmlformats.org/officeDocument/2006/relationships/hyperlink" Target="http://data.europa.eu/eli/reg/2024/1623/oj" TargetMode="External"/><Relationship Id="rId1" Type="http://schemas.openxmlformats.org/officeDocument/2006/relationships/hyperlink" Target="http://data.europa.eu/eli/C/2024/6738/oj" TargetMode="External"/><Relationship Id="rId6" Type="http://schemas.openxmlformats.org/officeDocument/2006/relationships/hyperlink" Target="https://www.ecb.europa.eu/press/projections/html/ecb.projections202412_eurosystemstaff~71a06224a5.pl.html" TargetMode="External"/><Relationship Id="rId5" Type="http://schemas.openxmlformats.org/officeDocument/2006/relationships/hyperlink" Target="http://data.europa.eu/eli/dir/2024/1619/oj" TargetMode="External"/><Relationship Id="rId4" Type="http://schemas.openxmlformats.org/officeDocument/2006/relationships/hyperlink" Target="http://data.europa.eu/eli/dir/2024/161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A50F0-0267-4963-865D-082B4E459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3491</Words>
  <Characters>22295</Characters>
  <Application>Microsoft Office Word</Application>
  <DocSecurity>0</DocSecurity>
  <Lines>185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SEMEDO Teresa</cp:lastModifiedBy>
  <cp:revision>4</cp:revision>
  <cp:lastPrinted>2004-11-19T15:42:00Z</cp:lastPrinted>
  <dcterms:created xsi:type="dcterms:W3CDTF">2025-02-12T08:39:00Z</dcterms:created>
  <dcterms:modified xsi:type="dcterms:W3CDTF">2025-03-27T08:31:00Z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P10_TA(2025)0011_</vt:lpwstr>
  </property>
  <property fmtid="{D5CDD505-2E9C-101B-9397-08002B2CF9AE}" pid="4" name="&lt;Type&gt;">
    <vt:lpwstr>RR</vt:lpwstr>
  </property>
</Properties>
</file>