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8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781E" w:rsidRDefault="00232F98" w:rsidP="0010095E">
            <w:pPr>
              <w:pStyle w:val="EPName"/>
            </w:pPr>
            <w:r w:rsidRPr="0099781E">
              <w:t>Európsky parlament</w:t>
            </w:r>
          </w:p>
          <w:p w:rsidR="00751A4A" w:rsidRPr="009978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781E">
              <w:t>2024</w:t>
            </w:r>
            <w:r w:rsidR="00817416" w:rsidRPr="0099781E">
              <w:t>-202</w:t>
            </w:r>
            <w:r w:rsidRPr="009978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9781E" w:rsidRDefault="00187494" w:rsidP="0010095E">
            <w:pPr>
              <w:pStyle w:val="EPLogo"/>
            </w:pPr>
            <w:r w:rsidRPr="009978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781E" w:rsidRDefault="00D058B8" w:rsidP="004C5D52">
      <w:pPr>
        <w:pStyle w:val="LineTop"/>
      </w:pPr>
    </w:p>
    <w:p w:rsidR="00680577" w:rsidRPr="0099781E" w:rsidRDefault="00232F98" w:rsidP="00680577">
      <w:pPr>
        <w:pStyle w:val="EPBodyTA1"/>
      </w:pPr>
      <w:r w:rsidRPr="0099781E">
        <w:t>PRIJATÉ TEXTY</w:t>
      </w:r>
    </w:p>
    <w:p w:rsidR="00D058B8" w:rsidRPr="0099781E" w:rsidRDefault="00D058B8" w:rsidP="00D058B8">
      <w:pPr>
        <w:pStyle w:val="LineBottom"/>
      </w:pPr>
    </w:p>
    <w:p w:rsidR="00232F98" w:rsidRPr="0099781E" w:rsidRDefault="00232F98" w:rsidP="00232F98">
      <w:pPr>
        <w:pStyle w:val="ATHeading1"/>
      </w:pPr>
      <w:bookmarkStart w:id="0" w:name="TANumber"/>
      <w:r w:rsidRPr="0099781E">
        <w:t>P10_TA(2025)00</w:t>
      </w:r>
      <w:r w:rsidR="0099781E" w:rsidRPr="0099781E">
        <w:t>11</w:t>
      </w:r>
      <w:bookmarkEnd w:id="0"/>
    </w:p>
    <w:p w:rsidR="00232F98" w:rsidRPr="0099781E" w:rsidRDefault="00232F98" w:rsidP="00232F98">
      <w:pPr>
        <w:pStyle w:val="ATHeading2"/>
      </w:pPr>
      <w:bookmarkStart w:id="1" w:name="title"/>
      <w:r w:rsidRPr="0099781E">
        <w:t>Európska centrálna banka – výročná správa za rok 2024</w:t>
      </w:r>
      <w:bookmarkEnd w:id="1"/>
    </w:p>
    <w:p w:rsidR="00232F98" w:rsidRPr="0099781E" w:rsidRDefault="00232F98" w:rsidP="00232F98">
      <w:pPr>
        <w:rPr>
          <w:i/>
          <w:vanish/>
        </w:rPr>
      </w:pPr>
      <w:r w:rsidRPr="0099781E">
        <w:rPr>
          <w:i/>
        </w:rPr>
        <w:fldChar w:fldCharType="begin"/>
      </w:r>
      <w:r w:rsidRPr="0099781E">
        <w:rPr>
          <w:i/>
        </w:rPr>
        <w:instrText xml:space="preserve"> TC"(</w:instrText>
      </w:r>
      <w:bookmarkStart w:id="2" w:name="DocNumber"/>
      <w:r w:rsidRPr="0099781E">
        <w:rPr>
          <w:i/>
        </w:rPr>
        <w:instrText>A10-0003/2025</w:instrText>
      </w:r>
      <w:bookmarkEnd w:id="2"/>
      <w:r w:rsidRPr="0099781E">
        <w:rPr>
          <w:i/>
        </w:rPr>
        <w:instrText xml:space="preserve"> - Spravodaj</w:instrText>
      </w:r>
      <w:r w:rsidR="00A018DD" w:rsidRPr="0099781E">
        <w:rPr>
          <w:i/>
        </w:rPr>
        <w:instrText>kyňa</w:instrText>
      </w:r>
      <w:r w:rsidRPr="0099781E">
        <w:rPr>
          <w:i/>
        </w:rPr>
        <w:instrText xml:space="preserve">: Anouk Van Brug)"\l3 \n&gt; \* MERGEFORMAT </w:instrText>
      </w:r>
      <w:r w:rsidRPr="0099781E">
        <w:rPr>
          <w:i/>
        </w:rPr>
        <w:fldChar w:fldCharType="end"/>
      </w:r>
    </w:p>
    <w:p w:rsidR="00232F98" w:rsidRPr="0099781E" w:rsidRDefault="00232F98" w:rsidP="00232F98">
      <w:pPr>
        <w:rPr>
          <w:vanish/>
        </w:rPr>
      </w:pPr>
      <w:bookmarkStart w:id="3" w:name="Commission"/>
      <w:r w:rsidRPr="0099781E">
        <w:rPr>
          <w:vanish/>
        </w:rPr>
        <w:t>Výbor pre hospodárske a menové veci</w:t>
      </w:r>
      <w:bookmarkEnd w:id="3"/>
    </w:p>
    <w:p w:rsidR="00232F98" w:rsidRPr="0099781E" w:rsidRDefault="00232F98" w:rsidP="00232F98">
      <w:pPr>
        <w:rPr>
          <w:vanish/>
        </w:rPr>
      </w:pPr>
      <w:bookmarkStart w:id="4" w:name="PE"/>
      <w:r w:rsidRPr="0099781E">
        <w:rPr>
          <w:vanish/>
        </w:rPr>
        <w:t>PE765.056</w:t>
      </w:r>
      <w:bookmarkEnd w:id="4"/>
    </w:p>
    <w:p w:rsidR="00232F98" w:rsidRPr="0099781E" w:rsidRDefault="00232F98" w:rsidP="00232F98">
      <w:pPr>
        <w:pStyle w:val="ATHeading3"/>
      </w:pPr>
      <w:bookmarkStart w:id="5" w:name="Sujet"/>
      <w:r w:rsidRPr="0099781E">
        <w:t>Uznesenie Európskeho parlamentu z</w:t>
      </w:r>
      <w:r w:rsidR="0099781E" w:rsidRPr="0099781E">
        <w:t> 11</w:t>
      </w:r>
      <w:r w:rsidRPr="0099781E">
        <w:t>. februára 2025 o Európskej centrálnej banke – výročná správa za rok 2024</w:t>
      </w:r>
      <w:bookmarkEnd w:id="5"/>
      <w:r w:rsidRPr="0099781E">
        <w:t xml:space="preserve"> </w:t>
      </w:r>
      <w:bookmarkStart w:id="6" w:name="References"/>
      <w:r w:rsidRPr="0099781E">
        <w:t>(2024/2054(INI))</w:t>
      </w:r>
      <w:bookmarkEnd w:id="6"/>
    </w:p>
    <w:p w:rsidR="00280800" w:rsidRPr="0099781E" w:rsidRDefault="00280800" w:rsidP="00280800">
      <w:pPr>
        <w:pStyle w:val="EPComma"/>
      </w:pPr>
      <w:r w:rsidRPr="0099781E">
        <w:rPr>
          <w:rStyle w:val="Italic"/>
        </w:rPr>
        <w:t>Európsky parlament</w:t>
      </w:r>
      <w:r w:rsidRPr="0099781E">
        <w:t>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výročnú správu Európskej centrálnej banky (ďalej len „ECB“) za rok 2023,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spätnú väzbu ECB z 18. apríla 2024 v súvislosti s príspevkom, ktorý poskytol Európsky parlament ako súčasť svojho uznesenia o výročnej správe ECB za rok 2022</w:t>
      </w:r>
      <w:r w:rsidRPr="0099781E">
        <w:rPr>
          <w:rStyle w:val="FootnoteReference"/>
        </w:rPr>
        <w:footnoteReference w:id="1"/>
      </w:r>
      <w:r w:rsidRPr="0099781E">
        <w:t>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Štatút Európskeho systému centrálnych bánk (ďalej len „ESCB“) a ECB, najmä na jeho články 2, 15 a 21,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článok 119, 123 ods. 1, článok 125, článok 127 ods. 1 a 2, článok 130, článok 282 ods. 2 a článok 284 ods. 3 Zmluvy o fungovaní Európskej únie (ďalej len „ZFEÚ“),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články 3 a 13 Zmluvy o Európskej únii (ďalej len „Z</w:t>
      </w:r>
      <w:r w:rsidR="00B27692">
        <w:t xml:space="preserve">mluva o </w:t>
      </w:r>
      <w:r w:rsidRPr="0099781E">
        <w:t>EÚ“),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makroekonomické prognózy odborníkov Eurosystému pre eurozónu zo 7. marca 2024, 6. júna 2024, 12. septembra 2024 a 12. decembra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rozhodnutia prijaté Radou guvernérov ECB z 25. januára 2024, 7. marca 2024, 11. apríla 2024, 6. júna 2024, 18. júla 2024, 12. septembra 2024, 17. októbra 2024 a 12. decembra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 xml:space="preserve">so zreteľom na inflačný odhad </w:t>
      </w:r>
      <w:proofErr w:type="spellStart"/>
      <w:r w:rsidRPr="0099781E">
        <w:t>Eurostatu</w:t>
      </w:r>
      <w:proofErr w:type="spellEnd"/>
      <w:r w:rsidRPr="0099781E">
        <w:t xml:space="preserve"> z </w:t>
      </w:r>
      <w:r w:rsidR="000F3E7B" w:rsidRPr="000F3E7B">
        <w:t>3. februára 2025</w:t>
      </w:r>
      <w:r w:rsidRPr="0099781E">
        <w:t>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hospodársku prognózu Komisie z jesene 2024 uverejnenú 26. novembra 2024,</w:t>
      </w:r>
    </w:p>
    <w:p w:rsidR="00280800" w:rsidRPr="0099781E" w:rsidRDefault="00280800" w:rsidP="00280800">
      <w:pPr>
        <w:pStyle w:val="NormalHanging12a"/>
      </w:pPr>
      <w:r w:rsidRPr="0099781E">
        <w:lastRenderedPageBreak/>
        <w:t>–</w:t>
      </w:r>
      <w:r w:rsidRPr="0099781E">
        <w:tab/>
        <w:t xml:space="preserve">so zreteľom na Svetový hospodársky výhľad Medzinárodného menového fondu (ďalej len „MMF“) z </w:t>
      </w:r>
      <w:r w:rsidR="006711AD" w:rsidRPr="006711AD">
        <w:t>januára 2025</w:t>
      </w:r>
      <w:r w:rsidRPr="0099781E">
        <w:t>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 xml:space="preserve">so zreteľom na dialógy o menových otázkach s prezidentkou ECB Christine </w:t>
      </w:r>
      <w:proofErr w:type="spellStart"/>
      <w:r w:rsidRPr="0099781E">
        <w:t>Lagardovou</w:t>
      </w:r>
      <w:proofErr w:type="spellEnd"/>
      <w:r w:rsidRPr="0099781E">
        <w:t xml:space="preserve"> z 15. februára 2024, 30. septembra 2024 a 4. decembra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svoje rozhodnutie z 1. júna 2023 o dohode vo forme výmeny listov medzi Európskym parlamentom a ECB o štruktúrovaní postupov interakcie v oblasti centrálneho bankovníctva</w:t>
      </w:r>
      <w:r w:rsidRPr="0099781E">
        <w:rPr>
          <w:rStyle w:val="FootnoteReference"/>
        </w:rPr>
        <w:footnoteReference w:id="2"/>
      </w:r>
      <w:r w:rsidRPr="0099781E">
        <w:t>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Európsky pilier sociálnych práv,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schválenie nástroja na ochranu transmisie (TPI) Radou guvernérov ECB 21. júla 2022,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návrh Komisie z 28. júna 2023 na nariadenie Európskeho parlamentu a Rady o zavedení digitálneho eura (COM(2023)0369),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prvú správu ECB z 24. júna 2024 a druhú správu ECB z 2. decembra 2024 o pokroku v prípravnej fáze digitálneho eura,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štyri správy ECB o pokroku vo fáze skúmania digitálneho eura z 13. júla 2023, 24. apríla 2023, 21. decembra 2022 a 29. septembra 2022,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preskúmanie stratégie menovej politiky ECB, ktoré sa začalo 23. januára 2020 a skončilo 8. júla 2021, a na nadchádzajúce posúdenie stratégie menovej politiky v roku 2025,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preskúmanie operačného rámca ECB uverejnené 13. marca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výročnú správu ECB o medzinárodnej úlohe eura z júna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výsledky prvého záťažového testu ECB týkajúceho sa kybernetickej odolnosti z 26. júla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správu ECB o finančnej stabilite uverejnenú 20. novembra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uverejnenie revidovaného nariadenia o kapitálových požiadavkách</w:t>
      </w:r>
      <w:r w:rsidRPr="0099781E">
        <w:rPr>
          <w:rStyle w:val="FootnoteReference"/>
        </w:rPr>
        <w:footnoteReference w:id="3"/>
      </w:r>
      <w:r w:rsidRPr="0099781E">
        <w:t xml:space="preserve"> (ďalej len „CRR III“) a smernice o kapitálových požiadavkách</w:t>
      </w:r>
      <w:r w:rsidRPr="0099781E">
        <w:rPr>
          <w:rStyle w:val="FootnoteReference"/>
        </w:rPr>
        <w:footnoteReference w:id="4"/>
      </w:r>
      <w:r w:rsidRPr="0099781E">
        <w:t xml:space="preserve"> (ďalej len „CRD VI“) v Úradnom vestníku Európskej únie 19. júna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výsledky záťažového testu ECB týkajúceho sa klimatických rizík z 8. júla 2022,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aktualizáciu environmentálneho vyhlásenia ECB z roku 2024,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plán ECB v oblasti klimatických zmien a prírody na roky 2024 – 2025,</w:t>
      </w:r>
    </w:p>
    <w:p w:rsidR="00280800" w:rsidRPr="0099781E" w:rsidRDefault="00280800" w:rsidP="00280800">
      <w:pPr>
        <w:pStyle w:val="NormalHanging12a"/>
      </w:pPr>
      <w:r w:rsidRPr="0099781E">
        <w:lastRenderedPageBreak/>
        <w:t>–</w:t>
      </w:r>
      <w:r w:rsidRPr="0099781E">
        <w:tab/>
        <w:t>so zreteľom na článok 142 ods. 1 rokovacieho poriadku,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článok 55 rokovacieho poriadku,</w:t>
      </w:r>
    </w:p>
    <w:p w:rsidR="00280800" w:rsidRPr="0099781E" w:rsidRDefault="00280800" w:rsidP="00280800">
      <w:pPr>
        <w:pStyle w:val="NormalHanging12a"/>
      </w:pPr>
      <w:r w:rsidRPr="0099781E">
        <w:t>–</w:t>
      </w:r>
      <w:r w:rsidRPr="0099781E">
        <w:tab/>
        <w:t>so zreteľom na správu Výboru pre hospodárske a menové veci (A10-0003/2025),</w:t>
      </w:r>
    </w:p>
    <w:p w:rsidR="00280800" w:rsidRPr="0099781E" w:rsidRDefault="00280800" w:rsidP="00280800">
      <w:pPr>
        <w:pStyle w:val="NormalHanging12a"/>
      </w:pPr>
      <w:r w:rsidRPr="0099781E">
        <w:t>A.</w:t>
      </w:r>
      <w:r w:rsidRPr="0099781E">
        <w:tab/>
        <w:t xml:space="preserve">keďže podľa </w:t>
      </w:r>
      <w:proofErr w:type="spellStart"/>
      <w:r w:rsidRPr="0099781E">
        <w:t>Eurostatu</w:t>
      </w:r>
      <w:proofErr w:type="spellEnd"/>
      <w:r w:rsidRPr="0099781E">
        <w:t xml:space="preserve"> dosiahla inflácia meraná harmonizovaným indexom spotrebiteľských cien (HICP) v eurozóne v </w:t>
      </w:r>
      <w:r w:rsidR="00F62F86" w:rsidRPr="00F62F86">
        <w:t xml:space="preserve">decembri </w:t>
      </w:r>
      <w:r w:rsidRPr="0099781E">
        <w:t>2024 úroveň 2,</w:t>
      </w:r>
      <w:r w:rsidR="00F62F86">
        <w:t>4</w:t>
      </w:r>
      <w:r w:rsidRPr="0099781E">
        <w:t> %;</w:t>
      </w:r>
    </w:p>
    <w:p w:rsidR="00280800" w:rsidRPr="0099781E" w:rsidRDefault="00280800" w:rsidP="00280800">
      <w:pPr>
        <w:pStyle w:val="NormalHanging12a"/>
      </w:pPr>
      <w:r w:rsidRPr="0099781E">
        <w:t>B.</w:t>
      </w:r>
      <w:r w:rsidRPr="0099781E">
        <w:tab/>
        <w:t>keďže podľa makroekonomických prognóz odborníkov Eurosystému z decembra 2024 by mala inflácia meraná harmonizovaným indexom spotrebiteľských cien (HICP) v eurozóne v roku 2025 klesnúť na 2,1 %, v roku 2026 na 1,9 % a v roku 2027 vzrásť na 2,1 %</w:t>
      </w:r>
      <w:r w:rsidRPr="0099781E">
        <w:rPr>
          <w:rStyle w:val="FootnoteReference"/>
        </w:rPr>
        <w:footnoteReference w:id="5"/>
      </w:r>
      <w:r w:rsidRPr="0099781E">
        <w:t>;</w:t>
      </w:r>
      <w:r w:rsidR="0025061B">
        <w:t xml:space="preserve"> </w:t>
      </w:r>
      <w:r w:rsidR="0025061B" w:rsidRPr="0025061B">
        <w:t>keďže prognózy inflácie vykazujú v rámci eurozóny značné rozdiely;</w:t>
      </w:r>
    </w:p>
    <w:p w:rsidR="00280800" w:rsidRPr="0099781E" w:rsidRDefault="00280800" w:rsidP="00280800">
      <w:pPr>
        <w:pStyle w:val="NormalHanging12a"/>
      </w:pPr>
      <w:r w:rsidRPr="0099781E">
        <w:t>C.</w:t>
      </w:r>
      <w:r w:rsidRPr="0099781E">
        <w:tab/>
        <w:t>keďže hlavným cieľom ECB je udržiavať cenovú stabilitu, ktorú definovala ako infláciu na úrovni 2 % v strednodobom horizonte;</w:t>
      </w:r>
    </w:p>
    <w:p w:rsidR="00280800" w:rsidRPr="0099781E" w:rsidRDefault="00280800" w:rsidP="00280800">
      <w:pPr>
        <w:pStyle w:val="NormalHanging12a"/>
      </w:pPr>
      <w:r w:rsidRPr="0099781E">
        <w:t>D.</w:t>
      </w:r>
      <w:r w:rsidRPr="0099781E">
        <w:tab/>
        <w:t>keďže ECB by mala podporovať všeobecné hospodárske politiky EÚ, a tým prispievať k dosiahnutiu cieľov EÚ stanovených v článku 3 Zmluvy o EÚ;</w:t>
      </w:r>
    </w:p>
    <w:p w:rsidR="00280800" w:rsidRPr="0099781E" w:rsidRDefault="00280800" w:rsidP="00280800">
      <w:pPr>
        <w:pStyle w:val="NormalHanging12a"/>
      </w:pPr>
      <w:r w:rsidRPr="0099781E">
        <w:t>E.</w:t>
      </w:r>
      <w:r w:rsidRPr="0099781E">
        <w:tab/>
        <w:t>keďže ECB je politicky nezávislá, čo znamená, že inštitúcie a agentúry EÚ, ani vlády členských štátov by nemali ECB ovplyvňovať;</w:t>
      </w:r>
    </w:p>
    <w:p w:rsidR="00280800" w:rsidRPr="0099781E" w:rsidRDefault="00280800" w:rsidP="00280800">
      <w:pPr>
        <w:pStyle w:val="NormalHanging12a"/>
      </w:pPr>
      <w:r w:rsidRPr="0099781E">
        <w:t>F.</w:t>
      </w:r>
      <w:r w:rsidRPr="0099781E">
        <w:tab/>
        <w:t>keďže ECB môže prijímať rozhodnutia na splnenie svojho hlavného cieľa, ktorým je udržanie cenovej stability, bez politického zasahovania, s výnimkou toho, že nesie zodpovednosť;</w:t>
      </w:r>
    </w:p>
    <w:p w:rsidR="00280800" w:rsidRPr="0099781E" w:rsidRDefault="00280800" w:rsidP="00280800">
      <w:pPr>
        <w:pStyle w:val="NormalHanging12a"/>
      </w:pPr>
      <w:r w:rsidRPr="0099781E">
        <w:t>G.</w:t>
      </w:r>
      <w:r w:rsidRPr="0099781E">
        <w:tab/>
        <w:t>keďže politická nezávislosť si vyžaduje, aby sa ECB zdržala prijímania politických krokov;</w:t>
      </w:r>
    </w:p>
    <w:p w:rsidR="00280800" w:rsidRPr="0099781E" w:rsidRDefault="00280800" w:rsidP="00280800">
      <w:pPr>
        <w:pStyle w:val="NormalHanging12a"/>
      </w:pPr>
      <w:r w:rsidRPr="0099781E">
        <w:t>H.</w:t>
      </w:r>
      <w:r w:rsidRPr="0099781E">
        <w:tab/>
        <w:t>keďže článok 123 ZFEÚ a článok 21 Štatútu ESCB a ECB zakazujú priame menové financovanie vlád; keďže ECB môže nakupovať dlhové cenné papiere na sekundárnom trhu, ak je to potrebné na dosiahnutie jej cieľov;</w:t>
      </w:r>
    </w:p>
    <w:p w:rsidR="00280800" w:rsidRPr="0099781E" w:rsidRDefault="00280800" w:rsidP="00280800">
      <w:pPr>
        <w:pStyle w:val="NormalHanging12a"/>
      </w:pPr>
      <w:r w:rsidRPr="0099781E">
        <w:t>I.</w:t>
      </w:r>
      <w:r w:rsidRPr="0099781E">
        <w:tab/>
        <w:t>keďže Eurosystému je postavený na zásade menovej dominantnosti;</w:t>
      </w:r>
    </w:p>
    <w:p w:rsidR="00280800" w:rsidRPr="0099781E" w:rsidRDefault="00280800" w:rsidP="00280800">
      <w:pPr>
        <w:pStyle w:val="NormalHanging12a"/>
      </w:pPr>
      <w:r w:rsidRPr="0099781E">
        <w:t>J.</w:t>
      </w:r>
      <w:r w:rsidRPr="0099781E">
        <w:tab/>
        <w:t xml:space="preserve">keďže platby istiny zo splatných cenných papierov kúpených v rámci programu nákupu aktív (APP) sa už nereinvestujú a platby istiny zo splatných cenných papierov nakúpených v rámci núdzového </w:t>
      </w:r>
      <w:proofErr w:type="spellStart"/>
      <w:r w:rsidRPr="0099781E">
        <w:t>pandemického</w:t>
      </w:r>
      <w:proofErr w:type="spellEnd"/>
      <w:r w:rsidRPr="0099781E">
        <w:t xml:space="preserve"> programu nákupu aktív (PEPP) sa od januára 2025 nebudú reinvestovať;</w:t>
      </w:r>
    </w:p>
    <w:p w:rsidR="00280800" w:rsidRPr="0099781E" w:rsidRDefault="00280800" w:rsidP="00280800">
      <w:pPr>
        <w:pStyle w:val="NormalHanging12a"/>
      </w:pPr>
      <w:r w:rsidRPr="0099781E">
        <w:t>K.</w:t>
      </w:r>
      <w:r w:rsidRPr="0099781E">
        <w:tab/>
        <w:t>keďže bankové rezervy držané v ECB úverovými inštitúciami dosiahli v decembri 2024 výšku 3 bilióny EUR;</w:t>
      </w:r>
    </w:p>
    <w:p w:rsidR="00280800" w:rsidRPr="0099781E" w:rsidRDefault="00280800" w:rsidP="00280800">
      <w:pPr>
        <w:pStyle w:val="NormalHanging12a"/>
      </w:pPr>
      <w:r w:rsidRPr="0099781E">
        <w:t>L.</w:t>
      </w:r>
      <w:r w:rsidRPr="0099781E">
        <w:tab/>
        <w:t>keďže euro je druhou najdôležitejšou menou na svete;</w:t>
      </w:r>
    </w:p>
    <w:p w:rsidR="00280800" w:rsidRPr="0099781E" w:rsidRDefault="00280800" w:rsidP="00280800">
      <w:pPr>
        <w:pStyle w:val="NormalHanging12a"/>
      </w:pPr>
      <w:r w:rsidRPr="0099781E">
        <w:t>M.</w:t>
      </w:r>
      <w:r w:rsidRPr="0099781E">
        <w:tab/>
        <w:t xml:space="preserve">keďže ECB sa zodpovedá Európskemu parlamentu ako inštitúcii, ktorá zastupuje občanov EÚ; keďže táto zodpovednosť sa udržiava na najvyššej úrovni pravidelným organizovaním menového dialógu, pravidelných vystúpení prezidentky ECB </w:t>
      </w:r>
      <w:r w:rsidRPr="0099781E">
        <w:lastRenderedPageBreak/>
        <w:t xml:space="preserve">na plenárnych zasadnutiach </w:t>
      </w:r>
      <w:r w:rsidR="00AB3355" w:rsidRPr="0099781E">
        <w:t>Európskeho p</w:t>
      </w:r>
      <w:r w:rsidRPr="0099781E">
        <w:t xml:space="preserve">arlamentu a rôznych návštev a stretnutí poslancov </w:t>
      </w:r>
      <w:r w:rsidR="00AB3355" w:rsidRPr="0099781E">
        <w:t>Európskeho p</w:t>
      </w:r>
      <w:r w:rsidRPr="0099781E">
        <w:t>arlamentu a členov Výkonnej rady ECB;</w:t>
      </w:r>
    </w:p>
    <w:p w:rsidR="00280800" w:rsidRPr="0099781E" w:rsidRDefault="00280800" w:rsidP="00280800">
      <w:pPr>
        <w:pStyle w:val="Normal12a24b"/>
      </w:pPr>
      <w:r w:rsidRPr="0099781E">
        <w:rPr>
          <w:rStyle w:val="BoldItalic"/>
        </w:rPr>
        <w:t>Všeobecný prehľad</w:t>
      </w:r>
    </w:p>
    <w:p w:rsidR="00280800" w:rsidRPr="0099781E" w:rsidRDefault="00280800" w:rsidP="00280800">
      <w:pPr>
        <w:pStyle w:val="NormalHanging12a"/>
      </w:pPr>
      <w:r w:rsidRPr="0099781E">
        <w:t>1.</w:t>
      </w:r>
      <w:r w:rsidRPr="0099781E">
        <w:tab/>
        <w:t>víta úlohu ECB pri zabezpečovaní menovej a finančnej stability, ktorá je nevyhnutným predpokladom rastu a hospodárskej stability; zdôrazňuje, že ECB je v tomto ohľade inštitúciou, ktorá zodpovedá za udržiavanie cenovej stability v eurozóne; pripomína, že bez toho, aby bola dotknutá cenová stabilita, ESCB podporuje všeobecné hospodárske politiky v Únii v súlade s článkom 127 Zmluvy o EÚ;</w:t>
      </w:r>
    </w:p>
    <w:p w:rsidR="00280800" w:rsidRPr="0099781E" w:rsidRDefault="00280800" w:rsidP="00280800">
      <w:pPr>
        <w:pStyle w:val="NormalHanging12a"/>
      </w:pPr>
      <w:r w:rsidRPr="0099781E">
        <w:t>2.</w:t>
      </w:r>
      <w:r w:rsidRPr="0099781E">
        <w:tab/>
        <w:t>zdôrazňuje, že štatutárna nezávislosť ECB, ako je zakotvená v zmluvách, je predpokladom toho, aby ECB mohla plniť svoj mandát udržiavať cenovú stabilitu v eurozóne, a tým prispievať k hospodárskemu rastu, konkurencieschopnosti a tvorbe pracovných miest;</w:t>
      </w:r>
    </w:p>
    <w:p w:rsidR="00280800" w:rsidRPr="0099781E" w:rsidRDefault="00280800" w:rsidP="00280800">
      <w:pPr>
        <w:pStyle w:val="NormalHanging12a"/>
      </w:pPr>
      <w:r w:rsidRPr="0099781E">
        <w:t>3.</w:t>
      </w:r>
      <w:r w:rsidRPr="0099781E">
        <w:tab/>
        <w:t xml:space="preserve">zdôrazňuje význam politickej nezávislosti ECB, ktorá by mala zostať nedotknutá; zdôrazňuje, že táto nezávislosť si vyžaduje, aby sa ECB zdržala politických krokov; víta inštitucionálnu spoluprácu, čím zdôrazňuje význam zodpovedajúcej úrovne zodpovednosti voči </w:t>
      </w:r>
      <w:r w:rsidR="00AB3355" w:rsidRPr="0099781E">
        <w:t>Európskemu p</w:t>
      </w:r>
      <w:r w:rsidRPr="0099781E">
        <w:t>arlamentu;</w:t>
      </w:r>
    </w:p>
    <w:p w:rsidR="00280800" w:rsidRPr="0099781E" w:rsidRDefault="00280800" w:rsidP="00280800">
      <w:pPr>
        <w:pStyle w:val="NormalHanging12a"/>
      </w:pPr>
      <w:r w:rsidRPr="0099781E">
        <w:t>4.</w:t>
      </w:r>
      <w:r w:rsidRPr="0099781E">
        <w:tab/>
        <w:t>vyzýva ECB a Európsky parlament, aby v plnej miere využívali opatrenia týkajúce sa zodpovednosti a transparentnosti a podľa možnosti ich ešte posilnili bez toho, aby bola dotknutá nezávislosť ECB;</w:t>
      </w:r>
    </w:p>
    <w:p w:rsidR="00280800" w:rsidRPr="0099781E" w:rsidRDefault="00280800" w:rsidP="00280800">
      <w:pPr>
        <w:pStyle w:val="NormalHanging12a"/>
      </w:pPr>
      <w:r w:rsidRPr="0099781E">
        <w:t>5.</w:t>
      </w:r>
      <w:r w:rsidRPr="0099781E">
        <w:tab/>
        <w:t>uznáva úsilie ECB o zníženie inflácie späť na úrovne zodpovedajúce jej cieľu 2 % v strednodobom horizonte;</w:t>
      </w:r>
    </w:p>
    <w:p w:rsidR="00280800" w:rsidRPr="0099781E" w:rsidRDefault="00280800" w:rsidP="00280800">
      <w:pPr>
        <w:pStyle w:val="NormalHanging12a"/>
      </w:pPr>
      <w:r w:rsidRPr="0099781E">
        <w:t>6.</w:t>
      </w:r>
      <w:r w:rsidRPr="0099781E">
        <w:tab/>
        <w:t>zdôrazňuje, že menová politika ECB, ktorá plní svoj mandát a fiškálne politiky by mali fungovať spoločne s cieľom pomôcť európskym občanom a domácnostiam, ako aj malým podnikom;</w:t>
      </w:r>
    </w:p>
    <w:p w:rsidR="00280800" w:rsidRPr="0099781E" w:rsidRDefault="00280800" w:rsidP="00280800">
      <w:pPr>
        <w:pStyle w:val="NormalHanging12a"/>
      </w:pPr>
      <w:r w:rsidRPr="0099781E">
        <w:t>7.</w:t>
      </w:r>
      <w:r w:rsidRPr="0099781E">
        <w:tab/>
        <w:t>berie na vedomie rozdiely medzi členskými štátmi, pokiaľ ide o úroveň inflácie nad alebo pod cieľom ECB na úrovni 2 %; zdôrazňuje, že inflácia znižuje kúpnu silu fixných príjmov, úspor a dôchodkov a že narúša signalizačnú funkciu cien, ktorá zabezpečuje efektívne prideľovanie zdrojov, čo má negatívny vplyv na hospodársku stabilitu;</w:t>
      </w:r>
    </w:p>
    <w:p w:rsidR="00280800" w:rsidRPr="0099781E" w:rsidRDefault="00280800" w:rsidP="00280800">
      <w:pPr>
        <w:pStyle w:val="NormalHanging12a"/>
      </w:pPr>
      <w:r w:rsidRPr="0099781E">
        <w:t>8.</w:t>
      </w:r>
      <w:r w:rsidRPr="0099781E">
        <w:tab/>
        <w:t>zdôrazňuje, že inflácia vyvolala tzv. krízu životných nákladov pre občanov EÚ; zdôrazňuje preto, že je nevyhnutné znížiť infláciu na cieľovú mieru 2 %; konštatuje, že vysoká miera inflácie neúmerne postihuje domácnosti s nižšími príjmami, ktoré vynakladajú väčšiu časť svojho rozpočtu na základné potreby; zdôrazňuje, že zníženie celkovej inflácie na cieľovú úroveň je preto dôležité aj pre zachovanie sociálnej súdržnosti;</w:t>
      </w:r>
    </w:p>
    <w:p w:rsidR="00280800" w:rsidRPr="0099781E" w:rsidRDefault="00280800" w:rsidP="00280800">
      <w:pPr>
        <w:pStyle w:val="NormalHanging12a"/>
      </w:pPr>
      <w:r w:rsidRPr="0099781E">
        <w:t>9.</w:t>
      </w:r>
      <w:r w:rsidRPr="0099781E">
        <w:tab/>
        <w:t xml:space="preserve">vyjadruje poľutovanie nad tým, že jadrová inflácia v eurozóne je naďalej vysoká (2,7 % v </w:t>
      </w:r>
      <w:r w:rsidR="0098140A" w:rsidRPr="0098140A">
        <w:t xml:space="preserve">decembri </w:t>
      </w:r>
      <w:r w:rsidRPr="0099781E">
        <w:t xml:space="preserve">2024), pričom len </w:t>
      </w:r>
      <w:r w:rsidR="0098140A" w:rsidRPr="0098140A">
        <w:t xml:space="preserve">tri členské štáty </w:t>
      </w:r>
      <w:r w:rsidRPr="0099781E">
        <w:t>eurozóny vykázal</w:t>
      </w:r>
      <w:r w:rsidR="0098140A">
        <w:t>i</w:t>
      </w:r>
      <w:r w:rsidRPr="0099781E">
        <w:t xml:space="preserve"> v </w:t>
      </w:r>
      <w:r w:rsidR="0098140A" w:rsidRPr="0098140A">
        <w:t xml:space="preserve">decembri </w:t>
      </w:r>
      <w:r w:rsidRPr="0099781E">
        <w:t>2024 mieru jadrovej inflácie nižšiu ako 2 %; pripomína, že táto situácia vytvára hospodársku neistotu, odrádza od úspor a zvyšuje životné náklady občanov, čo má vplyv najmä na osoby s pevnými a obmedzenými príjmami;</w:t>
      </w:r>
    </w:p>
    <w:p w:rsidR="00280800" w:rsidRPr="0099781E" w:rsidRDefault="00280800" w:rsidP="00280800">
      <w:pPr>
        <w:pStyle w:val="NormalHanging12a"/>
      </w:pPr>
      <w:r w:rsidRPr="0099781E">
        <w:lastRenderedPageBreak/>
        <w:t>10.</w:t>
      </w:r>
      <w:r w:rsidRPr="0099781E">
        <w:tab/>
        <w:t xml:space="preserve">zdôrazňuje, že udržiavanie úrokových sadzieb na príliš vysokej úrovni by mohlo poškodiť hospodársky rast; vyzýva ECB, aby úrokové sadzby neznižovala príliš rýchlo, a to vzhľadom na riziko, že úroveň inflácie by sa mohla začať opäť zvyšovať, keďže už v súčasnosti presahuje 2 %; zdôrazňuje kľúčovú úlohu, ktorú zohrávajú inflačné očakávania a že nadmerná </w:t>
      </w:r>
      <w:proofErr w:type="spellStart"/>
      <w:r w:rsidRPr="0099781E">
        <w:t>volatilita</w:t>
      </w:r>
      <w:proofErr w:type="spellEnd"/>
      <w:r w:rsidRPr="0099781E">
        <w:t xml:space="preserve"> miery inflácie by mohla narušiť inflačné očakávania; vyzýva ECB, aby posúdila vplyv zmien úrokových sadzieb na rôzne hospodárske odvetvia vrátane kapitálovo náročných odvetví;</w:t>
      </w:r>
    </w:p>
    <w:p w:rsidR="00280800" w:rsidRPr="0099781E" w:rsidRDefault="00280800" w:rsidP="00280800">
      <w:pPr>
        <w:pStyle w:val="NormalHanging12a"/>
      </w:pPr>
      <w:r w:rsidRPr="0099781E">
        <w:t>11.</w:t>
      </w:r>
      <w:r w:rsidRPr="0099781E">
        <w:tab/>
        <w:t>uznáva, že rozhodnutia v oblasti menovej politiky, ktoré prijala Rada guvernérov ECB po inflačnej kríze spôsobenej rastom cien energií nasmerovali infláciu na cestu, ktorá je zlučiteľná s dosiahnutím cieľa cenovej stability, a zároveň zabránili výraznému poklesu hospodárskej činnosti a zamestnanosti;</w:t>
      </w:r>
    </w:p>
    <w:p w:rsidR="00280800" w:rsidRPr="0099781E" w:rsidRDefault="00280800" w:rsidP="00280800">
      <w:pPr>
        <w:pStyle w:val="NormalHanging12a"/>
      </w:pPr>
      <w:r w:rsidRPr="0099781E">
        <w:t>12.</w:t>
      </w:r>
      <w:r w:rsidRPr="0099781E">
        <w:tab/>
        <w:t>pripomína, že Eurosystém bol vybudovaný na zásade menovej dominancie a že hospodárska a menová únia si preto vyžaduje spoľahlivé fiškálne politiky v členských štátoch, aby bolo možné reagovať na vonkajšie otrasy; pripomína potrebu primeraného vykonávania nového fiškálneho rámca s cieľom zabezpečiť dôveryhodnosť fiškálnych politík na úrovni hospodárskej a menovej únie; konštatuje, že dostatočný fiškálny priestor taktiež umožňuje členským štátom reagovať na vonkajšie otrasy; berie na vedomie flexibilitu, ktorú v tejto súvislosti poskytujú nové fiškálne pravidlá; poukazuje na to, že členské štáty môžu zvýšiť svoju odolnosť voči vonkajším otrasom prostredníctvom fiškálnych opatrení, ako aj reforiem na podporu rastu;</w:t>
      </w:r>
    </w:p>
    <w:p w:rsidR="00280800" w:rsidRPr="0099781E" w:rsidRDefault="00280800" w:rsidP="00280800">
      <w:pPr>
        <w:pStyle w:val="NormalHanging12a"/>
      </w:pPr>
      <w:r w:rsidRPr="0099781E">
        <w:t>13.</w:t>
      </w:r>
      <w:r w:rsidRPr="0099781E">
        <w:tab/>
        <w:t>pripomína, že obozretné fiškálne politiky členských štátov môžu dopĺňať úsilie ECB o udržanie nízkej inflácie, a tým chrániť príjmy; zdôrazňuje, že riešenie nadmerných úrovní deficitu verejných financií a verejného dlhu má zásadný význam pre udržanie stabilného hospodárstva a udržateľného rastu a pre to, aby vlády mali k dispozícii politický priestor na reakciu na nepriaznivé otrasy; v tejto súvislosti berie na vedomie nedávne zistenia správy o finančnej stabilite týkajúce sa vysokej úrovne štátneho dlhu;</w:t>
      </w:r>
    </w:p>
    <w:p w:rsidR="00280800" w:rsidRPr="0099781E" w:rsidRDefault="00280800" w:rsidP="00280800">
      <w:pPr>
        <w:pStyle w:val="NormalHanging12a"/>
      </w:pPr>
      <w:r w:rsidRPr="0099781E">
        <w:t>14.</w:t>
      </w:r>
      <w:r w:rsidRPr="0099781E">
        <w:tab/>
        <w:t>konštatuje, že menové politiky ECB zamerané na plnenie jej hlavného mandátu podliehajú posúdeniu proporcionality; poznamenáva, že pri posudzovaní proporcionality sa zohľadňuje vplyv opatrení menovej politiky na širšie hospodárstvo a hospodárske politiky;</w:t>
      </w:r>
    </w:p>
    <w:p w:rsidR="00280800" w:rsidRPr="0099781E" w:rsidRDefault="00280800" w:rsidP="00280800">
      <w:pPr>
        <w:pStyle w:val="Normal12a24b"/>
      </w:pPr>
      <w:r w:rsidRPr="0099781E">
        <w:rPr>
          <w:rStyle w:val="BoldItalic"/>
        </w:rPr>
        <w:t>Menová politika</w:t>
      </w:r>
    </w:p>
    <w:p w:rsidR="00280800" w:rsidRPr="0099781E" w:rsidRDefault="00280800" w:rsidP="00280800">
      <w:pPr>
        <w:pStyle w:val="NormalHanging12a"/>
      </w:pPr>
      <w:r w:rsidRPr="0099781E">
        <w:t>15.</w:t>
      </w:r>
      <w:r w:rsidRPr="0099781E">
        <w:tab/>
        <w:t>dôrazne víta skutočnosť, že celková inflácia klesla z vrcholu 10,6 % v októbri 2022 na 2,</w:t>
      </w:r>
      <w:r w:rsidR="007B1D1B">
        <w:t>4</w:t>
      </w:r>
      <w:r w:rsidRPr="0099781E">
        <w:t xml:space="preserve"> % v </w:t>
      </w:r>
      <w:r w:rsidR="000D785C" w:rsidRPr="0098140A">
        <w:t xml:space="preserve">decembri </w:t>
      </w:r>
      <w:r w:rsidRPr="0099781E">
        <w:t>2024;</w:t>
      </w:r>
    </w:p>
    <w:p w:rsidR="00280800" w:rsidRPr="0099781E" w:rsidRDefault="00280800" w:rsidP="00280800">
      <w:pPr>
        <w:pStyle w:val="NormalHanging12a"/>
      </w:pPr>
      <w:r w:rsidRPr="0099781E">
        <w:t>16.</w:t>
      </w:r>
      <w:r w:rsidRPr="0099781E">
        <w:tab/>
        <w:t xml:space="preserve">víta zníženie jadrovej inflácie z vrcholu 7,6 % v marci 2023 na 2,7 % v </w:t>
      </w:r>
      <w:r w:rsidR="007B1D1B" w:rsidRPr="0098140A">
        <w:t xml:space="preserve">decembri </w:t>
      </w:r>
      <w:r w:rsidRPr="0099781E">
        <w:t>2024, ale vyjadruje znepokojenie nad jej historicky a trvalo vysokou úrovňou; so znepokojením konštatuje, že vysoká jadrová inflácia by sa mohla premietnuť do vyšších hodnôt celkovej inflácie;</w:t>
      </w:r>
    </w:p>
    <w:p w:rsidR="00280800" w:rsidRPr="0099781E" w:rsidRDefault="00280800" w:rsidP="00280800">
      <w:pPr>
        <w:pStyle w:val="NormalHanging12a"/>
      </w:pPr>
      <w:r w:rsidRPr="0099781E">
        <w:t>17.</w:t>
      </w:r>
      <w:r w:rsidRPr="0099781E">
        <w:tab/>
        <w:t>konštatuje, že ECB trvalo viac ako tri roky, kým dosiahla úroveň inflácie, ktorá zodpovedá jej cieľovej úrovni 2 %; v tejto súvislosti pripomína nesprávne hodnotenie ECB, podľa ktorého očakávala, že inflácia bude len prechodná;</w:t>
      </w:r>
    </w:p>
    <w:p w:rsidR="00280800" w:rsidRPr="0099781E" w:rsidRDefault="00280800" w:rsidP="00280800">
      <w:pPr>
        <w:pStyle w:val="NormalHanging12a"/>
      </w:pPr>
      <w:r w:rsidRPr="0099781E">
        <w:t>18.</w:t>
      </w:r>
      <w:r w:rsidRPr="0099781E">
        <w:tab/>
        <w:t xml:space="preserve">zdôrazňuje, že medzi kľúčové faktory prudkého nárastu inflácie patrili otrasy na strane ponuky, ktoré pochádzali predovšetkým z vonkajších zdrojov; uznáva, že menová </w:t>
      </w:r>
      <w:r w:rsidRPr="0099781E">
        <w:lastRenderedPageBreak/>
        <w:t>politika má priamejší vplyv na úroveň inflácie, keď vychádza predovšetkým z faktorov dopytu, a nie z faktorov ponuky;</w:t>
      </w:r>
    </w:p>
    <w:p w:rsidR="00280800" w:rsidRPr="0099781E" w:rsidRDefault="00280800" w:rsidP="00280800">
      <w:pPr>
        <w:pStyle w:val="NormalHanging12a"/>
      </w:pPr>
      <w:r w:rsidRPr="0099781E">
        <w:t>19.</w:t>
      </w:r>
      <w:r w:rsidRPr="0099781E">
        <w:tab/>
        <w:t>víta úsilie ECB pravidelne aktualizovať svoje modely; vyzýva ECB, aby pokračovala v preskúmavaní a zlepšovaní svojich modelov a ich úlohy pri tvorbe politík vzhľadom na nedostatočnú výkonnosť týchto modelov v posledných rokoch s cieľom poučiť sa z predchádzajúcich kríz, najmä lepšie rozlišovať medzi zdrojmi inflácie na strane dopytu a ponuky; zdôrazňuje, že hospodárske otrasy na strane ponuky môžu byť spôsobené mnohými zdrojmi, okrem iného geopolitickými udalosťami, klimatickými alebo prírodnými katastrofami a kybernetickými útokmi;</w:t>
      </w:r>
    </w:p>
    <w:p w:rsidR="00280800" w:rsidRPr="0099781E" w:rsidRDefault="00280800" w:rsidP="00280800">
      <w:pPr>
        <w:pStyle w:val="NormalHanging12a"/>
      </w:pPr>
      <w:r w:rsidRPr="0099781E">
        <w:t>20.</w:t>
      </w:r>
      <w:r w:rsidRPr="0099781E">
        <w:tab/>
        <w:t>zdôrazňuje, že zahrnutie bývania vo vlastnom obydlí (OOH) do HICP je žiaduce z dôvodu reprezentatívnosti a porovnateľnosti medzi krajinami eurozóny; vyzýva na urýchlenie plánu s cieľom zabezpečiť rýchle začlenenie údajov o OOH do HICP; víta záväzok Rady guvernérov ECB zohľadniť vo svojich hodnoteniach menovej politiky a rozhodnutiach aj dostupné inflačné ukazovatele týkajúce sa štvrťročného samostatného indexu OOH;</w:t>
      </w:r>
    </w:p>
    <w:p w:rsidR="00280800" w:rsidRPr="0099781E" w:rsidRDefault="00280800" w:rsidP="00280800">
      <w:pPr>
        <w:pStyle w:val="NormalHanging12a"/>
      </w:pPr>
      <w:r w:rsidRPr="0099781E">
        <w:t>21.</w:t>
      </w:r>
      <w:r w:rsidRPr="0099781E">
        <w:tab/>
        <w:t>podporuje rozhodnutie ECB obmedziť programy nákupu aktív, aby sa vzhľadom na nadmernú likviditu na trhu a zníženú úroveň inflácie dosiahla rovnováha medzi podmienkami likvidity na trhu a úrovňou inflácie; víta skutočnosť, že portfólio aktív v rámci programov nákupu ECB má od roku 2023 klesajúci trend;</w:t>
      </w:r>
    </w:p>
    <w:p w:rsidR="00280800" w:rsidRPr="0099781E" w:rsidRDefault="00280800" w:rsidP="00280800">
      <w:pPr>
        <w:pStyle w:val="NormalHanging12a"/>
      </w:pPr>
      <w:r w:rsidRPr="0099781E">
        <w:t>22.</w:t>
      </w:r>
      <w:r w:rsidRPr="0099781E">
        <w:tab/>
        <w:t>zdôrazňuje, že úroky z držby bankových rezerv komerčných bánk viedli k tomu, že Eurosystém v roku 2023 zaplatil úverovým inštitúciám úroky vo výške viac ako 120 miliárd EUR, čo predstavuje najmenej 0,8 % HDP eurozóny; domnieva sa, že ide o významnú dotáciu pre bankový sektor; žiada ECB, aby tento problém zmiernila;</w:t>
      </w:r>
    </w:p>
    <w:p w:rsidR="00280800" w:rsidRPr="0099781E" w:rsidRDefault="00280800" w:rsidP="00280800">
      <w:pPr>
        <w:pStyle w:val="NormalHanging12a"/>
      </w:pPr>
      <w:r w:rsidRPr="0099781E">
        <w:t>23.</w:t>
      </w:r>
      <w:r w:rsidRPr="0099781E">
        <w:tab/>
        <w:t>zdôrazňuje, že programy nákupu ECB sú nekonvenčnými politikami uplatniteľnými len v krízových obdobiach, ktoré, ak sa nebudú vykonávať obozretne, predstavujú riziko porušenia zákazu menového financovania podľa článku 123 ods. 1 ZFEÚ; vyzýva ECB, aby pokračovala v monitorovaní postupného znižovania svojej súvahy s cieľom obmedziť dlhotrvajúce potenciálne destabilizačné účinky v eurozóne a zároveň monitorovala rast a konkurencieschopnosť hospodárstva EÚ; vyzýva ECB, aby sa podelila o poznatky o vplyve programov nákupu na fungovanie finančných trhov vrátane vplyvu na dôchodkové fondy a spoluprácu v oblasti dôchodkového poistenia;</w:t>
      </w:r>
    </w:p>
    <w:p w:rsidR="00280800" w:rsidRPr="0099781E" w:rsidRDefault="00280800" w:rsidP="00280800">
      <w:pPr>
        <w:pStyle w:val="NormalHanging12a"/>
      </w:pPr>
      <w:r w:rsidRPr="0099781E">
        <w:t>24.</w:t>
      </w:r>
      <w:r w:rsidRPr="0099781E">
        <w:tab/>
        <w:t xml:space="preserve">zdôrazňuje, že rovnomerná transmisia menovej politiky je nevyhnutná na dosiahnutie mandátu ECB v oblasti cenovej stability; zdôrazňuje, že nadmerná divergencia výnosov štátnych dlhopisov spôsobuje, že úverové podmienky nie sú v súlade s jednotnou transmisiou menovej politiky a mimoriadne sťažujú znižovanie verejného dlhu; berie na vedomie zriadenie nástroja na ochranu transmisie (TPI) v júli 2022 ako nástroja na podporu účinnej transmisie menovej politiky; </w:t>
      </w:r>
    </w:p>
    <w:p w:rsidR="00280800" w:rsidRPr="0099781E" w:rsidRDefault="00280800" w:rsidP="00280800">
      <w:pPr>
        <w:pStyle w:val="NormalHanging12a"/>
      </w:pPr>
      <w:r w:rsidRPr="0099781E">
        <w:t>25.</w:t>
      </w:r>
      <w:r w:rsidRPr="0099781E">
        <w:tab/>
        <w:t xml:space="preserve">zdôrazňuje, že rozdielne úrokové miery v eurozóne sú – pri neexistencii vážnych finančných otrasov – vo všeobecnosti výsledkom rôznych rizikových prirážok na štátne dlhopisy, ktoré okrem iných faktorov odrážajú rôzne prístupy k fiškálnej politike; konštatuje, že intervencie pomocou nástroja TPI môžu zakrývať základné fiškálne výzvy; zdôrazňuje, že nástroj TPI by sa mal používať za podmienok stanovených ECB len na riešenie napätia na finančných trhoch, ktoré nesúvisí s ekonomickými fundamentmi; vyzýva členské štáty, aby vykonávali zodpovedné fiškálne politiky </w:t>
      </w:r>
      <w:r w:rsidRPr="0099781E">
        <w:lastRenderedPageBreak/>
        <w:t>a zabezpečili udržateľné úrovne dlhu, čím by sa zabezpečila ich odolnosť voči súčasným a budúcim otrasom;</w:t>
      </w:r>
    </w:p>
    <w:p w:rsidR="00280800" w:rsidRPr="0099781E" w:rsidRDefault="00280800" w:rsidP="00280800">
      <w:pPr>
        <w:pStyle w:val="Normal12a24b"/>
      </w:pPr>
      <w:r w:rsidRPr="0099781E">
        <w:rPr>
          <w:rStyle w:val="BoldItalic"/>
        </w:rPr>
        <w:t xml:space="preserve">Digitálne euro </w:t>
      </w:r>
    </w:p>
    <w:p w:rsidR="00280800" w:rsidRDefault="00280800" w:rsidP="00280800">
      <w:pPr>
        <w:pStyle w:val="NormalHanging12a"/>
      </w:pPr>
      <w:r w:rsidRPr="0099781E">
        <w:t>26.</w:t>
      </w:r>
      <w:r w:rsidRPr="0099781E">
        <w:tab/>
      </w:r>
      <w:r w:rsidR="00111FA6" w:rsidRPr="00111FA6">
        <w:t xml:space="preserve">berie na vedomie </w:t>
      </w:r>
      <w:r w:rsidRPr="0099781E">
        <w:t xml:space="preserve">pokrok ECB v projekte digitálneho eura a </w:t>
      </w:r>
      <w:r w:rsidR="00111FA6" w:rsidRPr="00111FA6">
        <w:t xml:space="preserve">víta </w:t>
      </w:r>
      <w:r w:rsidRPr="0099781E">
        <w:t>jej prebiehajúci dialóg s</w:t>
      </w:r>
      <w:r w:rsidR="00AB3355" w:rsidRPr="0099781E">
        <w:t> Európskym p</w:t>
      </w:r>
      <w:r w:rsidRPr="0099781E">
        <w:t xml:space="preserve">arlamentom; zdôrazňuje, že </w:t>
      </w:r>
      <w:r w:rsidR="005141DF">
        <w:t xml:space="preserve">akékoľvek </w:t>
      </w:r>
      <w:r w:rsidRPr="0099781E">
        <w:t xml:space="preserve">digitálne euro by malo európskym občanom priniesť jasnú pridanú hodnotu vrátane posilnenej strategickej autonómie v oblasti platieb, vyššej úrovne hospodárskej súťaže na trhu s </w:t>
      </w:r>
      <w:proofErr w:type="spellStart"/>
      <w:r w:rsidRPr="0099781E">
        <w:t>retailovými</w:t>
      </w:r>
      <w:proofErr w:type="spellEnd"/>
      <w:r w:rsidRPr="0099781E">
        <w:t xml:space="preserve"> platbami, potenciálu na podporu inovácií v oblasti platieb a financií, lepšieho finančného začlenenia a spoľahlivého </w:t>
      </w:r>
      <w:proofErr w:type="spellStart"/>
      <w:r w:rsidRPr="0099781E">
        <w:t>offline</w:t>
      </w:r>
      <w:proofErr w:type="spellEnd"/>
      <w:r w:rsidRPr="0099781E">
        <w:t xml:space="preserve"> záložného platobného systému; vyzýva ECB, aby jasne </w:t>
      </w:r>
      <w:r w:rsidR="00111FA6" w:rsidRPr="00111FA6">
        <w:t xml:space="preserve">preukázala tieto výhody predtým, ako </w:t>
      </w:r>
      <w:proofErr w:type="spellStart"/>
      <w:r w:rsidR="00111FA6" w:rsidRPr="00111FA6">
        <w:t>spoluzákonodarcovia</w:t>
      </w:r>
      <w:proofErr w:type="spellEnd"/>
      <w:r w:rsidR="00111FA6" w:rsidRPr="00111FA6">
        <w:t xml:space="preserve"> EÚ rozhodnú, či sa zavedie digitálne euro, ktorý</w:t>
      </w:r>
      <w:r w:rsidR="00AD6027">
        <w:t>m</w:t>
      </w:r>
      <w:r w:rsidR="00111FA6" w:rsidRPr="00111FA6">
        <w:t xml:space="preserve"> sa nastolí správna rovnováha</w:t>
      </w:r>
      <w:r w:rsidRPr="0099781E">
        <w:t>, okrem iného pokiaľ ide o obmedzenia držby, ochranu súkromia, hospodársku súťaž so súkromnými platobnými riešeniami a použiteľnosť v podnikateľskom kontexte;</w:t>
      </w:r>
    </w:p>
    <w:p w:rsidR="00111FA6" w:rsidRPr="0099781E" w:rsidRDefault="005141DF" w:rsidP="00280800">
      <w:pPr>
        <w:pStyle w:val="NormalHanging12a"/>
      </w:pPr>
      <w:r>
        <w:t>27</w:t>
      </w:r>
      <w:r w:rsidR="00111FA6" w:rsidRPr="00111FA6">
        <w:t>.</w:t>
      </w:r>
      <w:r w:rsidR="00111FA6" w:rsidRPr="00111FA6">
        <w:tab/>
        <w:t xml:space="preserve">žiada, aby žiadne rozhodnutie o vydaní digitálneho eura neprijímala výlučne Rada guvernérov ECB; namiesto toho sa domnieva, že rozhodnutie o zavedení alebo nezavedení digitálneho eura je v konečnom dôsledku politickým rozhodnutím, ktoré musia prijať </w:t>
      </w:r>
      <w:proofErr w:type="spellStart"/>
      <w:r>
        <w:t>spolu</w:t>
      </w:r>
      <w:r w:rsidR="00111FA6" w:rsidRPr="00111FA6">
        <w:t>zákonodarcovia</w:t>
      </w:r>
      <w:proofErr w:type="spellEnd"/>
      <w:r w:rsidR="00111FA6" w:rsidRPr="00111FA6">
        <w:t xml:space="preserve"> EÚ, a to vzhľadom na veľký potenciálny vplyv </w:t>
      </w:r>
      <w:r>
        <w:t>takéhoto</w:t>
      </w:r>
      <w:r w:rsidR="00111FA6" w:rsidRPr="00111FA6">
        <w:t xml:space="preserve"> rozhodnutia na širokú škálu oblastí EÚ vrátane súkromia, ochrany spotrebiteľa, finančnej stability, finančnej politiky a iných oblastí, ktoré presahujú prísny rozsah menovej politiky;</w:t>
      </w:r>
    </w:p>
    <w:p w:rsidR="00280800" w:rsidRPr="0099781E" w:rsidRDefault="005141DF" w:rsidP="00280800">
      <w:pPr>
        <w:pStyle w:val="NormalHanging12a"/>
      </w:pPr>
      <w:r>
        <w:t>28</w:t>
      </w:r>
      <w:r w:rsidR="00280800" w:rsidRPr="0099781E">
        <w:t>.</w:t>
      </w:r>
      <w:r w:rsidR="00280800" w:rsidRPr="0099781E">
        <w:tab/>
        <w:t xml:space="preserve">domnieva sa, že digitálne euro bude úspešné len vtedy, ak poskytne európskym občanom hmatateľnú pridanú hodnotu, ktorej budú rozumieť; konštatuje, že v súčasnosti mnohí európski občania buď o projekte digitálneho eura nepočuli, alebo sú voči nemu skeptickí; </w:t>
      </w:r>
    </w:p>
    <w:p w:rsidR="00280800" w:rsidRPr="0099781E" w:rsidRDefault="005141DF" w:rsidP="00280800">
      <w:pPr>
        <w:pStyle w:val="NormalHanging12a"/>
      </w:pPr>
      <w:r>
        <w:t>29</w:t>
      </w:r>
      <w:r w:rsidR="00280800" w:rsidRPr="0099781E">
        <w:t>.</w:t>
      </w:r>
      <w:r w:rsidR="00280800" w:rsidRPr="0099781E">
        <w:tab/>
        <w:t xml:space="preserve">opakuje, že </w:t>
      </w:r>
      <w:r w:rsidR="005A4DD0" w:rsidRPr="005A4DD0">
        <w:t xml:space="preserve">hotovosť </w:t>
      </w:r>
      <w:r w:rsidR="00280800" w:rsidRPr="0099781E">
        <w:t xml:space="preserve">by </w:t>
      </w:r>
      <w:r w:rsidR="005A4DD0">
        <w:t>mala byť</w:t>
      </w:r>
      <w:r w:rsidR="00280800" w:rsidRPr="0099781E">
        <w:t xml:space="preserve"> naďalej široko dostupná a kedykoľvek k dispozícii, aby sa zabezpečila pluralita platobných prostriedkov; v tejto súvislosti víta návrh nariadenia o používaní eurovej hotovosti ako zákonného platidla;</w:t>
      </w:r>
    </w:p>
    <w:p w:rsidR="00280800" w:rsidRPr="0099781E" w:rsidRDefault="005141DF" w:rsidP="00280800">
      <w:pPr>
        <w:pStyle w:val="NormalHanging12a"/>
      </w:pPr>
      <w:r>
        <w:t>30</w:t>
      </w:r>
      <w:r w:rsidR="00280800" w:rsidRPr="0099781E">
        <w:t>.</w:t>
      </w:r>
      <w:r w:rsidR="00280800" w:rsidRPr="0099781E">
        <w:tab/>
        <w:t>zdôrazňuje potrebu kompenzačného modelu založeného na nákladoch pre bankový sektor, ktorý je poverený praktickým vykonávaním projektu digitálneho eura; pripomína, že kompenzačný model musí zaručiť, že euro bude pre jeho používateľov bez poplatkov;</w:t>
      </w:r>
    </w:p>
    <w:p w:rsidR="00280800" w:rsidRPr="0099781E" w:rsidRDefault="005141DF" w:rsidP="00280800">
      <w:pPr>
        <w:pStyle w:val="NormalHanging12a"/>
      </w:pPr>
      <w:r>
        <w:t>31</w:t>
      </w:r>
      <w:r w:rsidR="00280800" w:rsidRPr="0099781E">
        <w:t>.</w:t>
      </w:r>
      <w:r w:rsidR="00280800" w:rsidRPr="0099781E">
        <w:tab/>
        <w:t>vyzýva ECB, aby náležite zohľadnila obavy týkajúce sa finančnej stability a potenciálne zmeny v štruktúre finančného sektora v dôsledku zavedenia digitálneho eura; pripomína význam limitov držby, aby sa nevytvárali dodatočné riziká pre súvahy bánk, najmä počas kríz;</w:t>
      </w:r>
    </w:p>
    <w:p w:rsidR="00280800" w:rsidRPr="0099781E" w:rsidRDefault="005141DF" w:rsidP="00280800">
      <w:pPr>
        <w:pStyle w:val="NormalHanging12a"/>
      </w:pPr>
      <w:r>
        <w:t>32</w:t>
      </w:r>
      <w:r w:rsidR="00280800" w:rsidRPr="0099781E">
        <w:t>.</w:t>
      </w:r>
      <w:r w:rsidR="00280800" w:rsidRPr="0099781E">
        <w:tab/>
        <w:t>vyzýva ECB, aby uprednostnila spoľahlivé záruky ochrany súkromia a stanovila ich ako zlatý štandard ochrany súkromia pre digitálnu menu centrálnych bánk (CBDC) s cieľom zabezpečiť dôveru verejnosti a riešiť obavy občanov týkajúce sa ochrany a autonómie údajov;</w:t>
      </w:r>
    </w:p>
    <w:p w:rsidR="00280800" w:rsidRPr="0099781E" w:rsidRDefault="00280800" w:rsidP="00280800">
      <w:pPr>
        <w:pStyle w:val="Normal12a24b"/>
      </w:pPr>
      <w:r w:rsidRPr="0099781E">
        <w:rPr>
          <w:rStyle w:val="BoldItalic"/>
        </w:rPr>
        <w:t>Sekundárne ciele</w:t>
      </w:r>
    </w:p>
    <w:p w:rsidR="00280800" w:rsidRPr="0099781E" w:rsidRDefault="005141DF" w:rsidP="00280800">
      <w:pPr>
        <w:pStyle w:val="NormalHanging12a"/>
      </w:pPr>
      <w:r>
        <w:lastRenderedPageBreak/>
        <w:t>33</w:t>
      </w:r>
      <w:r w:rsidR="00280800" w:rsidRPr="0099781E">
        <w:t>.</w:t>
      </w:r>
      <w:r w:rsidR="00280800" w:rsidRPr="0099781E">
        <w:tab/>
        <w:t>zdôrazňuje, že sekundárne ciele EÚ sú v súčasnosti v zmluvách neurčité; konštatuje, že sekundárne ciele ECB svojím podporným charakterom dopĺňajú primárny mandát; podľa zmlúv je cieľom EÚ presadzovať mier, svoje hodnoty a blaho svojich občanov, vytvárať vyvážený hospodársky rast a cenovú stabilitu a vysoko konkurencieschopné sociálne trhové hospodárstvo zamerané na dosiahnutie plnej zamestnanosti a sociálneho pokroku, ako aj vysokú úroveň ochrany životného prostredia a zlepšenie jeho kvality,</w:t>
      </w:r>
    </w:p>
    <w:p w:rsidR="00280800" w:rsidRPr="0099781E" w:rsidRDefault="005141DF" w:rsidP="00280800">
      <w:pPr>
        <w:pStyle w:val="NormalHanging12a"/>
      </w:pPr>
      <w:r>
        <w:t>34</w:t>
      </w:r>
      <w:r w:rsidR="00280800" w:rsidRPr="0099781E">
        <w:t>.</w:t>
      </w:r>
      <w:r w:rsidR="00280800" w:rsidRPr="0099781E">
        <w:tab/>
        <w:t>pripomína, že bez toho, aby bol dotknutý primárny mandát ECB, zmluvy od nej vyžadujú, aby podporovala všeobecné hospodárske politiky Únie; vyzýva ECB, aby sa pri výklade svojich sekundárnych cieľov alebo pri ich plnení riadila svojím mandátom; zdôrazňuje, že prekročenie tohto mandátu sa dotýka nezávislosti ECB; domnieva sa, že zachovanie cenovej stability a stabilných makroekonomických podmienok prispieva k vytvoreniu vhodných podmienok na vykonávanie všeobecných cieľov hospodárskej politiky EÚ;</w:t>
      </w:r>
    </w:p>
    <w:p w:rsidR="00280800" w:rsidRPr="0099781E" w:rsidRDefault="005141DF" w:rsidP="00280800">
      <w:pPr>
        <w:pStyle w:val="NormalHanging12a"/>
      </w:pPr>
      <w:r>
        <w:t>35</w:t>
      </w:r>
      <w:r w:rsidR="00280800" w:rsidRPr="0099781E">
        <w:t>.</w:t>
      </w:r>
      <w:r w:rsidR="00280800" w:rsidRPr="0099781E">
        <w:tab/>
        <w:t>zdôrazňuje, že sekundárne ciele ECB sa najlepšie dosiahnu vtedy, keď funguje v stabilnom makroekonomickom prostredí založenom na predvídateľných cenových úrovniach, čo podporuje investície; vyzýva ECB, aby do svojej výročnej správy zahrnula osobitnú kapitolu, v ktorej vysvetlí, ako interpretovala a realizovala svoje sekundárne ciele;</w:t>
      </w:r>
    </w:p>
    <w:p w:rsidR="00280800" w:rsidRPr="0099781E" w:rsidRDefault="005141DF" w:rsidP="00280800">
      <w:pPr>
        <w:pStyle w:val="NormalHanging12a"/>
      </w:pPr>
      <w:r>
        <w:t>36</w:t>
      </w:r>
      <w:r w:rsidR="00280800" w:rsidRPr="0099781E">
        <w:t>.</w:t>
      </w:r>
      <w:r w:rsidR="00280800" w:rsidRPr="0099781E">
        <w:tab/>
        <w:t>zdôrazňuje, že ECB by mala predchádzať narušeniam signalizačnej funkcie cien, ktorá zabezpečuje efektívne prideľovanie zdrojov; vyzýva ECB, aby ďalej posúdila, do akej miery zmena klímy ovplyvňuje jej schopnosť udržiavať cenovú stabilitu;</w:t>
      </w:r>
    </w:p>
    <w:p w:rsidR="00280800" w:rsidRPr="0099781E" w:rsidRDefault="005141DF" w:rsidP="00280800">
      <w:pPr>
        <w:pStyle w:val="NormalHanging12a"/>
      </w:pPr>
      <w:r>
        <w:t>37</w:t>
      </w:r>
      <w:r w:rsidR="00280800" w:rsidRPr="0099781E">
        <w:t>.</w:t>
      </w:r>
      <w:r w:rsidR="00280800" w:rsidRPr="0099781E">
        <w:tab/>
      </w:r>
      <w:r w:rsidR="00331EE6" w:rsidRPr="00331EE6">
        <w:t>vyzýva ECB</w:t>
      </w:r>
      <w:r w:rsidR="00280800" w:rsidRPr="0099781E">
        <w:t>, aby dodržiavala prístup vychádzajúci z neutrality trhu pri všetkých svojich menových operáciách</w:t>
      </w:r>
      <w:r w:rsidR="00331EE6" w:rsidRPr="00331EE6">
        <w:t>, pričom poznamenáva, že ECB uznáva, že trhová neutralita je skôr operačným nástrojom než právnou požiadavkou</w:t>
      </w:r>
      <w:r w:rsidR="00280800" w:rsidRPr="0099781E">
        <w:t xml:space="preserve">; </w:t>
      </w:r>
    </w:p>
    <w:p w:rsidR="00280800" w:rsidRPr="0099781E" w:rsidRDefault="005141DF" w:rsidP="00280800">
      <w:pPr>
        <w:pStyle w:val="NormalHanging12a"/>
      </w:pPr>
      <w:r>
        <w:t>38</w:t>
      </w:r>
      <w:r w:rsidR="00280800" w:rsidRPr="0099781E">
        <w:t>.</w:t>
      </w:r>
      <w:r w:rsidR="00280800" w:rsidRPr="0099781E">
        <w:tab/>
        <w:t>konštatuje, že opatrenia ECB zamerané na dekarbonizáciu podnikových dlhopisov sa neriadili striktne trhovo neutrálnym prístupom;</w:t>
      </w:r>
    </w:p>
    <w:p w:rsidR="00280800" w:rsidRPr="0099781E" w:rsidRDefault="005141DF" w:rsidP="00280800">
      <w:pPr>
        <w:pStyle w:val="NormalHanging12a"/>
      </w:pPr>
      <w:r>
        <w:t>39</w:t>
      </w:r>
      <w:r w:rsidR="00280800" w:rsidRPr="0099781E">
        <w:t>.</w:t>
      </w:r>
      <w:r w:rsidR="00280800" w:rsidRPr="0099781E">
        <w:tab/>
        <w:t>vyzýva ECB, aby prehodnotila svoje politiky s cieľom zabezpečiť, aby tieto opatrenia podporovali konkurencieschopnosť EÚ, pričom takéto kroky by v žiadnom prípade nemali ohroziť hlavný cieľ ECB;</w:t>
      </w:r>
    </w:p>
    <w:p w:rsidR="00280800" w:rsidRPr="0099781E" w:rsidRDefault="005141DF" w:rsidP="00280800">
      <w:pPr>
        <w:pStyle w:val="NormalHanging12a"/>
      </w:pPr>
      <w:r>
        <w:t>40</w:t>
      </w:r>
      <w:r w:rsidR="00280800" w:rsidRPr="0099781E">
        <w:t>.</w:t>
      </w:r>
      <w:r w:rsidR="00280800" w:rsidRPr="0099781E">
        <w:tab/>
        <w:t>vyzýva ECB, aby využila všetky svoje dostupné nástroje na zabezpečenie toho, aby banky brali vážne všetky finančné a vonkajšie riziká vrátane klimatických a geopolitických rizík; víta aktivity ECB zamerané na ďalšie zlepšovanie nástrojov a kapacít Eurosystému v oblasti posudzovania rizík s cieľom lepšie zahrnúť riziká súvisiace s klímou a životným prostredím, najmä preto, že zmena klímy a extrémne poveternostné javy by mohli viesť k väčšej nestálosti cien, najmä v agropotravinárskom sektore; vyzýva ECB, aby pokračovala vo svojej práci na záťažových testoch týkajúcich sa klimatických rizík, ktoré boli vyvinuté na posúdenie odolnosti bánk a podnikov voči riziku zmeny klímy;</w:t>
      </w:r>
    </w:p>
    <w:p w:rsidR="00280800" w:rsidRPr="0099781E" w:rsidRDefault="005141DF" w:rsidP="00280800">
      <w:pPr>
        <w:pStyle w:val="NormalHanging12a"/>
      </w:pPr>
      <w:r>
        <w:t>41</w:t>
      </w:r>
      <w:r w:rsidR="00280800" w:rsidRPr="0099781E">
        <w:t>.</w:t>
      </w:r>
      <w:r w:rsidR="00280800" w:rsidRPr="0099781E">
        <w:tab/>
        <w:t>berie na vedomie plán v oblasti klimatických zmien a prírody na roky 2024 – 2025; vyzýva ECB, aby vypracovala geopolitický plán na roky 2025 – 2030 s cieľom lepšie pochopiť dôsledky vojny a konfliktov na cenovú stabilitu a rovnako zaobchádzať so všetkými potenciálnymi zdrojmi vonkajších otrasov;</w:t>
      </w:r>
    </w:p>
    <w:p w:rsidR="00280800" w:rsidRPr="0099781E" w:rsidRDefault="00280800" w:rsidP="00280800">
      <w:pPr>
        <w:pStyle w:val="Normal12a24b"/>
      </w:pPr>
      <w:r w:rsidRPr="0099781E">
        <w:rPr>
          <w:rStyle w:val="BoldItalic"/>
        </w:rPr>
        <w:lastRenderedPageBreak/>
        <w:t>Ostatné aspekty</w:t>
      </w:r>
    </w:p>
    <w:p w:rsidR="00280800" w:rsidRPr="0099781E" w:rsidRDefault="005141DF" w:rsidP="00280800">
      <w:pPr>
        <w:pStyle w:val="NormalHanging12a"/>
      </w:pPr>
      <w:r>
        <w:t>42</w:t>
      </w:r>
      <w:r w:rsidR="00280800" w:rsidRPr="0099781E">
        <w:t>.</w:t>
      </w:r>
      <w:r w:rsidR="00280800" w:rsidRPr="0099781E">
        <w:tab/>
        <w:t>zdôrazňuje, že posilnená medzinárodná úloha eura by viedla k nižším úrokovým sadzbám v eurozóne, posilneniu postavenia EÚ na medzinárodnej scéne a posilneniu makroekonomickej stability; pripomína, že posilnenie medzinárodnej úlohy eura by prispelo k posilneniu strategickej autonómie EÚ;</w:t>
      </w:r>
    </w:p>
    <w:p w:rsidR="00280800" w:rsidRPr="0099781E" w:rsidRDefault="005141DF" w:rsidP="00280800">
      <w:pPr>
        <w:pStyle w:val="NormalHanging12a"/>
      </w:pPr>
      <w:r>
        <w:t>43</w:t>
      </w:r>
      <w:r w:rsidR="00280800" w:rsidRPr="0099781E">
        <w:t>.</w:t>
      </w:r>
      <w:r w:rsidR="00280800" w:rsidRPr="0099781E">
        <w:tab/>
        <w:t>vyzýva ECB, aby sa zaoberala posilnením medzinárodnej úlohy eura s cieľom zvýšiť jeho atraktívnosť ako rezervnej meny a podporila posuny v tomto smere iniciované trhom; poznamenáva, že dobudovanie hospodárskej a menovej únie by mohlo posilniť medzinárodnú úlohu eura;</w:t>
      </w:r>
    </w:p>
    <w:p w:rsidR="00280800" w:rsidRPr="0099781E" w:rsidRDefault="005141DF" w:rsidP="00280800">
      <w:pPr>
        <w:pStyle w:val="NormalHanging12a"/>
      </w:pPr>
      <w:r>
        <w:t>44</w:t>
      </w:r>
      <w:r w:rsidR="00280800" w:rsidRPr="0099781E">
        <w:t>.</w:t>
      </w:r>
      <w:r w:rsidR="00280800" w:rsidRPr="0099781E">
        <w:tab/>
        <w:t>berie na vedomie podporu ECB vytvoreniu plnohodnotného európskeho systému ochrany vkladov; uznáva, že rozdelenie rizika a znižovanie rizika sú vzájomne prepojené;</w:t>
      </w:r>
    </w:p>
    <w:p w:rsidR="00280800" w:rsidRPr="0099781E" w:rsidRDefault="005141DF" w:rsidP="00280800">
      <w:pPr>
        <w:pStyle w:val="NormalHanging12a"/>
      </w:pPr>
      <w:r>
        <w:t>45</w:t>
      </w:r>
      <w:r w:rsidR="00280800" w:rsidRPr="0099781E">
        <w:t>.</w:t>
      </w:r>
      <w:r w:rsidR="00280800" w:rsidRPr="0099781E">
        <w:tab/>
        <w:t>víta pozornosť, ktorú ECB venuje rizikám kybernetických útokov; vyzýva ECB, aby zaistila bezpečnosť a ochranu menového systému pre jeho používateľov, najmä vzhľadom na prebiehajúci geopolitický vývoj;</w:t>
      </w:r>
    </w:p>
    <w:p w:rsidR="00280800" w:rsidRPr="0099781E" w:rsidRDefault="005141DF" w:rsidP="00280800">
      <w:pPr>
        <w:pStyle w:val="NormalHanging12a"/>
      </w:pPr>
      <w:r>
        <w:t>46</w:t>
      </w:r>
      <w:r w:rsidR="00280800" w:rsidRPr="0099781E">
        <w:t>.</w:t>
      </w:r>
      <w:r w:rsidR="00280800" w:rsidRPr="0099781E">
        <w:tab/>
        <w:t>domnieva sa, že finančná stabilita je predpokladom účinnej menovej politiky a odolného finančného systému; víta finalizáciu rámca Bazilej III a jeho implementáciu od 1. januára 2025, pretože má potenciál posilniť odolnosť bankového sektora v tejto oblasti; berie však na vedomie oneskorenie implementácie a nedostatok jasnosti, pokiaľ ide o implementáciu zo strany niektorých ďalších jurisdikcií, čo vedie k nerovnakým podmienkam na celosvetovej úrovni;</w:t>
      </w:r>
    </w:p>
    <w:p w:rsidR="00280800" w:rsidRPr="0099781E" w:rsidRDefault="005141DF" w:rsidP="00280800">
      <w:pPr>
        <w:pStyle w:val="NormalHanging12a"/>
      </w:pPr>
      <w:r>
        <w:t>47</w:t>
      </w:r>
      <w:r w:rsidR="00280800" w:rsidRPr="0099781E">
        <w:t>.</w:t>
      </w:r>
      <w:r w:rsidR="00280800" w:rsidRPr="0099781E">
        <w:tab/>
        <w:t>berie na vedomie obavy ECB v súvislosti s nárastom tieňového bankovníctva a rizikom, ktoré môže predstavovať pre finančnú stabilitu;</w:t>
      </w:r>
    </w:p>
    <w:p w:rsidR="00280800" w:rsidRPr="0099781E" w:rsidRDefault="005141DF" w:rsidP="00280800">
      <w:pPr>
        <w:pStyle w:val="NormalHanging12a"/>
      </w:pPr>
      <w:r>
        <w:t>48</w:t>
      </w:r>
      <w:r w:rsidR="00280800" w:rsidRPr="0099781E">
        <w:t>.</w:t>
      </w:r>
      <w:r w:rsidR="00280800" w:rsidRPr="0099781E">
        <w:tab/>
        <w:t>podporuje spoluprácu s členskými štátmi a národnými centrálnymi bankami na programoch finančnej gramotnosti s cieľom umožniť jednotlivcom a podnikom prijímať informované finančné rozhodnutia;</w:t>
      </w:r>
    </w:p>
    <w:p w:rsidR="00280800" w:rsidRPr="0099781E" w:rsidRDefault="005141DF" w:rsidP="00280800">
      <w:pPr>
        <w:pStyle w:val="NormalHanging12a"/>
      </w:pPr>
      <w:r>
        <w:t>49</w:t>
      </w:r>
      <w:r w:rsidR="00280800" w:rsidRPr="0099781E">
        <w:t>.</w:t>
      </w:r>
      <w:r w:rsidR="00280800" w:rsidRPr="0099781E">
        <w:tab/>
        <w:t>vyjadruje poľutovanie nad tým, že medzi členmi Výkonnej rady ECB a Rady guvernérov sú len dve ženy; opakuje, že nominácie do výkonnej rady by mali byť rodovo-vyvážené a Európskemu parlamentu by sa mali predkladať užšie zoznamy kandidátov; naliehavo vyzýva členské štáty eurozóny, aby zlepšili zásady rodovej rovnosti vo svojich postupoch vymenúvania, aby obe pohlavia mali rovnaké príležitosti zastávať funkciu guvernérov svojich národných centrálnych bánk;</w:t>
      </w:r>
    </w:p>
    <w:p w:rsidR="00280800" w:rsidRPr="0099781E" w:rsidRDefault="005141DF" w:rsidP="00280800">
      <w:pPr>
        <w:pStyle w:val="NormalHanging12a"/>
      </w:pPr>
      <w:r>
        <w:t>50</w:t>
      </w:r>
      <w:r w:rsidR="00280800" w:rsidRPr="0099781E">
        <w:t>.</w:t>
      </w:r>
      <w:r w:rsidR="00280800" w:rsidRPr="0099781E">
        <w:tab/>
        <w:t>opakuje, že menovanie do ECB by malo byť založené na objektívnych postupoch hodnotenia zásluh a kompetencií;</w:t>
      </w:r>
    </w:p>
    <w:p w:rsidR="00280800" w:rsidRPr="0099781E" w:rsidRDefault="005141DF" w:rsidP="00280800">
      <w:pPr>
        <w:pStyle w:val="NormalHanging12a"/>
      </w:pPr>
      <w:r>
        <w:t>51</w:t>
      </w:r>
      <w:r w:rsidR="00280800" w:rsidRPr="0099781E">
        <w:t>.</w:t>
      </w:r>
      <w:r w:rsidR="00280800" w:rsidRPr="0099781E">
        <w:tab/>
        <w:t>podporuje cieľ ECB zvýšiť zastúpenie žien podporou ich napredovania v tejto oblasti; preto víta iniciatívy, akou je štipendium ECB pre ženy v ekonómii;</w:t>
      </w:r>
    </w:p>
    <w:p w:rsidR="00280800" w:rsidRPr="0099781E" w:rsidRDefault="005141DF" w:rsidP="00280800">
      <w:pPr>
        <w:pStyle w:val="NormalHanging12a"/>
      </w:pPr>
      <w:r>
        <w:t>52</w:t>
      </w:r>
      <w:r w:rsidR="00280800" w:rsidRPr="0099781E">
        <w:t>.</w:t>
      </w:r>
      <w:r w:rsidR="00280800" w:rsidRPr="0099781E">
        <w:tab/>
        <w:t>zdôrazňuje, že najnovšia správa o finančnej stabilite, ktorú ECB uverejnila v novembri 2024, upozorňuje na obavy z možnej cenovej bubliny v súvislosti s umelou inteligenciou, keďže prospech z umelej inteligencie sa sústreďuje v niekoľkých veľkých firmách;</w:t>
      </w:r>
    </w:p>
    <w:p w:rsidR="00280800" w:rsidRPr="0099781E" w:rsidRDefault="005141DF" w:rsidP="00280800">
      <w:pPr>
        <w:pStyle w:val="NormalHanging12a"/>
      </w:pPr>
      <w:r>
        <w:lastRenderedPageBreak/>
        <w:t>53</w:t>
      </w:r>
      <w:r w:rsidR="00280800" w:rsidRPr="0099781E">
        <w:t>.</w:t>
      </w:r>
      <w:r w:rsidR="00280800" w:rsidRPr="0099781E">
        <w:tab/>
        <w:t>vyzýva na ďalšie posilnenie vnútorného rámca ECB pre oznamovanie protispoločenskej činnosti tak, aby bol v súlade so smernicou EÚ o oznamovateľoch;</w:t>
      </w:r>
    </w:p>
    <w:p w:rsidR="00280800" w:rsidRPr="0099781E" w:rsidRDefault="005141DF" w:rsidP="00280800">
      <w:pPr>
        <w:pStyle w:val="NormalHanging12a"/>
      </w:pPr>
      <w:r>
        <w:t>54</w:t>
      </w:r>
      <w:r w:rsidR="00280800" w:rsidRPr="0099781E">
        <w:t>.</w:t>
      </w:r>
      <w:r w:rsidR="00280800" w:rsidRPr="0099781E">
        <w:tab/>
        <w:t>vyzýva ESCB, aby pokračoval v dialógoch s národnými parlamentmi a ďalej ich posilňoval, pretože sa domnieva, že to posilní legitimitu a politiky ESCB;</w:t>
      </w:r>
    </w:p>
    <w:p w:rsidR="00FF25CA" w:rsidRPr="0099781E" w:rsidRDefault="00FF25CA" w:rsidP="00FF25CA">
      <w:pPr>
        <w:pStyle w:val="NormalHanging12a"/>
        <w:ind w:left="0" w:firstLine="0"/>
        <w:jc w:val="center"/>
      </w:pPr>
      <w:r w:rsidRPr="0099781E">
        <w:t>°</w:t>
      </w:r>
    </w:p>
    <w:p w:rsidR="00FF25CA" w:rsidRPr="0099781E" w:rsidRDefault="00FF25CA" w:rsidP="00FF25CA">
      <w:pPr>
        <w:pStyle w:val="NormalHanging12a"/>
        <w:ind w:left="0" w:firstLine="0"/>
        <w:jc w:val="center"/>
      </w:pPr>
      <w:r w:rsidRPr="0099781E">
        <w:t>°     °</w:t>
      </w:r>
    </w:p>
    <w:p w:rsidR="00E365E1" w:rsidRPr="0099781E" w:rsidRDefault="005141DF" w:rsidP="00FF25CA">
      <w:pPr>
        <w:pStyle w:val="NormalHanging12a"/>
      </w:pPr>
      <w:r>
        <w:t>55</w:t>
      </w:r>
      <w:r w:rsidR="00280800" w:rsidRPr="0099781E">
        <w:t>.</w:t>
      </w:r>
      <w:r w:rsidR="00280800" w:rsidRPr="0099781E">
        <w:tab/>
        <w:t>poveruje svoju predsedníčku, aby postúpila toto uznesenie Rade, Komisii a Európskej centrálnej banke.</w:t>
      </w:r>
    </w:p>
    <w:sectPr w:rsidR="00E365E1" w:rsidRPr="0099781E" w:rsidSect="00FB73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F98" w:rsidRPr="00FB7308" w:rsidRDefault="00232F98">
      <w:r w:rsidRPr="00FB7308">
        <w:separator/>
      </w:r>
    </w:p>
  </w:endnote>
  <w:endnote w:type="continuationSeparator" w:id="0">
    <w:p w:rsidR="00232F98" w:rsidRPr="00FB7308" w:rsidRDefault="00232F98">
      <w:r w:rsidRPr="00FB73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F98" w:rsidRPr="00FB7308" w:rsidRDefault="00232F98">
      <w:r w:rsidRPr="00FB7308">
        <w:separator/>
      </w:r>
    </w:p>
  </w:footnote>
  <w:footnote w:type="continuationSeparator" w:id="0">
    <w:p w:rsidR="00232F98" w:rsidRPr="00FB7308" w:rsidRDefault="00232F98">
      <w:r w:rsidRPr="00FB7308">
        <w:continuationSeparator/>
      </w:r>
    </w:p>
  </w:footnote>
  <w:footnote w:id="1">
    <w:p w:rsidR="00280800" w:rsidRPr="00FB7308" w:rsidRDefault="00280800" w:rsidP="00FB7308">
      <w:pPr>
        <w:pStyle w:val="FootnoteText"/>
        <w:ind w:left="567" w:hanging="567"/>
        <w:rPr>
          <w:sz w:val="24"/>
          <w:lang w:val="sk-SK"/>
        </w:rPr>
      </w:pPr>
      <w:r w:rsidRPr="00FB7308">
        <w:rPr>
          <w:rStyle w:val="FootnoteReference"/>
          <w:sz w:val="24"/>
          <w:lang w:val="sk-SK"/>
        </w:rPr>
        <w:footnoteRef/>
      </w:r>
      <w:r w:rsidR="00FB7308" w:rsidRPr="00FB7308">
        <w:rPr>
          <w:sz w:val="24"/>
          <w:lang w:val="sk-SK"/>
        </w:rPr>
        <w:t xml:space="preserve"> </w:t>
      </w:r>
      <w:r w:rsidR="00FB7308" w:rsidRPr="00FB7308">
        <w:rPr>
          <w:sz w:val="24"/>
          <w:lang w:val="sk-SK"/>
        </w:rPr>
        <w:tab/>
      </w:r>
      <w:r w:rsidRPr="00FB7308">
        <w:rPr>
          <w:sz w:val="24"/>
          <w:lang w:val="sk-SK"/>
        </w:rPr>
        <w:t>Ú. v. EÚ C 283, 11.8.2023, s. 40.</w:t>
      </w:r>
    </w:p>
  </w:footnote>
  <w:footnote w:id="2">
    <w:p w:rsidR="00280800" w:rsidRPr="00FB7308" w:rsidRDefault="00280800" w:rsidP="00FB7308">
      <w:pPr>
        <w:pStyle w:val="FootnoteText"/>
        <w:ind w:left="567" w:hanging="567"/>
        <w:rPr>
          <w:sz w:val="24"/>
          <w:lang w:val="sk-SK"/>
        </w:rPr>
      </w:pPr>
      <w:r w:rsidRPr="00FB7308">
        <w:rPr>
          <w:rStyle w:val="FootnoteReference"/>
          <w:sz w:val="24"/>
          <w:lang w:val="sk-SK"/>
        </w:rPr>
        <w:footnoteRef/>
      </w:r>
      <w:r w:rsidR="00FB7308" w:rsidRPr="00FB7308">
        <w:rPr>
          <w:sz w:val="24"/>
          <w:lang w:val="sk-SK"/>
        </w:rPr>
        <w:t xml:space="preserve"> </w:t>
      </w:r>
      <w:r w:rsidR="00FB7308" w:rsidRPr="00FB7308">
        <w:rPr>
          <w:sz w:val="24"/>
          <w:lang w:val="sk-SK"/>
        </w:rPr>
        <w:tab/>
      </w:r>
      <w:r w:rsidRPr="00FB7308">
        <w:rPr>
          <w:sz w:val="24"/>
          <w:lang w:val="sk-SK"/>
        </w:rPr>
        <w:t xml:space="preserve">Prijaté texty, Ú. v. </w:t>
      </w:r>
      <w:r w:rsidRPr="00FB7308">
        <w:rPr>
          <w:sz w:val="24"/>
          <w:lang w:val="sk-SK"/>
        </w:rPr>
        <w:t xml:space="preserve">EÚ C, C/2024/6738, 26.11.2024, ELI: </w:t>
      </w:r>
      <w:hyperlink r:id="rId1" w:history="1">
        <w:r w:rsidRPr="00AC5427">
          <w:rPr>
            <w:rStyle w:val="Hyperlink"/>
            <w:sz w:val="24"/>
            <w:lang w:val="sk-SK"/>
          </w:rPr>
          <w:t>http://data.europa.eu/eli/C/2024/6738/oj</w:t>
        </w:r>
      </w:hyperlink>
      <w:r w:rsidRPr="00FB7308">
        <w:rPr>
          <w:sz w:val="24"/>
          <w:lang w:val="sk-SK"/>
        </w:rPr>
        <w:t>.</w:t>
      </w:r>
    </w:p>
  </w:footnote>
  <w:footnote w:id="3">
    <w:p w:rsidR="00280800" w:rsidRPr="00FB7308" w:rsidRDefault="00280800" w:rsidP="00FB7308">
      <w:pPr>
        <w:pStyle w:val="FootnoteText"/>
        <w:ind w:left="567" w:hanging="567"/>
        <w:rPr>
          <w:sz w:val="24"/>
          <w:lang w:val="sk-SK"/>
        </w:rPr>
      </w:pPr>
      <w:r w:rsidRPr="00FB7308">
        <w:rPr>
          <w:rStyle w:val="FootnoteReference"/>
          <w:sz w:val="24"/>
          <w:lang w:val="sk-SK"/>
        </w:rPr>
        <w:footnoteRef/>
      </w:r>
      <w:r w:rsidR="00FB7308" w:rsidRPr="00FB7308">
        <w:rPr>
          <w:sz w:val="24"/>
          <w:lang w:val="sk-SK"/>
        </w:rPr>
        <w:t xml:space="preserve"> </w:t>
      </w:r>
      <w:r w:rsidR="00FB7308" w:rsidRPr="00FB7308">
        <w:rPr>
          <w:sz w:val="24"/>
          <w:lang w:val="sk-SK"/>
        </w:rPr>
        <w:tab/>
      </w:r>
      <w:r w:rsidRPr="00AC5427">
        <w:rPr>
          <w:sz w:val="24"/>
          <w:lang w:val="sk-SK"/>
        </w:rPr>
        <w:t>Ú. v. EÚ L</w:t>
      </w:r>
      <w:r w:rsidR="00AC5427">
        <w:rPr>
          <w:sz w:val="24"/>
          <w:lang w:val="sk-SK"/>
        </w:rPr>
        <w:t>,</w:t>
      </w:r>
      <w:r w:rsidRPr="00AC5427">
        <w:rPr>
          <w:sz w:val="24"/>
          <w:lang w:val="sk-SK"/>
        </w:rPr>
        <w:t xml:space="preserve"> </w:t>
      </w:r>
      <w:r w:rsidR="00AC5427">
        <w:rPr>
          <w:sz w:val="24"/>
          <w:lang w:val="sk-SK"/>
        </w:rPr>
        <w:t>2024/</w:t>
      </w:r>
      <w:r w:rsidRPr="00AC5427">
        <w:rPr>
          <w:sz w:val="24"/>
          <w:lang w:val="sk-SK"/>
        </w:rPr>
        <w:t xml:space="preserve">1623, 19.6.2024, ELI: </w:t>
      </w:r>
      <w:hyperlink r:id="rId2" w:history="1">
        <w:r w:rsidRPr="00AC5427">
          <w:rPr>
            <w:rStyle w:val="Hyperlink"/>
            <w:sz w:val="24"/>
            <w:lang w:val="sk-SK"/>
          </w:rPr>
          <w:t>http://data.europa.eu/eli/reg/2024/1623/oj</w:t>
        </w:r>
      </w:hyperlink>
      <w:r w:rsidRPr="00AC5427">
        <w:rPr>
          <w:sz w:val="24"/>
          <w:lang w:val="sk-SK"/>
        </w:rPr>
        <w:t>.</w:t>
      </w:r>
    </w:p>
  </w:footnote>
  <w:footnote w:id="4">
    <w:p w:rsidR="00280800" w:rsidRPr="00FB7308" w:rsidRDefault="00280800" w:rsidP="00FB7308">
      <w:pPr>
        <w:pStyle w:val="FootnoteText"/>
        <w:ind w:left="567" w:hanging="567"/>
        <w:rPr>
          <w:sz w:val="24"/>
          <w:lang w:val="sk-SK"/>
        </w:rPr>
      </w:pPr>
      <w:r w:rsidRPr="00AC5427">
        <w:footnoteRef/>
      </w:r>
      <w:r w:rsidR="00FB7308" w:rsidRPr="00FB7308">
        <w:rPr>
          <w:sz w:val="24"/>
          <w:lang w:val="sk-SK"/>
        </w:rPr>
        <w:t xml:space="preserve"> </w:t>
      </w:r>
      <w:r w:rsidR="00FB7308" w:rsidRPr="00FB7308">
        <w:rPr>
          <w:sz w:val="24"/>
          <w:lang w:val="sk-SK"/>
        </w:rPr>
        <w:tab/>
      </w:r>
      <w:r w:rsidRPr="00AC5427">
        <w:rPr>
          <w:sz w:val="24"/>
          <w:lang w:val="sk-SK"/>
        </w:rPr>
        <w:t>Ú. v. EÚ L</w:t>
      </w:r>
      <w:r w:rsidR="00AC5427">
        <w:rPr>
          <w:sz w:val="24"/>
          <w:lang w:val="sk-SK"/>
        </w:rPr>
        <w:t>,</w:t>
      </w:r>
      <w:r w:rsidRPr="00AC5427">
        <w:rPr>
          <w:sz w:val="24"/>
          <w:lang w:val="sk-SK"/>
        </w:rPr>
        <w:t xml:space="preserve"> </w:t>
      </w:r>
      <w:r w:rsidR="00AC5427">
        <w:rPr>
          <w:sz w:val="24"/>
          <w:lang w:val="sk-SK"/>
        </w:rPr>
        <w:t>2024/</w:t>
      </w:r>
      <w:r w:rsidRPr="00AC5427">
        <w:rPr>
          <w:sz w:val="24"/>
          <w:lang w:val="sk-SK"/>
        </w:rPr>
        <w:t xml:space="preserve">1619, 19.6.2024, ELI: </w:t>
      </w:r>
      <w:hyperlink r:id="rId3" w:history="1">
        <w:r w:rsidRPr="00AC5427">
          <w:rPr>
            <w:rStyle w:val="Hyperlink"/>
            <w:sz w:val="24"/>
            <w:lang w:val="sk-SK"/>
          </w:rPr>
          <w:t>http://data.europa.eu/eli/dir/2024/1619/oj</w:t>
        </w:r>
      </w:hyperlink>
      <w:bookmarkStart w:id="7" w:name="_GoBack"/>
      <w:bookmarkEnd w:id="7"/>
      <w:r w:rsidRPr="00AC5427">
        <w:rPr>
          <w:sz w:val="24"/>
          <w:lang w:val="sk-SK"/>
        </w:rPr>
        <w:t>.</w:t>
      </w:r>
    </w:p>
  </w:footnote>
  <w:footnote w:id="5">
    <w:p w:rsidR="00280800" w:rsidRPr="00FB7308" w:rsidRDefault="00280800" w:rsidP="00FB7308">
      <w:pPr>
        <w:pStyle w:val="FootnoteText"/>
        <w:ind w:left="567" w:hanging="567"/>
        <w:rPr>
          <w:sz w:val="24"/>
          <w:lang w:val="sk-SK"/>
        </w:rPr>
      </w:pPr>
      <w:r w:rsidRPr="00FB7308">
        <w:rPr>
          <w:rStyle w:val="FootnoteReference"/>
          <w:sz w:val="24"/>
          <w:lang w:val="sk-SK"/>
        </w:rPr>
        <w:footnoteRef/>
      </w:r>
      <w:r w:rsidR="00FB7308" w:rsidRPr="00FB7308">
        <w:rPr>
          <w:sz w:val="24"/>
          <w:lang w:val="sk-SK"/>
        </w:rPr>
        <w:t xml:space="preserve"> </w:t>
      </w:r>
      <w:r w:rsidR="00FB7308" w:rsidRPr="00FB7308">
        <w:rPr>
          <w:sz w:val="24"/>
          <w:lang w:val="sk-SK"/>
        </w:rPr>
        <w:tab/>
      </w:r>
      <w:hyperlink r:id="rId4" w:anchor="toc6" w:history="1">
        <w:r w:rsidR="0040569D" w:rsidRPr="00FB7308">
          <w:rPr>
            <w:rStyle w:val="Hyperlink"/>
            <w:sz w:val="24"/>
            <w:lang w:val="sk-SK"/>
          </w:rPr>
          <w:t>https://www.ecb.europa.eu/press/projections/html/ecb.projections202412_</w:t>
        </w:r>
        <w:r w:rsidR="0040569D">
          <w:rPr>
            <w:rStyle w:val="Hyperlink"/>
            <w:sz w:val="24"/>
            <w:lang w:val="sk-SK"/>
          </w:rPr>
          <w:br/>
        </w:r>
        <w:r w:rsidR="0040569D" w:rsidRPr="00FB7308">
          <w:rPr>
            <w:rStyle w:val="Hyperlink"/>
            <w:sz w:val="24"/>
            <w:lang w:val="sk-SK"/>
          </w:rPr>
          <w:t>eurosystemstaff~71a06224a5.sk.html#toc6</w:t>
        </w:r>
      </w:hyperlink>
      <w:r w:rsidR="0040569D" w:rsidRPr="00FB7308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3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SK"/>
    <w:docVar w:name="dvnumam" w:val="0"/>
    <w:docVar w:name="dvpe" w:val="765.056"/>
    <w:docVar w:name="dvrapporteur" w:val="Spravodajca: "/>
    <w:docVar w:name="dvtitre" w:val="Uznesenie Európskeho parlamentu z xx. februára 2025 o Európskej centrálnej banke – výročná správa za rok 2024(2024/2054(INI))"/>
  </w:docVars>
  <w:rsids>
    <w:rsidRoot w:val="00232F98"/>
    <w:rsid w:val="00002272"/>
    <w:rsid w:val="00064002"/>
    <w:rsid w:val="000677B9"/>
    <w:rsid w:val="000831BA"/>
    <w:rsid w:val="000A42CC"/>
    <w:rsid w:val="000D785C"/>
    <w:rsid w:val="000E7DD9"/>
    <w:rsid w:val="000F3E7B"/>
    <w:rsid w:val="0010095E"/>
    <w:rsid w:val="00111FA6"/>
    <w:rsid w:val="00125B37"/>
    <w:rsid w:val="00187494"/>
    <w:rsid w:val="001F32AE"/>
    <w:rsid w:val="00232F98"/>
    <w:rsid w:val="0025061B"/>
    <w:rsid w:val="002767FF"/>
    <w:rsid w:val="00280800"/>
    <w:rsid w:val="002B18FE"/>
    <w:rsid w:val="002B5493"/>
    <w:rsid w:val="00331EE6"/>
    <w:rsid w:val="00334541"/>
    <w:rsid w:val="00343214"/>
    <w:rsid w:val="00361C00"/>
    <w:rsid w:val="00395FA1"/>
    <w:rsid w:val="003E15D4"/>
    <w:rsid w:val="0040569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689"/>
    <w:rsid w:val="005072A1"/>
    <w:rsid w:val="005141DF"/>
    <w:rsid w:val="00514517"/>
    <w:rsid w:val="00545827"/>
    <w:rsid w:val="00560270"/>
    <w:rsid w:val="005A4DD0"/>
    <w:rsid w:val="005C2568"/>
    <w:rsid w:val="005F1B17"/>
    <w:rsid w:val="006037C0"/>
    <w:rsid w:val="006150BE"/>
    <w:rsid w:val="006631B6"/>
    <w:rsid w:val="006711A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D1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40A"/>
    <w:rsid w:val="00981893"/>
    <w:rsid w:val="0099781E"/>
    <w:rsid w:val="009F5D67"/>
    <w:rsid w:val="00A018DD"/>
    <w:rsid w:val="00A1687D"/>
    <w:rsid w:val="00A43E52"/>
    <w:rsid w:val="00A4678D"/>
    <w:rsid w:val="00A778C7"/>
    <w:rsid w:val="00AB3355"/>
    <w:rsid w:val="00AB441E"/>
    <w:rsid w:val="00AB6293"/>
    <w:rsid w:val="00AC5427"/>
    <w:rsid w:val="00AD6027"/>
    <w:rsid w:val="00AE0928"/>
    <w:rsid w:val="00AF3B82"/>
    <w:rsid w:val="00B12E95"/>
    <w:rsid w:val="00B22876"/>
    <w:rsid w:val="00B2769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DDC"/>
    <w:rsid w:val="00EB4772"/>
    <w:rsid w:val="00ED169E"/>
    <w:rsid w:val="00ED4235"/>
    <w:rsid w:val="00F04346"/>
    <w:rsid w:val="00F075DC"/>
    <w:rsid w:val="00F149E9"/>
    <w:rsid w:val="00F5134D"/>
    <w:rsid w:val="00F62F86"/>
    <w:rsid w:val="00F74202"/>
    <w:rsid w:val="00F87713"/>
    <w:rsid w:val="00FB4360"/>
    <w:rsid w:val="00FB7308"/>
    <w:rsid w:val="00FD0C70"/>
    <w:rsid w:val="00FF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0EF63"/>
  <w15:chartTrackingRefBased/>
  <w15:docId w15:val="{A1359CAF-1D7A-4296-AD5C-0D597AB2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080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28080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80800"/>
    <w:pPr>
      <w:spacing w:after="240"/>
      <w:jc w:val="center"/>
    </w:pPr>
  </w:style>
  <w:style w:type="character" w:customStyle="1" w:styleId="BoldItalic">
    <w:name w:val="BoldItalic"/>
    <w:uiPriority w:val="1"/>
    <w:rsid w:val="00280800"/>
    <w:rPr>
      <w:b/>
      <w:i/>
      <w:u w:val="none"/>
    </w:rPr>
  </w:style>
  <w:style w:type="character" w:customStyle="1" w:styleId="Italic">
    <w:name w:val="Italic"/>
    <w:uiPriority w:val="1"/>
    <w:rsid w:val="00280800"/>
    <w:rPr>
      <w:i/>
    </w:rPr>
  </w:style>
  <w:style w:type="paragraph" w:customStyle="1" w:styleId="Normal12a24b">
    <w:name w:val="Normal12a24b"/>
    <w:basedOn w:val="Normal"/>
    <w:rsid w:val="0028080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28080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D60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6027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4" Type="http://schemas.openxmlformats.org/officeDocument/2006/relationships/hyperlink" Target="https://www.ecb.europa.eu/press/projections/html/ecb.projections202412_eurosystemstaff~71a06224a5.s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F865A-16D2-4553-B694-2F6F4714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3445</Words>
  <Characters>20682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SEMEDO Teresa</cp:lastModifiedBy>
  <cp:revision>3</cp:revision>
  <cp:lastPrinted>2004-11-19T15:42:00Z</cp:lastPrinted>
  <dcterms:created xsi:type="dcterms:W3CDTF">2025-02-11T16:08:00Z</dcterms:created>
  <dcterms:modified xsi:type="dcterms:W3CDTF">2025-03-27T08:35:00Z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A10-0003/2025</vt:lpwstr>
  </property>
  <property fmtid="{D5CDD505-2E9C-101B-9397-08002B2CF9AE}" pid="4" name="&lt;Type&gt;">
    <vt:lpwstr>RR</vt:lpwstr>
  </property>
</Properties>
</file>