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574C" w:rsidTr="0010095E">
        <w:trPr>
          <w:trHeight w:hRule="exact" w:val="1418"/>
        </w:trPr>
        <w:tc>
          <w:tcPr>
            <w:tcW w:w="6804" w:type="dxa"/>
            <w:shd w:val="clear" w:color="auto" w:fill="auto"/>
            <w:vAlign w:val="center"/>
          </w:tcPr>
          <w:p w:rsidR="00751A4A" w:rsidRPr="005E574C" w:rsidRDefault="00D0059C" w:rsidP="0010095E">
            <w:pPr>
              <w:pStyle w:val="EPName"/>
            </w:pPr>
            <w:r w:rsidRPr="005E574C">
              <w:t>Европейски</w:t>
            </w:r>
            <w:r w:rsidR="003865E1" w:rsidRPr="005E574C">
              <w:t xml:space="preserve"> парламент</w:t>
            </w:r>
          </w:p>
          <w:p w:rsidR="00751A4A" w:rsidRPr="005E574C" w:rsidRDefault="005F1B17" w:rsidP="005F1B17">
            <w:pPr>
              <w:pStyle w:val="EPTerm"/>
              <w:rPr>
                <w:rStyle w:val="HideTWBExt"/>
                <w:noProof w:val="0"/>
                <w:vanish w:val="0"/>
                <w:color w:val="auto"/>
              </w:rPr>
            </w:pPr>
            <w:r w:rsidRPr="005E574C">
              <w:t>2024</w:t>
            </w:r>
            <w:r w:rsidR="008B3B07">
              <w:t> – </w:t>
            </w:r>
            <w:r w:rsidR="00817416" w:rsidRPr="005E574C">
              <w:t>202</w:t>
            </w:r>
            <w:r w:rsidRPr="005E574C">
              <w:t>9</w:t>
            </w:r>
          </w:p>
        </w:tc>
        <w:tc>
          <w:tcPr>
            <w:tcW w:w="2268" w:type="dxa"/>
            <w:shd w:val="clear" w:color="auto" w:fill="auto"/>
          </w:tcPr>
          <w:p w:rsidR="00751A4A" w:rsidRPr="005E574C" w:rsidRDefault="00187494" w:rsidP="0010095E">
            <w:pPr>
              <w:pStyle w:val="EPLogo"/>
            </w:pPr>
            <w:r w:rsidRPr="005E57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574C" w:rsidRDefault="00D058B8" w:rsidP="004C5D52">
      <w:pPr>
        <w:pStyle w:val="LineTop"/>
      </w:pPr>
    </w:p>
    <w:p w:rsidR="00680577" w:rsidRPr="005E574C" w:rsidRDefault="003865E1" w:rsidP="00680577">
      <w:pPr>
        <w:pStyle w:val="EPBodyTA1"/>
      </w:pPr>
      <w:r w:rsidRPr="005E574C">
        <w:t>ПРИЕТИ ТЕКСТОВЕ</w:t>
      </w:r>
    </w:p>
    <w:p w:rsidR="00D058B8" w:rsidRPr="005E574C" w:rsidRDefault="00D058B8" w:rsidP="00D058B8">
      <w:pPr>
        <w:pStyle w:val="LineBottom"/>
      </w:pPr>
    </w:p>
    <w:p w:rsidR="003865E1" w:rsidRPr="005E574C" w:rsidRDefault="003865E1" w:rsidP="003865E1">
      <w:pPr>
        <w:pStyle w:val="ATHeading1"/>
      </w:pPr>
      <w:bookmarkStart w:id="0" w:name="TANumber"/>
      <w:r w:rsidRPr="005E574C">
        <w:t>P10_TA(2025)00</w:t>
      </w:r>
      <w:r w:rsidR="00F0383E">
        <w:t>14</w:t>
      </w:r>
      <w:bookmarkEnd w:id="0"/>
    </w:p>
    <w:p w:rsidR="003865E1" w:rsidRPr="005E574C" w:rsidRDefault="00231ADC" w:rsidP="003865E1">
      <w:pPr>
        <w:pStyle w:val="ATHeading2"/>
      </w:pPr>
      <w:bookmarkStart w:id="1" w:name="title"/>
      <w:r>
        <w:t>Г</w:t>
      </w:r>
      <w:r w:rsidR="003865E1" w:rsidRPr="005E574C">
        <w:t>енетично модифицирана царевица DP910521</w:t>
      </w:r>
      <w:bookmarkEnd w:id="1"/>
    </w:p>
    <w:p w:rsidR="003865E1" w:rsidRPr="005E574C" w:rsidRDefault="003865E1" w:rsidP="003865E1">
      <w:pPr>
        <w:rPr>
          <w:i/>
          <w:vanish/>
        </w:rPr>
      </w:pPr>
      <w:r w:rsidRPr="005E574C">
        <w:rPr>
          <w:i/>
        </w:rPr>
        <w:fldChar w:fldCharType="begin"/>
      </w:r>
      <w:r w:rsidRPr="005E574C">
        <w:rPr>
          <w:i/>
        </w:rPr>
        <w:instrText xml:space="preserve"> TC"(</w:instrText>
      </w:r>
      <w:bookmarkStart w:id="2" w:name="DocNumber"/>
      <w:r w:rsidRPr="005E574C">
        <w:rPr>
          <w:i/>
        </w:rPr>
        <w:instrText>B10-0061/2025</w:instrText>
      </w:r>
      <w:bookmarkEnd w:id="2"/>
      <w:r w:rsidRPr="005E574C">
        <w:rPr>
          <w:i/>
        </w:rPr>
        <w:instrText xml:space="preserve">)"\l3 \n&gt; \* MERGEFORMAT </w:instrText>
      </w:r>
      <w:r w:rsidRPr="005E574C">
        <w:rPr>
          <w:i/>
        </w:rPr>
        <w:fldChar w:fldCharType="end"/>
      </w:r>
    </w:p>
    <w:p w:rsidR="003865E1" w:rsidRPr="005E574C" w:rsidRDefault="003865E1" w:rsidP="003865E1">
      <w:pPr>
        <w:rPr>
          <w:vanish/>
        </w:rPr>
      </w:pPr>
      <w:bookmarkStart w:id="3" w:name="PE"/>
      <w:r w:rsidRPr="005E574C">
        <w:rPr>
          <w:vanish/>
        </w:rPr>
        <w:t>PE766.932</w:t>
      </w:r>
      <w:bookmarkEnd w:id="3"/>
    </w:p>
    <w:p w:rsidR="003865E1" w:rsidRPr="005E574C" w:rsidRDefault="003865E1" w:rsidP="008B3B07">
      <w:pPr>
        <w:pStyle w:val="ATHeading3"/>
      </w:pPr>
      <w:bookmarkStart w:id="4" w:name="Sujet"/>
      <w:r w:rsidRPr="005E574C">
        <w:t xml:space="preserve">Резолюция на Европейския парламент от </w:t>
      </w:r>
      <w:r w:rsidR="00D0059C">
        <w:t>12 февруари</w:t>
      </w:r>
      <w:r w:rsidR="00D0059C" w:rsidRPr="005E574C">
        <w:t xml:space="preserve"> </w:t>
      </w:r>
      <w:r w:rsidRPr="005E574C">
        <w:t>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w:t>
      </w:r>
      <w:bookmarkEnd w:id="4"/>
      <w:r w:rsidRPr="005E574C">
        <w:t xml:space="preserve"> </w:t>
      </w:r>
      <w:bookmarkStart w:id="5" w:name="References"/>
      <w:r w:rsidRPr="005E574C">
        <w:t>(D102174/03 – 2024/3010(RSP))</w:t>
      </w:r>
      <w:bookmarkEnd w:id="5"/>
    </w:p>
    <w:p w:rsidR="004F66E8" w:rsidRPr="005E574C" w:rsidRDefault="004F66E8" w:rsidP="004F66E8">
      <w:pPr>
        <w:pStyle w:val="EPComma"/>
      </w:pPr>
      <w:bookmarkStart w:id="6" w:name="TextBodyBegin"/>
      <w:bookmarkEnd w:id="6"/>
      <w:r w:rsidRPr="005E574C">
        <w:rPr>
          <w:i/>
        </w:rPr>
        <w:t>Европейският парламент</w:t>
      </w:r>
      <w:r w:rsidRPr="005E574C">
        <w:t>,</w:t>
      </w:r>
    </w:p>
    <w:p w:rsidR="004F66E8" w:rsidRPr="005E574C" w:rsidRDefault="004F66E8" w:rsidP="004F66E8">
      <w:pPr>
        <w:pStyle w:val="NormalHanging12a"/>
      </w:pPr>
      <w:r w:rsidRPr="005E574C">
        <w:t>–</w:t>
      </w:r>
      <w:r w:rsidRPr="005E574C">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(D102174/03),</w:t>
      </w:r>
    </w:p>
    <w:p w:rsidR="004F66E8" w:rsidRPr="005E574C" w:rsidRDefault="004F66E8" w:rsidP="004F66E8">
      <w:pPr>
        <w:pStyle w:val="NormalHanging12a"/>
        <w:rPr>
          <w:szCs w:val="24"/>
        </w:rPr>
      </w:pPr>
      <w:r w:rsidRPr="005E574C">
        <w:t>–</w:t>
      </w:r>
      <w:r w:rsidRPr="005E574C">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5E574C">
        <w:rPr>
          <w:rStyle w:val="FootnoteReference"/>
          <w:szCs w:val="24"/>
        </w:rPr>
        <w:footnoteReference w:id="1"/>
      </w:r>
      <w:r w:rsidRPr="005E574C">
        <w:t>, и по-специално член 7, параграф 3 и член 19, параграф 3 от него,</w:t>
      </w:r>
    </w:p>
    <w:p w:rsidR="004F66E8" w:rsidRPr="005E574C" w:rsidRDefault="004F66E8" w:rsidP="004F66E8">
      <w:pPr>
        <w:pStyle w:val="NormalHanging12a"/>
        <w:rPr>
          <w:szCs w:val="24"/>
        </w:rPr>
      </w:pPr>
      <w:r w:rsidRPr="005E574C">
        <w:t>–</w:t>
      </w:r>
      <w:r w:rsidRPr="005E574C">
        <w:tab/>
        <w:t xml:space="preserve">като взе предвид гласуването </w:t>
      </w:r>
      <w:r w:rsidRPr="005E574C">
        <w:rPr>
          <w:shd w:val="clear" w:color="auto" w:fill="FFFFFF"/>
        </w:rPr>
        <w:t>на 22 ноември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17 декември 2024 г., при което също не</w:t>
      </w:r>
      <w:r w:rsidRPr="005E574C">
        <w:t xml:space="preserve"> беше изразено становище,</w:t>
      </w:r>
    </w:p>
    <w:p w:rsidR="004F66E8" w:rsidRPr="005E574C" w:rsidRDefault="004F66E8" w:rsidP="004F66E8">
      <w:pPr>
        <w:pStyle w:val="NormalHanging12a"/>
        <w:rPr>
          <w:szCs w:val="24"/>
        </w:rPr>
      </w:pPr>
      <w:r w:rsidRPr="005E574C">
        <w:t>–</w:t>
      </w:r>
      <w:r w:rsidRPr="005E574C">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5E574C">
        <w:rPr>
          <w:rStyle w:val="FootnoteReference"/>
          <w:szCs w:val="24"/>
        </w:rPr>
        <w:footnoteReference w:id="2"/>
      </w:r>
      <w:r w:rsidRPr="005E574C">
        <w:t>,</w:t>
      </w:r>
    </w:p>
    <w:p w:rsidR="004F66E8" w:rsidRPr="005E574C" w:rsidRDefault="004F66E8" w:rsidP="004F66E8">
      <w:pPr>
        <w:pStyle w:val="NormalHanging12a"/>
        <w:rPr>
          <w:szCs w:val="24"/>
        </w:rPr>
      </w:pPr>
      <w:r w:rsidRPr="005E574C">
        <w:t>–</w:t>
      </w:r>
      <w:r w:rsidRPr="005E574C">
        <w:tab/>
        <w:t xml:space="preserve">като взе предвид становището, прието от Европейския орган за безопасност на </w:t>
      </w:r>
      <w:r w:rsidRPr="005E574C">
        <w:lastRenderedPageBreak/>
        <w:t>храните (ЕОБХ) на 19 юни 2024 г. и публикувано на 01 август 2024 г.</w:t>
      </w:r>
      <w:r w:rsidRPr="005E574C">
        <w:rPr>
          <w:rStyle w:val="FootnoteReference"/>
          <w:szCs w:val="24"/>
        </w:rPr>
        <w:footnoteReference w:id="3"/>
      </w:r>
      <w:r w:rsidRPr="005E574C">
        <w:t>,</w:t>
      </w:r>
    </w:p>
    <w:p w:rsidR="004F66E8" w:rsidRPr="005E574C" w:rsidRDefault="004F66E8" w:rsidP="004F66E8">
      <w:pPr>
        <w:pStyle w:val="NormalHanging12a"/>
        <w:rPr>
          <w:szCs w:val="24"/>
        </w:rPr>
      </w:pPr>
      <w:r w:rsidRPr="005E574C">
        <w:t>–</w:t>
      </w:r>
      <w:r w:rsidRPr="005E574C">
        <w:tab/>
      </w:r>
      <w:r w:rsidRPr="005E574C">
        <w:rPr>
          <w:shd w:val="clear" w:color="auto" w:fill="FFFFFF"/>
        </w:rPr>
        <w:t>като взе предвид предишните си резолюции, в които възразява срещу разрешаването на генетично модифицирани организми („ГМО“)</w:t>
      </w:r>
      <w:r w:rsidRPr="005E574C">
        <w:rPr>
          <w:rStyle w:val="FootnoteReference"/>
          <w:szCs w:val="24"/>
          <w:shd w:val="clear" w:color="auto" w:fill="FFFFFF"/>
        </w:rPr>
        <w:footnoteReference w:id="4"/>
      </w:r>
      <w:r w:rsidRPr="005E574C">
        <w:rPr>
          <w:shd w:val="clear" w:color="auto" w:fill="FFFFFF"/>
        </w:rPr>
        <w:t>,</w:t>
      </w:r>
    </w:p>
    <w:p w:rsidR="004F66E8" w:rsidRPr="005E574C" w:rsidRDefault="004F66E8" w:rsidP="004F66E8">
      <w:pPr>
        <w:pStyle w:val="NormalHanging12a"/>
        <w:rPr>
          <w:szCs w:val="24"/>
        </w:rPr>
      </w:pPr>
      <w:r w:rsidRPr="005E574C">
        <w:lastRenderedPageBreak/>
        <w:t>–</w:t>
      </w:r>
      <w:r w:rsidRPr="005E574C">
        <w:tab/>
        <w:t>като взе предвид член 115, параграфи 2 и 3 от своя Правилник за дейността,</w:t>
      </w:r>
    </w:p>
    <w:p w:rsidR="004F66E8" w:rsidRPr="005E574C" w:rsidRDefault="004F66E8" w:rsidP="004F66E8">
      <w:pPr>
        <w:pStyle w:val="NormalHanging12a"/>
        <w:rPr>
          <w:szCs w:val="24"/>
        </w:rPr>
      </w:pPr>
      <w:r w:rsidRPr="005E574C">
        <w:t>–</w:t>
      </w:r>
      <w:r w:rsidRPr="005E574C">
        <w:tab/>
        <w:t xml:space="preserve">като взе предвид предложението за резолюция на комисията по околна среда, </w:t>
      </w:r>
      <w:r w:rsidR="00D0059C">
        <w:t>климат</w:t>
      </w:r>
      <w:r w:rsidRPr="005E574C">
        <w:t xml:space="preserve"> и безопасност на храните,</w:t>
      </w:r>
    </w:p>
    <w:p w:rsidR="004F66E8" w:rsidRPr="005E574C" w:rsidRDefault="004F66E8" w:rsidP="004F66E8">
      <w:pPr>
        <w:pStyle w:val="NormalHanging12a"/>
        <w:rPr>
          <w:szCs w:val="24"/>
        </w:rPr>
      </w:pPr>
      <w:r w:rsidRPr="005E574C">
        <w:t>А.</w:t>
      </w:r>
      <w:r w:rsidRPr="005E574C">
        <w:tab/>
        <w:t xml:space="preserve">като има предвид, че на 27 юни 2022 г. Corteva Agriscience Belgium B.V., със седалище в Белгия, от името на Corteva Agriscience LLC, със седалище в Съединените щати, подаде </w:t>
      </w:r>
      <w:r w:rsidRPr="005E574C">
        <w:rPr>
          <w:snapToGrid w:val="0"/>
        </w:rPr>
        <w:t>до националния компетентен орган на Нидерландия заявление</w:t>
      </w:r>
      <w:r w:rsidRPr="005E574C">
        <w:t xml:space="preserve"> за пускане на пазара на храни, хранителни съставки и фуражи, съдържащи, състоящи се или произведени от генетично модифицирана царевица DP910521 („генетично модифицираната царевица“);</w:t>
      </w:r>
    </w:p>
    <w:p w:rsidR="004F66E8" w:rsidRPr="005E574C" w:rsidRDefault="004F66E8" w:rsidP="004F66E8">
      <w:pPr>
        <w:pStyle w:val="NormalHanging12a"/>
        <w:rPr>
          <w:szCs w:val="24"/>
        </w:rPr>
      </w:pPr>
      <w:r w:rsidRPr="005E574C">
        <w:t>Б.</w:t>
      </w:r>
      <w:r w:rsidRPr="005E574C">
        <w:tab/>
        <w:t>като има предвид, че генетично модифицираната царевица произвежда токсина Cry1B.34 и е устойчива на хербицида глуфосинат;</w:t>
      </w:r>
    </w:p>
    <w:p w:rsidR="004F66E8" w:rsidRPr="005E574C" w:rsidRDefault="004F66E8" w:rsidP="004F66E8">
      <w:pPr>
        <w:pStyle w:val="NormalHanging12a"/>
        <w:tabs>
          <w:tab w:val="left" w:pos="0"/>
        </w:tabs>
        <w:suppressAutoHyphens/>
        <w:rPr>
          <w:szCs w:val="24"/>
        </w:rPr>
      </w:pPr>
      <w:r w:rsidRPr="005E574C">
        <w:t>В.</w:t>
      </w:r>
      <w:r w:rsidRPr="005E574C">
        <w:tab/>
        <w:t>като има предвид, че глуфосинатът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5E574C">
        <w:rPr>
          <w:rStyle w:val="FootnoteReference"/>
          <w:szCs w:val="24"/>
        </w:rPr>
        <w:footnoteReference w:id="5"/>
      </w:r>
      <w:r w:rsidRPr="005E574C">
        <w:t>; като има предвид, че одобрението за използване на глуфосинат в Съюза изтече на 31 юли 2018 г.;</w:t>
      </w:r>
    </w:p>
    <w:p w:rsidR="004F66E8" w:rsidRPr="005E574C" w:rsidRDefault="004F66E8" w:rsidP="004F66E8">
      <w:pPr>
        <w:pStyle w:val="NormalHanging12a"/>
        <w:tabs>
          <w:tab w:val="left" w:pos="0"/>
        </w:tabs>
        <w:suppressAutoHyphens/>
        <w:rPr>
          <w:szCs w:val="24"/>
        </w:rPr>
      </w:pPr>
      <w:r w:rsidRPr="005E574C">
        <w:t>Г.</w:t>
      </w:r>
      <w:r w:rsidRPr="005E574C">
        <w:tab/>
        <w:t>като има предвид, че Cry1B.34 е синтетичен получен чрез сливане протеин, комбиниращ Cry1B, Cry1Ca1 и Cry9Db1, разработен с оглед устойчивостта на насекоми спрямо люспокрили вредители, без доказана специфичност по отношение на целевите видове;</w:t>
      </w:r>
    </w:p>
    <w:p w:rsidR="004F66E8" w:rsidRPr="005E574C" w:rsidRDefault="004F66E8" w:rsidP="004F66E8">
      <w:pPr>
        <w:pStyle w:val="NormalHanging12a"/>
        <w:tabs>
          <w:tab w:val="left" w:pos="0"/>
        </w:tabs>
        <w:suppressAutoHyphens/>
        <w:rPr>
          <w:szCs w:val="24"/>
        </w:rPr>
      </w:pPr>
      <w:r w:rsidRPr="005E574C">
        <w:t>Д.</w:t>
      </w:r>
      <w:r w:rsidRPr="005E574C">
        <w:tab/>
        <w:t>като има предвид, че генетичната модификация включва двуетапен процес, при който се използва CRISPR/Cas9 за поставяне на „подложка за приземяване“, последвана от бомбардиране с микроснаряди за въвеждане на касети за генна експресия;</w:t>
      </w:r>
    </w:p>
    <w:p w:rsidR="004F66E8" w:rsidRPr="005E574C" w:rsidRDefault="004F66E8" w:rsidP="004F66E8">
      <w:pPr>
        <w:pStyle w:val="NormalHanging12a"/>
        <w:rPr>
          <w:b/>
          <w:i/>
          <w:szCs w:val="24"/>
        </w:rPr>
      </w:pPr>
      <w:r w:rsidRPr="005E574C">
        <w:rPr>
          <w:b/>
          <w:i/>
        </w:rPr>
        <w:t>Липса на оценка на добавъчните хербициди</w:t>
      </w:r>
    </w:p>
    <w:p w:rsidR="004F66E8" w:rsidRPr="005E574C" w:rsidRDefault="004F66E8" w:rsidP="004F66E8">
      <w:pPr>
        <w:pStyle w:val="NormalHanging12a"/>
        <w:tabs>
          <w:tab w:val="left" w:pos="0"/>
        </w:tabs>
        <w:suppressAutoHyphens/>
        <w:rPr>
          <w:szCs w:val="24"/>
        </w:rPr>
      </w:pPr>
      <w:r w:rsidRPr="005E574C">
        <w:lastRenderedPageBreak/>
        <w:t>Е.</w:t>
      </w:r>
      <w:r w:rsidRPr="005E574C">
        <w:tab/>
        <w:t>като има предвид, че в Регламент за изпълнение (ЕС) № 503/2013</w:t>
      </w:r>
      <w:r w:rsidRPr="005E574C">
        <w:rPr>
          <w:rStyle w:val="FootnoteReference"/>
          <w:szCs w:val="24"/>
        </w:rPr>
        <w:footnoteReference w:id="6"/>
      </w:r>
      <w:r w:rsidRPr="005E574C">
        <w:t xml:space="preserve"> на Комисията се изисква оценка на това дали очакваните селскостопански практики влияят на резултата от изследваните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rsidR="004F66E8" w:rsidRPr="005E574C" w:rsidRDefault="004F66E8" w:rsidP="004F66E8">
      <w:pPr>
        <w:pStyle w:val="NormalHanging12a"/>
        <w:tabs>
          <w:tab w:val="left" w:pos="0"/>
        </w:tabs>
        <w:suppressAutoHyphens/>
        <w:rPr>
          <w:szCs w:val="24"/>
        </w:rPr>
      </w:pPr>
      <w:r w:rsidRPr="005E574C">
        <w:t>Ж.</w:t>
      </w:r>
      <w:r w:rsidRPr="005E574C">
        <w:tab/>
        <w:t>като има предвид, че по-голямата част от генетично модифицираните култури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5E574C">
        <w:rPr>
          <w:rStyle w:val="FootnoteReference"/>
          <w:szCs w:val="24"/>
        </w:rPr>
        <w:footnoteReference w:id="7"/>
      </w:r>
      <w:r w:rsidRPr="005E574C">
        <w:t>;</w:t>
      </w:r>
    </w:p>
    <w:p w:rsidR="004F66E8" w:rsidRPr="005E574C" w:rsidRDefault="004F66E8" w:rsidP="004F66E8">
      <w:pPr>
        <w:pStyle w:val="NormalHanging12a"/>
        <w:tabs>
          <w:tab w:val="left" w:pos="0"/>
        </w:tabs>
        <w:suppressAutoHyphens/>
        <w:rPr>
          <w:szCs w:val="24"/>
        </w:rPr>
      </w:pPr>
      <w:r w:rsidRPr="005E574C">
        <w:t>З.</w:t>
      </w:r>
      <w:r w:rsidRPr="005E574C">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rsidR="004F66E8" w:rsidRPr="005E574C" w:rsidRDefault="004F66E8" w:rsidP="004F66E8">
      <w:pPr>
        <w:pStyle w:val="NormalHanging12a"/>
        <w:tabs>
          <w:tab w:val="left" w:pos="0"/>
        </w:tabs>
        <w:suppressAutoHyphens/>
        <w:rPr>
          <w:szCs w:val="24"/>
        </w:rPr>
      </w:pPr>
      <w:r w:rsidRPr="005E574C">
        <w:t>И.</w:t>
      </w:r>
      <w:r w:rsidRPr="005E574C">
        <w:tab/>
        <w:t xml:space="preserve">като има предвид, че неблагоприятните въздействия, произтичащи от прекомерната зависимост от хербициди, ще се задълбочат по отношение на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w:t>
      </w:r>
      <w:r w:rsidRPr="005E574C">
        <w:lastRenderedPageBreak/>
        <w:t>също и поради увеличаване на остатъчните вещества от хербициди в храните и фуражите;</w:t>
      </w:r>
    </w:p>
    <w:p w:rsidR="004F66E8" w:rsidRPr="005E574C" w:rsidRDefault="004F66E8" w:rsidP="004F66E8">
      <w:pPr>
        <w:pStyle w:val="NormalHanging12a"/>
        <w:tabs>
          <w:tab w:val="left" w:pos="0"/>
        </w:tabs>
        <w:suppressAutoHyphens/>
        <w:rPr>
          <w:szCs w:val="24"/>
        </w:rPr>
      </w:pPr>
      <w:r w:rsidRPr="005E574C">
        <w:t>Й.</w:t>
      </w:r>
      <w:r w:rsidRPr="005E574C">
        <w:tab/>
        <w:t>като има предвид, че се счита, че оценката на остатъците от хербициди и метаболитите, налични в генетично модифицираните растения, е извън правомощията на експертната група на ЕОБХ по генетично модифицирани организми (Експертна група на ЕОБХ по ГМО) и следователно не се извършва като част от процеса на разрешаване на генетично модифицирани организми;</w:t>
      </w:r>
    </w:p>
    <w:p w:rsidR="004F66E8" w:rsidRPr="005E574C" w:rsidRDefault="004F66E8" w:rsidP="004F66E8">
      <w:pPr>
        <w:pStyle w:val="NormalHanging12a"/>
        <w:rPr>
          <w:b/>
          <w:i/>
          <w:szCs w:val="24"/>
        </w:rPr>
      </w:pPr>
      <w:r w:rsidRPr="005E574C">
        <w:rPr>
          <w:b/>
          <w:i/>
        </w:rPr>
        <w:t>Нерешени въпроси относно Bt токсините</w:t>
      </w:r>
    </w:p>
    <w:p w:rsidR="004F66E8" w:rsidRPr="005E574C" w:rsidRDefault="004F66E8" w:rsidP="004F66E8">
      <w:pPr>
        <w:pStyle w:val="NormalHanging12a"/>
        <w:tabs>
          <w:tab w:val="left" w:pos="0"/>
        </w:tabs>
        <w:suppressAutoHyphens/>
        <w:rPr>
          <w:szCs w:val="24"/>
        </w:rPr>
      </w:pPr>
      <w:r w:rsidRPr="005E574C">
        <w:t>К.</w:t>
      </w:r>
      <w:r w:rsidRPr="005E574C">
        <w:tab/>
        <w:t>като има предвид, че редица проучвания показват, че са наблюдавани странични ефекти, които могат да засегнат имунната система, вследствие на експозиция на Bt токсини, както и че някои Bt токсини могат да имат адювантни свойства</w:t>
      </w:r>
      <w:r w:rsidRPr="005E574C">
        <w:rPr>
          <w:rStyle w:val="FootnoteReference"/>
          <w:szCs w:val="24"/>
        </w:rPr>
        <w:footnoteReference w:id="8"/>
      </w:r>
      <w:r w:rsidRPr="005E574C">
        <w:t>, което означава, че могат да увеличат алергенността на други протеини, с които влизат в контакт;</w:t>
      </w:r>
    </w:p>
    <w:p w:rsidR="004F66E8" w:rsidRPr="005E574C" w:rsidRDefault="004F66E8" w:rsidP="004F66E8">
      <w:pPr>
        <w:pStyle w:val="NormalHanging12a"/>
        <w:tabs>
          <w:tab w:val="left" w:pos="0"/>
        </w:tabs>
        <w:suppressAutoHyphens/>
        <w:rPr>
          <w:szCs w:val="24"/>
        </w:rPr>
      </w:pPr>
      <w:r w:rsidRPr="005E574C">
        <w:t>Л.</w:t>
      </w:r>
      <w:r w:rsidRPr="005E574C">
        <w:tab/>
        <w:t>като има предвид, че в рамките на научно изследване беше установено, че токсичността на Bt токсините може също така да бъде повишена чрез взаимодействие с остатъчни вещества от пръскането с хербициди, и че са необходими допълнителни изследвания относно комбинаторните ефекти от повече от едно трансформационно събитие (генетично модифицирани култури, които са били модифицирани, за да бъдат устойчиви на хербициди и да произвеждат инсектициди под формата на Bt токсини)</w:t>
      </w:r>
      <w:r w:rsidRPr="005E574C">
        <w:rPr>
          <w:rStyle w:val="FootnoteReference"/>
          <w:szCs w:val="24"/>
        </w:rPr>
        <w:footnoteReference w:id="9"/>
      </w:r>
      <w:r w:rsidRPr="005E574C">
        <w:t>; като има предвид обаче, че се счита, че оценката на потенциалното взаимодействие на остатъците от хербициди и техните метаболити с Bt токсини е извън правомощията на Експертната група на ЕОБХ по ГМО, и че следователно тя не се извършва като част от оценката на риска;</w:t>
      </w:r>
    </w:p>
    <w:p w:rsidR="004F66E8" w:rsidRPr="005E574C" w:rsidRDefault="004F66E8" w:rsidP="004F66E8">
      <w:pPr>
        <w:pStyle w:val="NormalHanging12a"/>
        <w:rPr>
          <w:b/>
          <w:i/>
          <w:szCs w:val="24"/>
        </w:rPr>
      </w:pPr>
      <w:r w:rsidRPr="005E574C">
        <w:rPr>
          <w:b/>
          <w:i/>
        </w:rPr>
        <w:t>Bt култури: влияние върху нецелевите организми</w:t>
      </w:r>
    </w:p>
    <w:p w:rsidR="004F66E8" w:rsidRPr="005E574C" w:rsidRDefault="004F66E8" w:rsidP="004F66E8">
      <w:pPr>
        <w:pStyle w:val="NormalHanging12a"/>
        <w:tabs>
          <w:tab w:val="left" w:pos="0"/>
        </w:tabs>
        <w:suppressAutoHyphens/>
        <w:rPr>
          <w:szCs w:val="24"/>
        </w:rPr>
      </w:pPr>
      <w:r w:rsidRPr="005E574C">
        <w:t>М.</w:t>
      </w:r>
      <w:r w:rsidRPr="005E574C">
        <w:tab/>
        <w:t>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генетично модифицирани Bt култури води до непрекъсната експозиция на целевите и нецелевите организми на Bt токсини;</w:t>
      </w:r>
    </w:p>
    <w:p w:rsidR="004F66E8" w:rsidRPr="005E574C" w:rsidRDefault="004F66E8" w:rsidP="004F66E8">
      <w:pPr>
        <w:pStyle w:val="NormalHanging12a"/>
        <w:tabs>
          <w:tab w:val="left" w:pos="0"/>
        </w:tabs>
        <w:suppressAutoHyphens/>
        <w:rPr>
          <w:szCs w:val="24"/>
        </w:rPr>
      </w:pPr>
      <w:r w:rsidRPr="005E574C">
        <w:t>Н.</w:t>
      </w:r>
      <w:r w:rsidRPr="005E574C">
        <w:tab/>
        <w:t xml:space="preserve">като има предвид, че вече не може да се счита за правилно допускането, че Bt токсините имат единичен и насочен към конкретни целеви организми механизъм на действие и че не може да се изключи въздействие върху нецелеви организми; като има предвид, че се съобщава за нарастващ брой нецелеви </w:t>
      </w:r>
      <w:r w:rsidRPr="005E574C">
        <w:lastRenderedPageBreak/>
        <w:t>организми, които са засегнати по много начини;</w:t>
      </w:r>
    </w:p>
    <w:p w:rsidR="004F66E8" w:rsidRPr="005E574C" w:rsidRDefault="004F66E8" w:rsidP="004F66E8">
      <w:pPr>
        <w:pStyle w:val="NormalHanging12a"/>
        <w:rPr>
          <w:b/>
          <w:i/>
          <w:szCs w:val="24"/>
        </w:rPr>
      </w:pPr>
      <w:r w:rsidRPr="005E574C">
        <w:rPr>
          <w:b/>
          <w:i/>
        </w:rPr>
        <w:t>Коментари на държавите членки и заинтересованите лица</w:t>
      </w:r>
    </w:p>
    <w:p w:rsidR="004F66E8" w:rsidRPr="005E574C" w:rsidRDefault="004F66E8" w:rsidP="004F66E8">
      <w:pPr>
        <w:pStyle w:val="NormalHanging12a"/>
        <w:tabs>
          <w:tab w:val="left" w:pos="0"/>
        </w:tabs>
        <w:suppressAutoHyphens/>
        <w:rPr>
          <w:szCs w:val="24"/>
        </w:rPr>
      </w:pPr>
      <w:r w:rsidRPr="005E574C">
        <w:t>О.</w:t>
      </w:r>
      <w:r w:rsidRPr="005E574C">
        <w:tab/>
        <w:t>като има предвид, че държавите членки представиха на ЕОБХ голям брой критични коментари в рамките на тримесечния период на консултации</w:t>
      </w:r>
      <w:r w:rsidRPr="005E574C">
        <w:rPr>
          <w:rStyle w:val="FootnoteReference"/>
          <w:szCs w:val="24"/>
        </w:rPr>
        <w:footnoteReference w:id="10"/>
      </w:r>
      <w:r w:rsidRPr="005E574C">
        <w:t xml:space="preserve">, включително че списъкът на съответните изследвания, посочен в прегледа на литературата на заявителя, не включва изследвания относно съдбата на Bt-протеините в околната среда или относно потенциалното въздействие на остатъците от Bt култури върху нецелевите организми, въпреки че такива изследвания съществуват; </w:t>
      </w:r>
    </w:p>
    <w:p w:rsidR="004F66E8" w:rsidRPr="005E574C" w:rsidRDefault="004F66E8" w:rsidP="004F66E8">
      <w:pPr>
        <w:pStyle w:val="NormalHanging12a"/>
        <w:tabs>
          <w:tab w:val="left" w:pos="0"/>
        </w:tabs>
        <w:suppressAutoHyphens/>
        <w:rPr>
          <w:szCs w:val="24"/>
        </w:rPr>
      </w:pPr>
      <w:bookmarkStart w:id="8" w:name="_GoBack_Copy_1"/>
      <w:bookmarkEnd w:id="8"/>
      <w:r w:rsidRPr="005E574C">
        <w:t>П.</w:t>
      </w:r>
      <w:r w:rsidRPr="005E574C">
        <w:tab/>
        <w:t>като има предвид, че полевите изпитвания, проведени за анализ на състава и фенотипния анализ на генетично модифицираната царевица, не са взели предвид различните условия на околната среда и генетичния произход, свързани с нейното отглеждане, особено в държави като Бразилия;</w:t>
      </w:r>
    </w:p>
    <w:p w:rsidR="004F66E8" w:rsidRPr="005E574C" w:rsidRDefault="004F66E8" w:rsidP="004F66E8">
      <w:pPr>
        <w:pStyle w:val="NormalHanging12a"/>
        <w:tabs>
          <w:tab w:val="left" w:pos="0"/>
        </w:tabs>
        <w:suppressAutoHyphens/>
        <w:rPr>
          <w:szCs w:val="24"/>
        </w:rPr>
      </w:pPr>
      <w:r w:rsidRPr="005E574C">
        <w:t>Р.</w:t>
      </w:r>
      <w:r w:rsidRPr="005E574C">
        <w:tab/>
        <w:t>като има предвид, че оценката на токсичността на Cry1B.34 не отчита комбинаторните ефекти с растителни съставки или остатъчни вещества от хербициди;</w:t>
      </w:r>
    </w:p>
    <w:p w:rsidR="004F66E8" w:rsidRPr="005E574C" w:rsidRDefault="004F66E8" w:rsidP="004F66E8">
      <w:pPr>
        <w:pStyle w:val="NormalHanging12a"/>
        <w:tabs>
          <w:tab w:val="left" w:pos="0"/>
        </w:tabs>
        <w:suppressAutoHyphens/>
        <w:rPr>
          <w:szCs w:val="24"/>
        </w:rPr>
      </w:pPr>
      <w:r w:rsidRPr="005E574C">
        <w:t>С.</w:t>
      </w:r>
      <w:r w:rsidRPr="005E574C">
        <w:tab/>
        <w:t>като има предвид, че глуфосинат, който е добавъчен хербицид, е свързан със значителни рискове за биологичното разнообразие, качеството на почвите и водите и дългосрочното здраве на екосистемите;</w:t>
      </w:r>
    </w:p>
    <w:p w:rsidR="004F66E8" w:rsidRPr="005E574C" w:rsidRDefault="004F66E8" w:rsidP="004F66E8">
      <w:pPr>
        <w:pStyle w:val="NormalHanging12a"/>
        <w:tabs>
          <w:tab w:val="left" w:pos="0"/>
        </w:tabs>
        <w:suppressAutoHyphens/>
        <w:rPr>
          <w:szCs w:val="24"/>
        </w:rPr>
      </w:pPr>
      <w:r w:rsidRPr="005E574C">
        <w:t>Т.</w:t>
      </w:r>
      <w:r w:rsidRPr="005E574C">
        <w:tab/>
        <w:t>като има предвид, че рискът от генен поток към диви родственици, като например теосинт (Euchlaena mexicana), докладван в Испания и Франция, поражда опасения във връзка с трансгенната устойчивост и въздействието върху околната среда;</w:t>
      </w:r>
    </w:p>
    <w:p w:rsidR="004F66E8" w:rsidRPr="005E574C" w:rsidRDefault="004F66E8" w:rsidP="004F66E8">
      <w:pPr>
        <w:pStyle w:val="NormalHanging12a"/>
        <w:tabs>
          <w:tab w:val="left" w:pos="0"/>
        </w:tabs>
        <w:suppressAutoHyphens/>
        <w:rPr>
          <w:szCs w:val="24"/>
        </w:rPr>
      </w:pPr>
      <w:r w:rsidRPr="005E574C">
        <w:t>У.</w:t>
      </w:r>
      <w:r w:rsidRPr="005E574C">
        <w:tab/>
        <w:t>като има предвид, че не са предприети подходящи действия във връзка с изискванията за мониторинг съгласно Регламент за изпълнение (ЕС) № 503/2013 и не е налице независима проверка на предоставените данни;</w:t>
      </w:r>
    </w:p>
    <w:p w:rsidR="004F66E8" w:rsidRPr="005E574C" w:rsidRDefault="004F66E8" w:rsidP="004F66E8">
      <w:pPr>
        <w:pStyle w:val="NormalHanging12a"/>
        <w:rPr>
          <w:b/>
          <w:i/>
          <w:szCs w:val="24"/>
        </w:rPr>
      </w:pPr>
      <w:r w:rsidRPr="005E574C">
        <w:rPr>
          <w:b/>
          <w:i/>
        </w:rPr>
        <w:t>Гарантиране на еднакви условия на конкуренция в световен мащаб и спазване на международните задължения на Съюза</w:t>
      </w:r>
    </w:p>
    <w:p w:rsidR="004F66E8" w:rsidRPr="005E574C" w:rsidRDefault="004F66E8" w:rsidP="004F66E8">
      <w:pPr>
        <w:pStyle w:val="NormalHanging12a"/>
        <w:tabs>
          <w:tab w:val="left" w:pos="0"/>
        </w:tabs>
        <w:suppressAutoHyphens/>
        <w:rPr>
          <w:szCs w:val="24"/>
        </w:rPr>
      </w:pPr>
      <w:r w:rsidRPr="005E574C">
        <w:t>Ф.</w:t>
      </w:r>
      <w:r w:rsidRPr="005E574C">
        <w:tab/>
        <w:t>като има предвид, че в заключенията на стратегическия диалог относно бъдещето на селското стопанство в ЕС</w:t>
      </w:r>
      <w:r w:rsidRPr="005E574C">
        <w:rPr>
          <w:vertAlign w:val="superscript"/>
        </w:rPr>
        <w:footnoteReference w:id="11"/>
      </w:r>
      <w:r w:rsidRPr="005E574C">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w:t>
      </w:r>
      <w:r w:rsidRPr="005E574C">
        <w:lastRenderedPageBreak/>
        <w:t>стопани по време на демонстрациите през 2023 и 2024 г.;</w:t>
      </w:r>
    </w:p>
    <w:p w:rsidR="004F66E8" w:rsidRDefault="004F66E8" w:rsidP="004F66E8">
      <w:pPr>
        <w:pStyle w:val="NormalHanging12a"/>
        <w:tabs>
          <w:tab w:val="left" w:pos="0"/>
        </w:tabs>
        <w:suppressAutoHyphens/>
      </w:pPr>
      <w:r w:rsidRPr="005E574C">
        <w:t>Х.</w:t>
      </w:r>
      <w:r w:rsidRPr="005E574C">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 особено в развиващите се страни</w:t>
      </w:r>
      <w:r w:rsidRPr="005E574C">
        <w:rPr>
          <w:vertAlign w:val="superscript"/>
        </w:rPr>
        <w:footnoteReference w:id="12"/>
      </w:r>
      <w:r w:rsidRPr="005E574C">
        <w:t>; като има предвид, че в цел 3.9 от целите за устойчиво развитие на ООН (ЦУР) е заложено до 2030 г. значително да се намалят смъртните случаи и заболяванията, причинени от опасни химикали и замърсяване на въздуха, водата и почвата и от заразяване</w:t>
      </w:r>
      <w:r w:rsidRPr="005E574C">
        <w:rPr>
          <w:rStyle w:val="FootnoteReference"/>
          <w:szCs w:val="24"/>
        </w:rPr>
        <w:footnoteReference w:id="13"/>
      </w:r>
      <w:r w:rsidRPr="005E574C">
        <w:t>;</w:t>
      </w:r>
    </w:p>
    <w:p w:rsidR="008248C3" w:rsidRPr="005E574C" w:rsidRDefault="008248C3" w:rsidP="004F66E8">
      <w:pPr>
        <w:pStyle w:val="NormalHanging12a"/>
        <w:tabs>
          <w:tab w:val="left" w:pos="0"/>
        </w:tabs>
        <w:suppressAutoHyphens/>
        <w:rPr>
          <w:szCs w:val="24"/>
        </w:rPr>
      </w:pPr>
      <w:r>
        <w:rPr>
          <w:szCs w:val="24"/>
        </w:rPr>
        <w:t>Ц</w:t>
      </w:r>
      <w:r w:rsidRPr="008248C3">
        <w:rPr>
          <w:szCs w:val="24"/>
        </w:rPr>
        <w:t>.</w:t>
      </w:r>
      <w:r w:rsidRPr="008248C3">
        <w:rPr>
          <w:szCs w:val="24"/>
        </w:rPr>
        <w:tab/>
        <w:t xml:space="preserve">като има предвид, че търговското споразумение между ЕС и Меркосур ще стимулира вноса в Съюза на храни и фуражи, съдържащи, състоящи се или произведени от генетично модифицирани организми; като има предвид, че Бразилия и Аржентина са сред водещите световни производители на ГМО и потребители на пестициди, включително ГМО и пестициди, забранени в Съюза по причини, свързани със здравето или околната среда; </w:t>
      </w:r>
    </w:p>
    <w:p w:rsidR="004F66E8" w:rsidRPr="005E574C" w:rsidRDefault="008248C3" w:rsidP="004F66E8">
      <w:pPr>
        <w:pStyle w:val="NormalHanging12a"/>
        <w:tabs>
          <w:tab w:val="left" w:pos="0"/>
        </w:tabs>
        <w:suppressAutoHyphens/>
        <w:rPr>
          <w:szCs w:val="24"/>
        </w:rPr>
      </w:pPr>
      <w:r>
        <w:t>Ч</w:t>
      </w:r>
      <w:r w:rsidR="004F66E8" w:rsidRPr="005E574C">
        <w:t>.</w:t>
      </w:r>
      <w:r w:rsidR="004F66E8" w:rsidRPr="005E574C">
        <w:tab/>
        <w:t>като има предвид, че глобалната рамка за биологичното разнообразие Кунмин – Монреал, договорена на 15-ата конференция на страните по Конвенцията на ООН за биологичното разнообразие през декември 2022 г., включва глобална цел за намаляване на свързаните с пестицидите рискове с най-малко 50% до 2030 г.</w:t>
      </w:r>
      <w:r w:rsidR="004F66E8" w:rsidRPr="005E574C">
        <w:rPr>
          <w:vertAlign w:val="superscript"/>
        </w:rPr>
        <w:footnoteReference w:id="14"/>
      </w:r>
      <w:r w:rsidR="004F66E8" w:rsidRPr="005E574C">
        <w:t>;</w:t>
      </w:r>
    </w:p>
    <w:p w:rsidR="004F66E8" w:rsidRPr="005E574C" w:rsidRDefault="008248C3" w:rsidP="004F66E8">
      <w:pPr>
        <w:pStyle w:val="NormalHanging12a"/>
        <w:tabs>
          <w:tab w:val="left" w:pos="0"/>
        </w:tabs>
        <w:suppressAutoHyphens/>
        <w:rPr>
          <w:szCs w:val="24"/>
        </w:rPr>
      </w:pPr>
      <w:r>
        <w:t>Ш</w:t>
      </w:r>
      <w:r w:rsidR="004F66E8" w:rsidRPr="005E574C">
        <w:t>.</w:t>
      </w:r>
      <w:r w:rsidR="004F66E8" w:rsidRPr="005E574C">
        <w:tab/>
        <w:t>като има предвид, че в Регламент (ЕО) № 1829/2003 се посочва, че генетично модифицираните храни и фуражи не трябва да оказват неблагоприятно въздействие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легитимни фактори, свързани с разглеждания въпрос; като има предвид, че тези легитимни фактори следва да включват задълженията на Съюза съгласно ЦУР на ООН и Конвенцията на ООН за биологичното разнообразие;</w:t>
      </w:r>
    </w:p>
    <w:p w:rsidR="004F66E8" w:rsidRPr="005E574C" w:rsidRDefault="004F66E8" w:rsidP="004F66E8">
      <w:pPr>
        <w:pStyle w:val="NormalHanging12a"/>
        <w:rPr>
          <w:b/>
          <w:i/>
          <w:szCs w:val="24"/>
        </w:rPr>
      </w:pPr>
      <w:r w:rsidRPr="005E574C">
        <w:rPr>
          <w:b/>
          <w:i/>
        </w:rPr>
        <w:t>Намаляване на зависимостта от вносни фуражи</w:t>
      </w:r>
    </w:p>
    <w:p w:rsidR="004F66E8" w:rsidRPr="005E574C" w:rsidRDefault="008248C3" w:rsidP="004F66E8">
      <w:pPr>
        <w:pStyle w:val="NormalHanging12a"/>
        <w:tabs>
          <w:tab w:val="left" w:pos="0"/>
        </w:tabs>
        <w:suppressAutoHyphens/>
        <w:rPr>
          <w:b/>
          <w:i/>
          <w:szCs w:val="24"/>
        </w:rPr>
      </w:pPr>
      <w:r>
        <w:t>Щ</w:t>
      </w:r>
      <w:r w:rsidR="004F66E8" w:rsidRPr="005E574C">
        <w:t>.</w:t>
      </w:r>
      <w:r w:rsidR="004F66E8" w:rsidRPr="005E574C">
        <w:tab/>
        <w:t>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члена на Комисията Кристоф Хансен председателят на Комисията Урсула фон дер Лайен го призовава да потърси начини за намаляване на вноса на стоки от критично значение</w:t>
      </w:r>
      <w:r w:rsidR="004F66E8" w:rsidRPr="005E574C">
        <w:rPr>
          <w:rStyle w:val="FootnoteReference"/>
          <w:szCs w:val="24"/>
        </w:rPr>
        <w:footnoteReference w:id="15"/>
      </w:r>
      <w:r w:rsidR="004F66E8" w:rsidRPr="005E574C">
        <w:t xml:space="preserve">; </w:t>
      </w:r>
    </w:p>
    <w:p w:rsidR="004F66E8" w:rsidRPr="005E574C" w:rsidRDefault="004F66E8" w:rsidP="004F66E8">
      <w:pPr>
        <w:pStyle w:val="NormalHanging12a"/>
        <w:rPr>
          <w:b/>
          <w:i/>
          <w:szCs w:val="24"/>
        </w:rPr>
      </w:pPr>
      <w:r w:rsidRPr="005E574C">
        <w:rPr>
          <w:b/>
          <w:i/>
        </w:rPr>
        <w:t>Недемократичен процес на вземане на решения</w:t>
      </w:r>
    </w:p>
    <w:p w:rsidR="004F66E8" w:rsidRPr="005E574C" w:rsidRDefault="008248C3" w:rsidP="004F66E8">
      <w:pPr>
        <w:pStyle w:val="NormalHanging12a"/>
        <w:tabs>
          <w:tab w:val="left" w:pos="0"/>
        </w:tabs>
        <w:suppressAutoHyphens/>
        <w:rPr>
          <w:szCs w:val="24"/>
        </w:rPr>
      </w:pPr>
      <w:r>
        <w:t>АА</w:t>
      </w:r>
      <w:r w:rsidR="004F66E8" w:rsidRPr="005E574C">
        <w:t>.</w:t>
      </w:r>
      <w:r w:rsidR="004F66E8" w:rsidRPr="005E574C">
        <w:tab/>
        <w:t xml:space="preserve">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по време на деветия си мандат Парламентът прие </w:t>
      </w:r>
      <w:r w:rsidR="004F66E8" w:rsidRPr="005E574C">
        <w:lastRenderedPageBreak/>
        <w:t>38 резолюции, в които възразява срещу пускането на ГМО на пазара, и прие други осем резолюции, в които възразява срещу пускането на ГМО на пазара още през настоящия десети мандат;</w:t>
      </w:r>
    </w:p>
    <w:p w:rsidR="004F66E8" w:rsidRPr="005E574C" w:rsidRDefault="004F66E8" w:rsidP="004F66E8">
      <w:pPr>
        <w:pStyle w:val="NormalHanging12a"/>
        <w:tabs>
          <w:tab w:val="left" w:pos="0"/>
        </w:tabs>
        <w:suppressAutoHyphens/>
        <w:rPr>
          <w:szCs w:val="24"/>
        </w:rPr>
      </w:pPr>
      <w:r w:rsidRPr="005E574C">
        <w:t>А</w:t>
      </w:r>
      <w:r w:rsidR="008248C3">
        <w:t>Б</w:t>
      </w:r>
      <w:r w:rsidRPr="005E574C">
        <w:t>.</w:t>
      </w:r>
      <w:r w:rsidRPr="005E574C">
        <w:tab/>
        <w:t>като има предвид, че макар и сама да отчита недостатъчно демократичния характер на процедурата, липсата на подкрепа от страна на държавите членки и възраженията на Парламента, Комисията продължава да разрешава ГМО;</w:t>
      </w:r>
    </w:p>
    <w:p w:rsidR="004F66E8" w:rsidRPr="005E574C" w:rsidRDefault="004F66E8" w:rsidP="004F66E8">
      <w:pPr>
        <w:pStyle w:val="NormalHanging12a"/>
        <w:tabs>
          <w:tab w:val="left" w:pos="0"/>
        </w:tabs>
        <w:suppressAutoHyphens/>
        <w:rPr>
          <w:szCs w:val="24"/>
        </w:rPr>
      </w:pPr>
      <w:r w:rsidRPr="005E574C">
        <w:t>А</w:t>
      </w:r>
      <w:r w:rsidR="008248C3">
        <w:t>В</w:t>
      </w:r>
      <w:r w:rsidRPr="005E574C">
        <w:t>.</w:t>
      </w:r>
      <w:r w:rsidRPr="005E574C">
        <w:tab/>
        <w:t>като има предвид, че не се изисква промяна на законодателството, за да може Комисията да не разрешава ГМО, когато в Апелативния комитет не е налице подкрепата на квалифицирано мнозинство от държавите членки</w:t>
      </w:r>
      <w:r w:rsidRPr="005E574C">
        <w:rPr>
          <w:rStyle w:val="FootnoteReference"/>
          <w:szCs w:val="24"/>
        </w:rPr>
        <w:footnoteReference w:id="16"/>
      </w:r>
      <w:r w:rsidRPr="005E574C">
        <w:t>;</w:t>
      </w:r>
    </w:p>
    <w:p w:rsidR="004F66E8" w:rsidRPr="005E574C" w:rsidRDefault="004F66E8" w:rsidP="004F66E8">
      <w:pPr>
        <w:suppressAutoHyphens/>
        <w:spacing w:after="240"/>
        <w:ind w:left="567" w:hanging="567"/>
        <w:rPr>
          <w:szCs w:val="24"/>
          <w:shd w:val="clear" w:color="auto" w:fill="FFFFFF"/>
        </w:rPr>
      </w:pPr>
      <w:r w:rsidRPr="005E574C">
        <w:t>А</w:t>
      </w:r>
      <w:r w:rsidR="008248C3">
        <w:t>Г</w:t>
      </w:r>
      <w:r w:rsidRPr="005E574C">
        <w:t>.</w:t>
      </w:r>
      <w:r w:rsidRPr="005E574C">
        <w:tab/>
      </w:r>
      <w:r w:rsidRPr="005E574C">
        <w:rPr>
          <w:shd w:val="clear" w:color="auto" w:fill="FFFFFF"/>
        </w:rPr>
        <w:t>като има предвид, че при гласуването на 22 ноември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17 декември 2024 г. също не беше изразено становище;</w:t>
      </w:r>
    </w:p>
    <w:p w:rsidR="004F66E8" w:rsidRPr="005E574C" w:rsidRDefault="004F66E8" w:rsidP="004F66E8">
      <w:pPr>
        <w:pStyle w:val="NormalHanging12a"/>
        <w:rPr>
          <w:szCs w:val="24"/>
        </w:rPr>
      </w:pPr>
      <w:r w:rsidRPr="005E574C">
        <w:t>1.</w:t>
      </w:r>
      <w:r w:rsidRPr="005E574C">
        <w:tab/>
        <w:t>счита, че проектът на решение за изпълнение на Комисията превишава изпълнителните правомощия, предвидени в Регламент (ЕО) № 1829/2003;</w:t>
      </w:r>
    </w:p>
    <w:p w:rsidR="004F66E8" w:rsidRPr="005E574C" w:rsidRDefault="004F66E8" w:rsidP="004F66E8">
      <w:pPr>
        <w:pStyle w:val="NormalHanging12a"/>
        <w:rPr>
          <w:szCs w:val="24"/>
        </w:rPr>
      </w:pPr>
      <w:r w:rsidRPr="005E574C">
        <w:t>2.</w:t>
      </w:r>
      <w:r w:rsidRPr="005E574C">
        <w:tab/>
        <w:t>счита, че проектът на решение за изпълнение на Комисията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5E574C">
        <w:rPr>
          <w:rStyle w:val="FootnoteReference"/>
          <w:szCs w:val="24"/>
        </w:rPr>
        <w:footnoteReference w:id="17"/>
      </w:r>
      <w:r w:rsidRPr="005E574C">
        <w:t>, е да се предвиди основанието за гарантиране на висока степен на защита на живота и здравето на човека, на здравето на животните и на хуманното отношение към тях и на интересите на опазването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4F66E8" w:rsidRPr="005E574C" w:rsidRDefault="004F66E8" w:rsidP="004F66E8">
      <w:pPr>
        <w:pStyle w:val="NormalHanging12a"/>
        <w:rPr>
          <w:szCs w:val="24"/>
        </w:rPr>
      </w:pPr>
      <w:r w:rsidRPr="005E574C">
        <w:t>3.</w:t>
      </w:r>
      <w:r w:rsidRPr="005E574C">
        <w:tab/>
        <w:t>отправя искане към Комисията да оттегли своя проект на решение за изпълнение и да внесе нов проект в комитета;</w:t>
      </w:r>
    </w:p>
    <w:p w:rsidR="004F66E8" w:rsidRPr="005E574C" w:rsidRDefault="004F66E8" w:rsidP="004F66E8">
      <w:pPr>
        <w:pStyle w:val="NormalHanging12a"/>
        <w:rPr>
          <w:szCs w:val="24"/>
        </w:rPr>
      </w:pPr>
      <w:r w:rsidRPr="005E574C">
        <w:t>4.</w:t>
      </w:r>
      <w:r w:rsidRPr="005E574C">
        <w:tab/>
        <w:t>призовава Комисията да гарантира сближаване между Съюза и неговите партньори по отношение на стандартите в рамките на преговорите за споразумения за свободна търговия, за да се спазват стандартите на Съюза за безопасност;</w:t>
      </w:r>
    </w:p>
    <w:p w:rsidR="004F66E8" w:rsidRPr="005E574C" w:rsidRDefault="004F66E8" w:rsidP="004F66E8">
      <w:pPr>
        <w:pStyle w:val="NormalHanging12a"/>
        <w:rPr>
          <w:szCs w:val="24"/>
        </w:rPr>
      </w:pPr>
      <w:r w:rsidRPr="005E574C">
        <w:t>5.</w:t>
      </w:r>
      <w:r w:rsidRPr="005E574C">
        <w:tab/>
        <w:t xml:space="preserve">призовава Комисията да не разрешава генетично модифицирана царевица поради повишените рискове за биологичното разнообразие, безопасността на храните и </w:t>
      </w:r>
      <w:r w:rsidRPr="005E574C">
        <w:lastRenderedPageBreak/>
        <w:t>здравето на работниците, в съответствие с подхода „Едно здраве“;</w:t>
      </w:r>
    </w:p>
    <w:p w:rsidR="004F66E8" w:rsidRPr="005E574C" w:rsidRDefault="004F66E8" w:rsidP="004F66E8">
      <w:pPr>
        <w:pStyle w:val="NormalHanging12a"/>
        <w:rPr>
          <w:szCs w:val="24"/>
        </w:rPr>
      </w:pPr>
      <w:r w:rsidRPr="005E574C">
        <w:t>6.</w:t>
      </w:r>
      <w:r w:rsidRPr="005E574C">
        <w:tab/>
        <w:t>очаква Комисията спешно да изпълни ангажимента си</w:t>
      </w:r>
      <w:r w:rsidRPr="005E574C">
        <w:rPr>
          <w:rStyle w:val="FootnoteReference"/>
          <w:szCs w:val="24"/>
        </w:rPr>
        <w:footnoteReference w:id="18"/>
      </w:r>
      <w:r w:rsidRPr="005E574C">
        <w:t xml:space="preserve"> да представи предложение, за да гарантира, че опасните химикали, забранени в Съюза, не се произвеждат за износ;</w:t>
      </w:r>
    </w:p>
    <w:p w:rsidR="004F66E8" w:rsidRPr="005E574C" w:rsidRDefault="004F66E8" w:rsidP="004F66E8">
      <w:pPr>
        <w:pStyle w:val="NormalHanging12a"/>
        <w:rPr>
          <w:szCs w:val="24"/>
        </w:rPr>
      </w:pPr>
      <w:r w:rsidRPr="005E574C">
        <w:t>7.</w:t>
      </w:r>
      <w:r w:rsidRPr="005E574C">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Pr="005E574C">
        <w:rPr>
          <w:rStyle w:val="FootnoteReference"/>
          <w:szCs w:val="24"/>
        </w:rPr>
        <w:footnoteReference w:id="19"/>
      </w:r>
      <w:r w:rsidRPr="005E574C">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4F66E8" w:rsidRPr="005E574C" w:rsidRDefault="004F66E8" w:rsidP="004F66E8">
      <w:pPr>
        <w:pStyle w:val="NormalHanging12a"/>
      </w:pPr>
      <w:r w:rsidRPr="005E574C">
        <w:t>8.</w:t>
      </w:r>
      <w:r w:rsidRPr="005E574C">
        <w:tab/>
        <w:t>отново настоятелно призовава Комисията да вземе предвид задълженията на Съюза съгласно международните споразумения, като например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ненанасяне на вреда</w:t>
      </w:r>
      <w:r w:rsidRPr="005E574C">
        <w:rPr>
          <w:rStyle w:val="FootnoteReference"/>
          <w:szCs w:val="24"/>
        </w:rPr>
        <w:footnoteReference w:id="20"/>
      </w:r>
      <w:r w:rsidRPr="005E574C">
        <w:t xml:space="preserve">; </w:t>
      </w:r>
    </w:p>
    <w:p w:rsidR="00E365E1" w:rsidRPr="005E574C" w:rsidRDefault="004F66E8" w:rsidP="008B3B07">
      <w:pPr>
        <w:ind w:left="567" w:hanging="567"/>
      </w:pPr>
      <w:r w:rsidRPr="005E574C">
        <w:t>9.</w:t>
      </w:r>
      <w:r w:rsidRPr="005E574C">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E365E1" w:rsidRPr="005E574C" w:rsidSect="005E57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5E1" w:rsidRPr="005E574C" w:rsidRDefault="003865E1">
      <w:r w:rsidRPr="005E574C">
        <w:separator/>
      </w:r>
    </w:p>
  </w:endnote>
  <w:endnote w:type="continuationSeparator" w:id="0">
    <w:p w:rsidR="003865E1" w:rsidRPr="005E574C" w:rsidRDefault="003865E1">
      <w:r w:rsidRPr="005E57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5E1" w:rsidRPr="005E574C" w:rsidRDefault="003865E1">
      <w:r w:rsidRPr="005E574C">
        <w:separator/>
      </w:r>
    </w:p>
  </w:footnote>
  <w:footnote w:type="continuationSeparator" w:id="0">
    <w:p w:rsidR="003865E1" w:rsidRPr="005E574C" w:rsidRDefault="003865E1">
      <w:r w:rsidRPr="005E574C">
        <w:continuationSeparator/>
      </w:r>
    </w:p>
  </w:footnote>
  <w:footnote w:id="1">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OВ L 268, 18.10.2003 г., стр. 1, ELI: </w:t>
      </w:r>
      <w:hyperlink r:id="rId1" w:tgtFrame="Gives access to this document through its ELI URI." w:history="1">
        <w:r w:rsidRPr="005E574C">
          <w:rPr>
            <w:rStyle w:val="Hyperlink"/>
            <w:color w:val="000000" w:themeColor="text1"/>
            <w:sz w:val="24"/>
            <w:lang w:val="bg-BG"/>
          </w:rPr>
          <w:t>http://data.europa.eu/eli/reg/2003/1829/oj</w:t>
        </w:r>
      </w:hyperlink>
      <w:r w:rsidRPr="005E574C">
        <w:rPr>
          <w:color w:val="000000" w:themeColor="text1"/>
          <w:sz w:val="24"/>
          <w:lang w:val="bg-BG"/>
        </w:rPr>
        <w:t>.</w:t>
      </w:r>
    </w:p>
  </w:footnote>
  <w:footnote w:id="2">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ОВ L 55, 28.2.2011 г., стр. 13, ELI: </w:t>
      </w:r>
      <w:hyperlink r:id="rId2" w:tgtFrame="Gives access to this document through its ELI URI." w:history="1">
        <w:r w:rsidRPr="005E574C">
          <w:rPr>
            <w:rStyle w:val="Hyperlink"/>
            <w:color w:val="000000" w:themeColor="text1"/>
            <w:sz w:val="24"/>
            <w:lang w:val="bg-BG"/>
          </w:rPr>
          <w:t>http://data.europa.eu/eli/reg/2011/182/oj</w:t>
        </w:r>
      </w:hyperlink>
      <w:r w:rsidRPr="005E574C">
        <w:rPr>
          <w:color w:val="000000" w:themeColor="text1"/>
          <w:sz w:val="24"/>
          <w:lang w:val="bg-BG"/>
        </w:rPr>
        <w:t>.</w:t>
      </w:r>
    </w:p>
  </w:footnote>
  <w:footnote w:id="3">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Научно становище на Експертната група на ЕОБХ по генетично модифицирани организми относно „Оценка на генетично модифицираната царевица DP910521 (заявление GMFF-2021—2473)“, EFSA Journal (Бюл</w:t>
      </w:r>
      <w:r w:rsidR="00D0059C">
        <w:rPr>
          <w:color w:val="000000" w:themeColor="text1"/>
          <w:sz w:val="24"/>
          <w:lang w:val="bg-BG"/>
        </w:rPr>
        <w:t>етин на ЕОБХ), 2024 г.; 22(8):</w:t>
      </w:r>
      <w:r w:rsidRPr="005E574C">
        <w:rPr>
          <w:color w:val="000000" w:themeColor="text1"/>
          <w:sz w:val="24"/>
          <w:lang w:val="bg-BG"/>
        </w:rPr>
        <w:t xml:space="preserve">e8887, </w:t>
      </w:r>
      <w:hyperlink r:id="rId3" w:history="1">
        <w:r w:rsidRPr="005E574C">
          <w:rPr>
            <w:rStyle w:val="Hyperlink"/>
            <w:color w:val="000000" w:themeColor="text1"/>
            <w:sz w:val="24"/>
            <w:lang w:val="bg-BG"/>
          </w:rPr>
          <w:t>https://doi.org/10.2903/j.efsa.2024.8887</w:t>
        </w:r>
      </w:hyperlink>
      <w:r w:rsidRPr="005E574C">
        <w:rPr>
          <w:color w:val="000000" w:themeColor="text1"/>
          <w:sz w:val="24"/>
          <w:lang w:val="bg-BG"/>
        </w:rPr>
        <w:t xml:space="preserve">. </w:t>
      </w:r>
    </w:p>
  </w:footnote>
  <w:footnote w:id="4">
    <w:p w:rsidR="004F66E8" w:rsidRPr="005E574C" w:rsidRDefault="004F66E8" w:rsidP="005E574C">
      <w:pPr>
        <w:pStyle w:val="FootnoteText"/>
        <w:ind w:left="567" w:hanging="567"/>
        <w:rPr>
          <w:color w:val="000000" w:themeColor="text1"/>
          <w:sz w:val="24"/>
          <w:vertAlign w:val="superscript"/>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(P10_TA(2024)0038).</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(P10_TA(2024)0039).</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подкомбинации, в съответствие с Регламент (ЕО) № 1829/2003 на Европейския парламент и на Съвета (P10_TA(2024)0040).</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 xml:space="preserve">Резолюция на Европейския парламент от 26 ноември 2024 г. </w:t>
      </w:r>
      <w:r w:rsidR="004F66E8" w:rsidRPr="005E574C">
        <w:rPr>
          <w:color w:val="000000" w:themeColor="text1"/>
          <w:sz w:val="24"/>
          <w:lang w:val="bg-BG"/>
        </w:rPr>
        <w:t>относно Решение за изпълнение (ЕС) 2024/182</w:t>
      </w:r>
      <w:r w:rsidR="003F41D6">
        <w:rPr>
          <w:color w:val="000000" w:themeColor="text1"/>
          <w:sz w:val="24"/>
          <w:lang w:val="bg-BG"/>
        </w:rPr>
        <w:t>8</w:t>
      </w:r>
      <w:bookmarkStart w:id="7" w:name="_GoBack"/>
      <w:bookmarkEnd w:id="7"/>
      <w:r w:rsidR="004F66E8" w:rsidRPr="005E574C">
        <w:rPr>
          <w:color w:val="000000" w:themeColor="text1"/>
          <w:sz w:val="24"/>
          <w:lang w:val="bg-BG"/>
        </w:rPr>
        <w:t xml:space="preserve">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(P10_TA(2024)0041).</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(P10_TA(2024)0042).</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(P10_TA(2024)0043).</w:t>
      </w:r>
    </w:p>
    <w:p w:rsidR="004F66E8" w:rsidRPr="005E574C" w:rsidRDefault="005E574C" w:rsidP="005E574C">
      <w:pPr>
        <w:pStyle w:val="FootnoteText"/>
        <w:ind w:left="567" w:hanging="567"/>
        <w:rPr>
          <w:color w:val="000000" w:themeColor="text1"/>
          <w:sz w:val="24"/>
          <w:vertAlign w:val="superscript"/>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Решение за изпълнение (ЕС)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(P10_TA(2024)0044).</w:t>
      </w:r>
    </w:p>
    <w:p w:rsidR="004F66E8" w:rsidRPr="005E574C" w:rsidRDefault="005E574C" w:rsidP="005E574C">
      <w:pPr>
        <w:pStyle w:val="FootnoteText"/>
        <w:ind w:left="567" w:hanging="567"/>
        <w:rPr>
          <w:color w:val="000000" w:themeColor="text1"/>
          <w:sz w:val="24"/>
          <w:lang w:val="bg-BG"/>
        </w:rPr>
      </w:pPr>
      <w:r w:rsidRPr="005E574C">
        <w:rPr>
          <w:color w:val="000000" w:themeColor="text1"/>
          <w:sz w:val="24"/>
          <w:lang w:val="bg-BG"/>
        </w:rPr>
        <w:t xml:space="preserve"> </w:t>
      </w:r>
      <w:r w:rsidRPr="005E574C">
        <w:rPr>
          <w:color w:val="000000" w:themeColor="text1"/>
          <w:sz w:val="24"/>
          <w:lang w:val="bg-BG"/>
        </w:rPr>
        <w:tab/>
      </w:r>
      <w:r w:rsidR="004F66E8" w:rsidRPr="005E574C">
        <w:rPr>
          <w:color w:val="000000" w:themeColor="text1"/>
          <w:sz w:val="24"/>
          <w:lang w:val="bg-BG"/>
        </w:rPr>
        <w:t>–</w:t>
      </w:r>
      <w:r w:rsidR="004F66E8" w:rsidRPr="005E574C">
        <w:rPr>
          <w:color w:val="000000" w:themeColor="text1"/>
          <w:sz w:val="24"/>
          <w:lang w:val="bg-BG"/>
        </w:rPr>
        <w:tab/>
        <w:t>Резолюция на Европейския парламент от 26 ноември 2024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(P10_TA(2024)0045).</w:t>
      </w:r>
    </w:p>
  </w:footnote>
  <w:footnote w:id="5">
    <w:p w:rsidR="004F66E8" w:rsidRPr="005E574C" w:rsidRDefault="004F66E8" w:rsidP="005E574C">
      <w:pPr>
        <w:pStyle w:val="FootnoteText"/>
        <w:ind w:left="567" w:hanging="567"/>
        <w:rPr>
          <w:color w:val="000000" w:themeColor="text1"/>
          <w:sz w:val="24"/>
          <w:lang w:val="bg-BG"/>
        </w:rPr>
      </w:pPr>
      <w:r w:rsidRPr="005E574C">
        <w:rPr>
          <w:rStyle w:val="FootnoteReference"/>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4" w:history="1">
        <w:r w:rsidRPr="005E574C">
          <w:rPr>
            <w:rStyle w:val="Hyperlink"/>
            <w:color w:val="000000" w:themeColor="text1"/>
            <w:sz w:val="24"/>
            <w:lang w:val="bg-BG"/>
          </w:rPr>
          <w:t>https://eur-lex.europa.eu/eli/reg/2009/1107/oj</w:t>
        </w:r>
      </w:hyperlink>
      <w:r w:rsidRPr="005E574C">
        <w:rPr>
          <w:rStyle w:val="Hyperlink"/>
          <w:color w:val="000000" w:themeColor="text1"/>
          <w:sz w:val="24"/>
          <w:lang w:val="bg-BG"/>
        </w:rPr>
        <w:t>).</w:t>
      </w:r>
    </w:p>
  </w:footnote>
  <w:footnote w:id="6">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1, ELI: </w:t>
      </w:r>
      <w:hyperlink r:id="rId5" w:tgtFrame="Gives access to this document through its ELI URI." w:history="1">
        <w:r w:rsidRPr="005E574C">
          <w:rPr>
            <w:rStyle w:val="Hyperlink"/>
            <w:color w:val="000000" w:themeColor="text1"/>
            <w:sz w:val="24"/>
            <w:lang w:val="bg-BG"/>
          </w:rPr>
          <w:t>http://data.europa.eu/eli/reg_impl/2013/503/oj</w:t>
        </w:r>
      </w:hyperlink>
      <w:r w:rsidRPr="005E574C">
        <w:rPr>
          <w:color w:val="000000" w:themeColor="text1"/>
          <w:sz w:val="24"/>
          <w:lang w:val="bg-BG"/>
        </w:rPr>
        <w:t>).</w:t>
      </w:r>
    </w:p>
  </w:footnote>
  <w:footnote w:id="7">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Виж, например, Schulz, R., Bub, S., Petschick, L. L., Stehle, S., Wolfram, J. (2021) „Applied pesticide toxicity shifts toward plants and invertebrates, even in GM crops“ (Въздействието на токсичността на приложените пестициди се измества върху растенията и безгръбначните, дори при генетично модифицираните култури), Science 372(6537), стр. 81-84, </w:t>
      </w:r>
      <w:hyperlink r:id="rId6" w:history="1">
        <w:r w:rsidRPr="005E574C">
          <w:rPr>
            <w:rStyle w:val="Hyperlink"/>
            <w:color w:val="000000" w:themeColor="text1"/>
            <w:sz w:val="24"/>
            <w:lang w:val="bg-BG"/>
          </w:rPr>
          <w:t>https://doi.org/10.1126/science.abe1148;</w:t>
        </w:r>
      </w:hyperlink>
      <w:r w:rsidRPr="005E574C">
        <w:rPr>
          <w:color w:val="000000" w:themeColor="text1"/>
          <w:sz w:val="24"/>
          <w:lang w:val="bg-BG"/>
        </w:rPr>
        <w:t xml:space="preserve">; Bonny, S., „Genetically Modified Herbicide-Tolerant Crops, Weeds, and Herbicides: Overview and Impact“ (Устойчиви на хербициди генетично модифицирани култури, плевели и хербициди: преглед и въздействие)’, Environmental Management, January 2016;57(1), стр. 31-48, </w:t>
      </w:r>
      <w:hyperlink r:id="rId7" w:history="1">
        <w:r w:rsidRPr="005E574C">
          <w:rPr>
            <w:rStyle w:val="Hyperlink"/>
            <w:color w:val="000000" w:themeColor="text1"/>
            <w:sz w:val="24"/>
            <w:lang w:val="bg-BG"/>
          </w:rPr>
          <w:t>https://www.ncbi.nlm.nih.gov/pubmed/26296738</w:t>
        </w:r>
      </w:hyperlink>
      <w:r w:rsidRPr="005E574C">
        <w:rPr>
          <w:rStyle w:val="Hyperlink"/>
          <w:color w:val="000000" w:themeColor="text1"/>
          <w:sz w:val="24"/>
          <w:lang w:val="bg-BG"/>
        </w:rPr>
        <w:t>;</w:t>
      </w:r>
      <w:r w:rsidRPr="005E574C">
        <w:rPr>
          <w:color w:val="000000" w:themeColor="text1"/>
          <w:sz w:val="24"/>
          <w:lang w:val="bg-BG"/>
        </w:rPr>
        <w:t xml:space="preserve"> и Benbrook, C.M., „Impacts of genetically engineered crops on pesticide use in the U.S. – the first sixteen years“ (Въздействие на генетично създадени култури върху използването на пестициди в САЩ – първите шестнадесет години), Environmental Sciences Europe, 28 септември 2012 г., 24(24), </w:t>
      </w:r>
      <w:hyperlink r:id="rId8" w:history="1">
        <w:r w:rsidRPr="005E574C">
          <w:rPr>
            <w:rStyle w:val="Hyperlink"/>
            <w:color w:val="000000" w:themeColor="text1"/>
            <w:sz w:val="24"/>
            <w:lang w:val="bg-BG"/>
          </w:rPr>
          <w:t>https://enveurope.springeropen.com/articles/10.1186/2190-4715-24-24</w:t>
        </w:r>
      </w:hyperlink>
      <w:r w:rsidRPr="005E574C">
        <w:rPr>
          <w:color w:val="000000" w:themeColor="text1"/>
          <w:sz w:val="24"/>
          <w:lang w:val="bg-BG"/>
        </w:rPr>
        <w:t>.</w:t>
      </w:r>
    </w:p>
  </w:footnote>
  <w:footnote w:id="8">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За преглед, вж. Rubio-Infante, N., Moreno-Fierros, L., „An overview of the safety and biological effects of </w:t>
      </w:r>
      <w:r w:rsidRPr="005E574C">
        <w:rPr>
          <w:i/>
          <w:color w:val="000000" w:themeColor="text1"/>
          <w:sz w:val="24"/>
          <w:lang w:val="bg-BG"/>
        </w:rPr>
        <w:t>Bacillus thuringiensis</w:t>
      </w:r>
      <w:r w:rsidRPr="005E574C">
        <w:rPr>
          <w:color w:val="000000" w:themeColor="text1"/>
          <w:sz w:val="24"/>
          <w:lang w:val="bg-BG"/>
        </w:rPr>
        <w:t xml:space="preserve"> Cry toxins in mammals“ (Преглед на безопасността и биологичните ефекти на Cry токсините от Bacillus thuringiensis при бозайниците), „Journal of Applied Toxicology“, май 2016 г., 36(5), стр. 630—648, </w:t>
      </w:r>
      <w:hyperlink r:id="rId9" w:history="1">
        <w:r w:rsidRPr="005E574C">
          <w:rPr>
            <w:rStyle w:val="Hyperlink"/>
            <w:color w:val="000000" w:themeColor="text1"/>
            <w:sz w:val="24"/>
            <w:lang w:val="bg-BG"/>
          </w:rPr>
          <w:t xml:space="preserve"> https://onlinelibrary.wiley.com/doi/full/10.1002/jat.3252</w:t>
        </w:r>
      </w:hyperlink>
      <w:r w:rsidRPr="005E574C">
        <w:rPr>
          <w:color w:val="000000" w:themeColor="text1"/>
          <w:sz w:val="24"/>
          <w:lang w:val="bg-BG"/>
        </w:rPr>
        <w:t>.</w:t>
      </w:r>
    </w:p>
  </w:footnote>
  <w:footnote w:id="9">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Bøhn, T., Macagnan Rover, C., Semenchuk, P. R., „</w:t>
      </w:r>
      <w:r w:rsidRPr="005E574C">
        <w:rPr>
          <w:i/>
          <w:color w:val="000000" w:themeColor="text1"/>
          <w:sz w:val="24"/>
          <w:lang w:val="bg-BG"/>
        </w:rPr>
        <w:t>Daphnia magna</w:t>
      </w:r>
      <w:r w:rsidRPr="005E574C">
        <w:rPr>
          <w:color w:val="000000" w:themeColor="text1"/>
          <w:sz w:val="24"/>
          <w:lang w:val="bg-BG"/>
        </w:rPr>
        <w:t xml:space="preserve"> negatively affected by chronic exposure to purified Cry-toxins“ (Неблагоприятни последици за голямата дафния (</w:t>
      </w:r>
      <w:r w:rsidRPr="005E574C">
        <w:rPr>
          <w:i/>
          <w:iCs/>
          <w:color w:val="000000" w:themeColor="text1"/>
          <w:sz w:val="24"/>
          <w:lang w:val="bg-BG"/>
        </w:rPr>
        <w:t>Daphnia magna</w:t>
      </w:r>
      <w:r w:rsidRPr="005E574C">
        <w:rPr>
          <w:color w:val="000000" w:themeColor="text1"/>
          <w:sz w:val="24"/>
          <w:lang w:val="bg-BG"/>
        </w:rPr>
        <w:t xml:space="preserve">), вследствие на хронично излагане напречистени Cry токсини), Food and Chemical Toxicology, May 2016, Volume 91, pp. 130-140, </w:t>
      </w:r>
      <w:hyperlink r:id="rId10" w:history="1">
        <w:r w:rsidRPr="005E574C">
          <w:rPr>
            <w:rStyle w:val="Hyperlink"/>
            <w:color w:val="000000" w:themeColor="text1"/>
            <w:sz w:val="24"/>
            <w:lang w:val="bg-BG"/>
          </w:rPr>
          <w:t>https://www.sciencedirect.com/science/article/pii/S0278691516300722</w:t>
        </w:r>
      </w:hyperlink>
      <w:r w:rsidRPr="005E574C">
        <w:rPr>
          <w:rStyle w:val="Hyperlink"/>
          <w:color w:val="000000" w:themeColor="text1"/>
          <w:sz w:val="24"/>
          <w:lang w:val="bg-BG"/>
        </w:rPr>
        <w:t>.</w:t>
      </w:r>
    </w:p>
  </w:footnote>
  <w:footnote w:id="10">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sz w:val="24"/>
          <w:lang w:val="bg-BG"/>
        </w:rPr>
        <w:t xml:space="preserve"> </w:t>
      </w:r>
      <w:r w:rsidR="005E574C" w:rsidRPr="005E574C">
        <w:rPr>
          <w:sz w:val="24"/>
          <w:lang w:val="bg-BG"/>
        </w:rPr>
        <w:tab/>
      </w:r>
      <w:hyperlink r:id="rId11" w:history="1">
        <w:r w:rsidRPr="005E574C">
          <w:rPr>
            <w:rStyle w:val="Hyperlink"/>
            <w:color w:val="000000" w:themeColor="text1"/>
            <w:sz w:val="24"/>
            <w:lang w:val="bg-BG"/>
          </w:rPr>
          <w:t>https://efsa.onlinelibrary.wiley.com/action/downloadSupplement?doi=10.2903%2Fj.‌efsa.2024.8716&amp;file=efs28716-sup-0012-Annex8.pdf</w:t>
        </w:r>
      </w:hyperlink>
      <w:r w:rsidRPr="005E574C">
        <w:rPr>
          <w:rStyle w:val="Hyperlink"/>
          <w:color w:val="000000" w:themeColor="text1"/>
          <w:sz w:val="24"/>
          <w:lang w:val="bg-BG"/>
        </w:rPr>
        <w:t>.</w:t>
      </w:r>
    </w:p>
  </w:footnote>
  <w:footnote w:id="11">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‘Strategic Dialogue on the Future of EU Agriculture - A shared prospect for farming and food in Europe’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12" w:history="1">
        <w:r w:rsidRPr="005E574C">
          <w:rPr>
            <w:rStyle w:val="Hyperlink"/>
            <w:color w:val="000000" w:themeColor="text1"/>
            <w:sz w:val="24"/>
            <w:lang w:val="bg-BG"/>
          </w:rPr>
          <w:t>https://agriculture.ec.europa.eu/document/download/171329ff-0f50-4fa5-946f-aea11032172e_en?filename=strategic-dialogue-report-2024_en.pdf</w:t>
        </w:r>
      </w:hyperlink>
      <w:r w:rsidRPr="005E574C">
        <w:rPr>
          <w:rStyle w:val="Hyperlink"/>
          <w:color w:val="000000" w:themeColor="text1"/>
          <w:sz w:val="24"/>
          <w:lang w:val="bg-BG"/>
        </w:rPr>
        <w:t>.</w:t>
      </w:r>
    </w:p>
  </w:footnote>
  <w:footnote w:id="12">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sz w:val="24"/>
          <w:lang w:val="bg-BG"/>
        </w:rPr>
        <w:t xml:space="preserve"> </w:t>
      </w:r>
      <w:r w:rsidR="005E574C" w:rsidRPr="005E574C">
        <w:rPr>
          <w:sz w:val="24"/>
          <w:lang w:val="bg-BG"/>
        </w:rPr>
        <w:tab/>
      </w:r>
      <w:hyperlink r:id="rId13" w:history="1">
        <w:r w:rsidRPr="005E574C">
          <w:rPr>
            <w:rStyle w:val="Hyperlink"/>
            <w:color w:val="000000" w:themeColor="text1"/>
            <w:sz w:val="24"/>
            <w:lang w:val="bg-BG"/>
          </w:rPr>
          <w:t>https://www.ohchr.org/en/documents/thematic-reports/ahrc3448-report-special-rapporteur-right-food</w:t>
        </w:r>
      </w:hyperlink>
      <w:r w:rsidRPr="005E574C">
        <w:rPr>
          <w:color w:val="000000" w:themeColor="text1"/>
          <w:sz w:val="24"/>
          <w:lang w:val="bg-BG"/>
        </w:rPr>
        <w:t>.</w:t>
      </w:r>
    </w:p>
  </w:footnote>
  <w:footnote w:id="13">
    <w:p w:rsidR="004F66E8" w:rsidRPr="005E574C" w:rsidRDefault="004F66E8" w:rsidP="005E574C">
      <w:pPr>
        <w:pStyle w:val="FootnoteText"/>
        <w:ind w:left="567" w:hanging="567"/>
        <w:rPr>
          <w:sz w:val="24"/>
          <w:lang w:val="bg-BG"/>
        </w:rPr>
      </w:pPr>
      <w:r w:rsidRPr="005E574C">
        <w:rPr>
          <w:rStyle w:val="FootnoteReference"/>
          <w:sz w:val="24"/>
          <w:lang w:val="bg-BG"/>
        </w:rPr>
        <w:footnoteRef/>
      </w:r>
      <w:r w:rsidR="005E574C" w:rsidRPr="005E574C">
        <w:rPr>
          <w:sz w:val="24"/>
          <w:lang w:val="bg-BG"/>
        </w:rPr>
        <w:t xml:space="preserve"> </w:t>
      </w:r>
      <w:r w:rsidR="005E574C" w:rsidRPr="005E574C">
        <w:rPr>
          <w:sz w:val="24"/>
          <w:lang w:val="bg-BG"/>
        </w:rPr>
        <w:tab/>
      </w:r>
      <w:hyperlink r:id="rId14" w:history="1">
        <w:r w:rsidRPr="005E574C">
          <w:rPr>
            <w:rStyle w:val="Hyperlink"/>
            <w:sz w:val="24"/>
            <w:lang w:val="bg-BG"/>
          </w:rPr>
          <w:t>https://indicators.report/targets/3-9/</w:t>
        </w:r>
      </w:hyperlink>
      <w:r w:rsidRPr="005E574C">
        <w:rPr>
          <w:rStyle w:val="Hyperlink"/>
          <w:sz w:val="24"/>
          <w:lang w:val="bg-BG"/>
        </w:rPr>
        <w:t>.</w:t>
      </w:r>
    </w:p>
  </w:footnote>
  <w:footnote w:id="14">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sz w:val="24"/>
          <w:lang w:val="bg-BG"/>
        </w:rPr>
        <w:t xml:space="preserve"> </w:t>
      </w:r>
      <w:r w:rsidR="005E574C" w:rsidRPr="005E574C">
        <w:rPr>
          <w:sz w:val="24"/>
          <w:lang w:val="bg-BG"/>
        </w:rPr>
        <w:tab/>
      </w:r>
      <w:r w:rsidRPr="005E574C">
        <w:rPr>
          <w:sz w:val="24"/>
          <w:lang w:val="bg-BG"/>
        </w:rPr>
        <w:t xml:space="preserve">Вж. също </w:t>
      </w:r>
      <w:hyperlink r:id="rId15" w:history="1">
        <w:r w:rsidRPr="005E574C">
          <w:rPr>
            <w:rStyle w:val="Hyperlink"/>
            <w:sz w:val="24"/>
            <w:lang w:val="bg-BG"/>
          </w:rPr>
          <w:t>https://ec.europa.eu/commission/presscorner/detail/bg/ip_22_7834</w:t>
        </w:r>
      </w:hyperlink>
      <w:r w:rsidRPr="005E574C">
        <w:rPr>
          <w:sz w:val="24"/>
          <w:lang w:val="bg-BG"/>
        </w:rPr>
        <w:t>.</w:t>
      </w:r>
    </w:p>
  </w:footnote>
  <w:footnote w:id="15">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sz w:val="24"/>
          <w:lang w:val="bg-BG"/>
        </w:rPr>
        <w:t xml:space="preserve"> </w:t>
      </w:r>
      <w:r w:rsidR="005E574C" w:rsidRPr="005E574C">
        <w:rPr>
          <w:sz w:val="24"/>
          <w:lang w:val="bg-BG"/>
        </w:rPr>
        <w:tab/>
      </w:r>
      <w:hyperlink r:id="rId16" w:history="1">
        <w:r w:rsidRPr="005E574C">
          <w:rPr>
            <w:rStyle w:val="Hyperlink"/>
            <w:color w:val="000000" w:themeColor="text1"/>
            <w:sz w:val="24"/>
            <w:lang w:val="bg-BG"/>
          </w:rPr>
          <w:t>https://commission.europa.eu/document/2c64e540-c07a-4376-a1da-368d289f4afe_en</w:t>
        </w:r>
      </w:hyperlink>
      <w:r w:rsidRPr="005E574C">
        <w:rPr>
          <w:rStyle w:val="Hyperlink"/>
          <w:color w:val="000000" w:themeColor="text1"/>
          <w:sz w:val="24"/>
          <w:lang w:val="bg-BG"/>
        </w:rPr>
        <w:t>.</w:t>
      </w:r>
    </w:p>
  </w:footnote>
  <w:footnote w:id="16">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Комисията „може“, а не „трябва“ да предоставя разрешение, ако не е постигнато квалифицирано мнозинство от държавите членки в подкрепа при гласуването в Апелативния комитет, в съответствие с член 6, параграф 3 от Регламент (ЕС) № 182/2011.</w:t>
      </w:r>
    </w:p>
  </w:footnote>
  <w:footnote w:id="17">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17" w:tgtFrame="Gives access to this document through its ELI URI." w:history="1">
        <w:r w:rsidRPr="005E574C">
          <w:rPr>
            <w:rStyle w:val="Hyperlink"/>
            <w:color w:val="000000" w:themeColor="text1"/>
            <w:sz w:val="24"/>
            <w:lang w:val="bg-BG"/>
          </w:rPr>
          <w:t>http://data.europa.eu/eli/reg/2002/178/oj</w:t>
        </w:r>
      </w:hyperlink>
      <w:r w:rsidRPr="005E574C">
        <w:rPr>
          <w:color w:val="000000" w:themeColor="text1"/>
          <w:sz w:val="24"/>
          <w:lang w:val="bg-BG"/>
        </w:rPr>
        <w:t>).</w:t>
      </w:r>
    </w:p>
  </w:footnote>
  <w:footnote w:id="18">
    <w:p w:rsidR="004F66E8" w:rsidRPr="005E574C" w:rsidRDefault="004F66E8" w:rsidP="005E574C">
      <w:pPr>
        <w:pStyle w:val="FootnoteText"/>
        <w:ind w:left="567" w:hanging="567"/>
        <w:rPr>
          <w:color w:val="000000" w:themeColor="text1"/>
          <w:sz w:val="24"/>
          <w:lang w:val="bg-BG"/>
        </w:rPr>
      </w:pPr>
      <w:r w:rsidRPr="005E574C">
        <w:rPr>
          <w:rStyle w:val="FootnoteReference"/>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 xml:space="preserve">Както е посочено в приложението към съобщението на Комисията от 14 октомври 2020 г., озаглавено „ Стратегия за устойчивост в областта на химикалите Към нетоксична околна среда“ (COM(2020)0667), </w:t>
      </w:r>
      <w:hyperlink r:id="rId18" w:anchor="document2" w:history="1">
        <w:r w:rsidRPr="005E574C">
          <w:rPr>
            <w:rStyle w:val="Hyperlink"/>
            <w:color w:val="000000" w:themeColor="text1"/>
            <w:sz w:val="24"/>
            <w:lang w:val="bg-BG"/>
          </w:rPr>
          <w:t>https://eur-lex.europa.eu/legal-content/BG/TXT/?uri=COM%3A2020%3A667%3AFIN#document2</w:t>
        </w:r>
      </w:hyperlink>
      <w:r w:rsidRPr="005E574C">
        <w:rPr>
          <w:color w:val="000000" w:themeColor="text1"/>
          <w:sz w:val="24"/>
          <w:lang w:val="bg-BG"/>
        </w:rPr>
        <w:t xml:space="preserve">. </w:t>
      </w:r>
    </w:p>
  </w:footnote>
  <w:footnote w:id="19">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sz w:val="24"/>
          <w:lang w:val="bg-BG"/>
        </w:rPr>
        <w:t xml:space="preserve"> </w:t>
      </w:r>
      <w:r w:rsidR="005E574C" w:rsidRPr="005E574C">
        <w:rPr>
          <w:sz w:val="24"/>
          <w:lang w:val="bg-BG"/>
        </w:rPr>
        <w:tab/>
      </w:r>
      <w:hyperlink r:id="rId19" w:history="1">
        <w:r w:rsidRPr="005E574C">
          <w:rPr>
            <w:rStyle w:val="Hyperlink"/>
            <w:color w:val="000000" w:themeColor="text1"/>
            <w:sz w:val="24"/>
            <w:lang w:val="bg-BG"/>
          </w:rPr>
          <w:t>https://tillymetz.lu/wp-content/uploads/2020/09/Co-signed-letter-MEP-Metz.pdf</w:t>
        </w:r>
      </w:hyperlink>
      <w:r w:rsidRPr="005E574C">
        <w:rPr>
          <w:rStyle w:val="Hyperlink"/>
          <w:color w:val="000000" w:themeColor="text1"/>
          <w:sz w:val="24"/>
          <w:lang w:val="bg-BG"/>
        </w:rPr>
        <w:t>.</w:t>
      </w:r>
    </w:p>
  </w:footnote>
  <w:footnote w:id="20">
    <w:p w:rsidR="004F66E8" w:rsidRPr="005E574C" w:rsidRDefault="004F66E8" w:rsidP="005E574C">
      <w:pPr>
        <w:pStyle w:val="FootnoteText"/>
        <w:ind w:left="567" w:hanging="567"/>
        <w:rPr>
          <w:color w:val="000000" w:themeColor="text1"/>
          <w:sz w:val="24"/>
          <w:lang w:val="bg-BG"/>
        </w:rPr>
      </w:pPr>
      <w:r w:rsidRPr="005E574C">
        <w:rPr>
          <w:rStyle w:val="Funotenzeichen"/>
          <w:color w:val="000000" w:themeColor="text1"/>
          <w:sz w:val="24"/>
          <w:lang w:val="bg-BG"/>
        </w:rPr>
        <w:footnoteRef/>
      </w:r>
      <w:r w:rsidR="005E574C" w:rsidRPr="005E574C">
        <w:rPr>
          <w:color w:val="000000" w:themeColor="text1"/>
          <w:sz w:val="24"/>
          <w:lang w:val="bg-BG"/>
        </w:rPr>
        <w:t xml:space="preserve"> </w:t>
      </w:r>
      <w:r w:rsidR="005E574C" w:rsidRPr="005E574C">
        <w:rPr>
          <w:color w:val="000000" w:themeColor="text1"/>
          <w:sz w:val="24"/>
          <w:lang w:val="bg-BG"/>
        </w:rPr>
        <w:tab/>
      </w:r>
      <w:r w:rsidRPr="005E574C">
        <w:rPr>
          <w:color w:val="000000" w:themeColor="text1"/>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57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BG"/>
    <w:docVar w:name="dvnumam" w:val="0"/>
    <w:docVar w:name="dvpe" w:val="766.932"/>
    <w:docVar w:name="dvtitre" w:val="Резолюция на Европейския парламент от ...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D102174/03 – 2024/3010(RSP))"/>
  </w:docVars>
  <w:rsids>
    <w:rsidRoot w:val="003865E1"/>
    <w:rsid w:val="00002272"/>
    <w:rsid w:val="00064002"/>
    <w:rsid w:val="000677B9"/>
    <w:rsid w:val="000831BA"/>
    <w:rsid w:val="000A42CC"/>
    <w:rsid w:val="000E7DD9"/>
    <w:rsid w:val="0010095E"/>
    <w:rsid w:val="00125B37"/>
    <w:rsid w:val="00187494"/>
    <w:rsid w:val="001F32AE"/>
    <w:rsid w:val="00231ADC"/>
    <w:rsid w:val="002767FF"/>
    <w:rsid w:val="002B18FE"/>
    <w:rsid w:val="002B5493"/>
    <w:rsid w:val="00343214"/>
    <w:rsid w:val="00361C00"/>
    <w:rsid w:val="003865E1"/>
    <w:rsid w:val="00395FA1"/>
    <w:rsid w:val="003E15D4"/>
    <w:rsid w:val="003F41D6"/>
    <w:rsid w:val="00411CCE"/>
    <w:rsid w:val="0041666E"/>
    <w:rsid w:val="00421060"/>
    <w:rsid w:val="00471C19"/>
    <w:rsid w:val="004867E3"/>
    <w:rsid w:val="00494A28"/>
    <w:rsid w:val="004C0004"/>
    <w:rsid w:val="004C5D52"/>
    <w:rsid w:val="004F66E8"/>
    <w:rsid w:val="0050519A"/>
    <w:rsid w:val="005072A1"/>
    <w:rsid w:val="00514517"/>
    <w:rsid w:val="00545827"/>
    <w:rsid w:val="00560270"/>
    <w:rsid w:val="005C2568"/>
    <w:rsid w:val="005E574C"/>
    <w:rsid w:val="005F1B17"/>
    <w:rsid w:val="006037C0"/>
    <w:rsid w:val="00637BB0"/>
    <w:rsid w:val="006631B6"/>
    <w:rsid w:val="00680577"/>
    <w:rsid w:val="006F74FA"/>
    <w:rsid w:val="00731ADD"/>
    <w:rsid w:val="00734777"/>
    <w:rsid w:val="00747932"/>
    <w:rsid w:val="00751A4A"/>
    <w:rsid w:val="00756632"/>
    <w:rsid w:val="00762C74"/>
    <w:rsid w:val="00786EC0"/>
    <w:rsid w:val="007D1690"/>
    <w:rsid w:val="007E22AD"/>
    <w:rsid w:val="00817416"/>
    <w:rsid w:val="008248C3"/>
    <w:rsid w:val="00842779"/>
    <w:rsid w:val="00865F67"/>
    <w:rsid w:val="00881A7B"/>
    <w:rsid w:val="008840E5"/>
    <w:rsid w:val="00887B3E"/>
    <w:rsid w:val="008B3B07"/>
    <w:rsid w:val="008C2AC6"/>
    <w:rsid w:val="00930C23"/>
    <w:rsid w:val="0093193B"/>
    <w:rsid w:val="009509D8"/>
    <w:rsid w:val="00950B64"/>
    <w:rsid w:val="0096218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59C"/>
    <w:rsid w:val="00D058B8"/>
    <w:rsid w:val="00D56C11"/>
    <w:rsid w:val="00D834A0"/>
    <w:rsid w:val="00D872DF"/>
    <w:rsid w:val="00D91E21"/>
    <w:rsid w:val="00DA7FCD"/>
    <w:rsid w:val="00E365E1"/>
    <w:rsid w:val="00E820A4"/>
    <w:rsid w:val="00EB006A"/>
    <w:rsid w:val="00EB4772"/>
    <w:rsid w:val="00ED169E"/>
    <w:rsid w:val="00ED4235"/>
    <w:rsid w:val="00F038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E0991"/>
  <w15:chartTrackingRefBased/>
  <w15:docId w15:val="{547CF31D-C13B-477C-B5BF-50E39AEF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4F66E8"/>
    <w:pPr>
      <w:spacing w:before="480" w:after="240"/>
    </w:pPr>
  </w:style>
  <w:style w:type="paragraph" w:customStyle="1" w:styleId="NormalHanging12a">
    <w:name w:val="NormalHanging12a"/>
    <w:basedOn w:val="Normal"/>
    <w:qFormat/>
    <w:rsid w:val="004F66E8"/>
    <w:pPr>
      <w:spacing w:after="240"/>
      <w:ind w:left="567" w:hanging="567"/>
    </w:pPr>
  </w:style>
  <w:style w:type="character" w:styleId="Hyperlink">
    <w:name w:val="Hyperlink"/>
    <w:basedOn w:val="DefaultParagraphFont"/>
    <w:uiPriority w:val="99"/>
    <w:rsid w:val="004F66E8"/>
    <w:rPr>
      <w:color w:val="0563C1" w:themeColor="hyperlink"/>
      <w:u w:val="single"/>
    </w:rPr>
  </w:style>
  <w:style w:type="character" w:customStyle="1" w:styleId="Funotenzeichen">
    <w:name w:val="Fußnotenzeichen"/>
    <w:qFormat/>
    <w:rsid w:val="004F6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BG/TXT/?uri=COM%3A2020%3A667%3A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bg/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FEF51-58E3-444D-862A-B3871884A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2427</Words>
  <Characters>13769</Characters>
  <Application>Microsoft Office Word</Application>
  <DocSecurity>0</DocSecurity>
  <Lines>286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2025-03-04T09:50:00Z</dcterms:created>
  <dcterms:modified xsi:type="dcterms:W3CDTF">2025-03-04T09:50:00Z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B10-0061/2025</vt:lpwstr>
  </property>
  <property fmtid="{D5CDD505-2E9C-101B-9397-08002B2CF9AE}" pid="4" name="&lt;Type&gt;">
    <vt:lpwstr>RR</vt:lpwstr>
  </property>
</Properties>
</file>