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2735" w:rsidTr="0010095E">
        <w:trPr>
          <w:trHeight w:hRule="exact" w:val="1418"/>
        </w:trPr>
        <w:tc>
          <w:tcPr>
            <w:tcW w:w="6804" w:type="dxa"/>
            <w:shd w:val="clear" w:color="auto" w:fill="auto"/>
            <w:vAlign w:val="center"/>
          </w:tcPr>
          <w:p w:rsidR="00751A4A" w:rsidRPr="00C32735" w:rsidRDefault="00A92AEA" w:rsidP="0010095E">
            <w:pPr>
              <w:pStyle w:val="EPName"/>
            </w:pPr>
            <w:r w:rsidRPr="00C32735">
              <w:t>Evropský parlament</w:t>
            </w:r>
          </w:p>
          <w:p w:rsidR="00751A4A" w:rsidRPr="00C32735" w:rsidRDefault="005F1B17" w:rsidP="005F1B17">
            <w:pPr>
              <w:pStyle w:val="EPTerm"/>
              <w:rPr>
                <w:rStyle w:val="HideTWBExt"/>
                <w:noProof w:val="0"/>
                <w:vanish w:val="0"/>
                <w:color w:val="auto"/>
              </w:rPr>
            </w:pPr>
            <w:r w:rsidRPr="00C32735">
              <w:t>2024</w:t>
            </w:r>
            <w:r w:rsidR="00817416" w:rsidRPr="00C32735">
              <w:t>-202</w:t>
            </w:r>
            <w:r w:rsidRPr="00C32735">
              <w:t>9</w:t>
            </w:r>
          </w:p>
        </w:tc>
        <w:tc>
          <w:tcPr>
            <w:tcW w:w="2268" w:type="dxa"/>
            <w:shd w:val="clear" w:color="auto" w:fill="auto"/>
          </w:tcPr>
          <w:p w:rsidR="00751A4A" w:rsidRPr="00C32735" w:rsidRDefault="00187494" w:rsidP="0010095E">
            <w:pPr>
              <w:pStyle w:val="EPLogo"/>
            </w:pPr>
            <w:r w:rsidRPr="00C327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2735" w:rsidRDefault="00D058B8" w:rsidP="004C5D52">
      <w:pPr>
        <w:pStyle w:val="LineTop"/>
      </w:pPr>
    </w:p>
    <w:p w:rsidR="00680577" w:rsidRPr="00C32735" w:rsidRDefault="00A92AEA" w:rsidP="00680577">
      <w:pPr>
        <w:pStyle w:val="EPBodyTA1"/>
      </w:pPr>
      <w:r w:rsidRPr="00C32735">
        <w:t>PŘIJATÉ TEXTY</w:t>
      </w:r>
    </w:p>
    <w:p w:rsidR="00D058B8" w:rsidRPr="00C32735" w:rsidRDefault="00D058B8" w:rsidP="00D058B8">
      <w:pPr>
        <w:pStyle w:val="LineBottom"/>
      </w:pPr>
    </w:p>
    <w:p w:rsidR="00A92AEA" w:rsidRPr="00C32735" w:rsidRDefault="00A92AEA" w:rsidP="00A92AEA">
      <w:pPr>
        <w:pStyle w:val="ATHeading1"/>
      </w:pPr>
      <w:bookmarkStart w:id="0" w:name="TANumber"/>
      <w:r w:rsidRPr="00C32735">
        <w:t>P10_TA(2025)00</w:t>
      </w:r>
      <w:r w:rsidR="001E7D7D">
        <w:t>14</w:t>
      </w:r>
      <w:bookmarkEnd w:id="0"/>
    </w:p>
    <w:p w:rsidR="00A92AEA" w:rsidRPr="00C32735" w:rsidRDefault="00814923" w:rsidP="00A92AEA">
      <w:pPr>
        <w:pStyle w:val="ATHeading2"/>
      </w:pPr>
      <w:bookmarkStart w:id="1" w:name="title"/>
      <w:r>
        <w:t>G</w:t>
      </w:r>
      <w:r w:rsidR="00A92AEA" w:rsidRPr="00C32735">
        <w:t>eneticky modifikovaná kukuřice DP910521</w:t>
      </w:r>
      <w:bookmarkEnd w:id="1"/>
    </w:p>
    <w:p w:rsidR="00A92AEA" w:rsidRPr="00C32735" w:rsidRDefault="00A92AEA" w:rsidP="00A92AEA">
      <w:pPr>
        <w:rPr>
          <w:i/>
          <w:vanish/>
        </w:rPr>
      </w:pPr>
      <w:r w:rsidRPr="00C32735">
        <w:rPr>
          <w:i/>
        </w:rPr>
        <w:fldChar w:fldCharType="begin"/>
      </w:r>
      <w:r w:rsidRPr="00C32735">
        <w:rPr>
          <w:i/>
        </w:rPr>
        <w:instrText xml:space="preserve"> TC"(</w:instrText>
      </w:r>
      <w:bookmarkStart w:id="2" w:name="DocNumber"/>
      <w:r w:rsidRPr="00C32735">
        <w:rPr>
          <w:i/>
        </w:rPr>
        <w:instrText>B10-0061/2025</w:instrText>
      </w:r>
      <w:bookmarkEnd w:id="2"/>
      <w:r w:rsidRPr="00C32735">
        <w:rPr>
          <w:i/>
        </w:rPr>
        <w:instrText xml:space="preserve">)"\l3 \n&gt; \* MERGEFORMAT </w:instrText>
      </w:r>
      <w:r w:rsidRPr="00C32735">
        <w:rPr>
          <w:i/>
        </w:rPr>
        <w:fldChar w:fldCharType="end"/>
      </w:r>
    </w:p>
    <w:p w:rsidR="00A92AEA" w:rsidRPr="00C32735" w:rsidRDefault="00A92AEA" w:rsidP="00A92AEA">
      <w:pPr>
        <w:rPr>
          <w:vanish/>
        </w:rPr>
      </w:pPr>
      <w:bookmarkStart w:id="3" w:name="PE"/>
      <w:r w:rsidRPr="00C32735">
        <w:rPr>
          <w:vanish/>
        </w:rPr>
        <w:t>PE766.932</w:t>
      </w:r>
      <w:bookmarkEnd w:id="3"/>
    </w:p>
    <w:p w:rsidR="00A92AEA" w:rsidRPr="00C32735" w:rsidRDefault="00A92AEA" w:rsidP="00A92AEA">
      <w:pPr>
        <w:pStyle w:val="ATHeading3"/>
      </w:pPr>
      <w:bookmarkStart w:id="4" w:name="Sujet"/>
      <w:r w:rsidRPr="00C32735">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w:t>
      </w:r>
      <w:bookmarkEnd w:id="4"/>
      <w:r w:rsidRPr="00C32735">
        <w:t xml:space="preserve"> </w:t>
      </w:r>
      <w:bookmarkStart w:id="5" w:name="References"/>
      <w:r w:rsidRPr="00C32735">
        <w:t>(D102174/03 – 2024/3010(RSP))</w:t>
      </w:r>
      <w:bookmarkEnd w:id="5"/>
    </w:p>
    <w:p w:rsidR="005536D0" w:rsidRPr="00C32735" w:rsidRDefault="005536D0" w:rsidP="005536D0">
      <w:pPr>
        <w:pStyle w:val="EPComma"/>
      </w:pPr>
      <w:bookmarkStart w:id="6" w:name="TextBodyBegin"/>
      <w:bookmarkEnd w:id="6"/>
      <w:r w:rsidRPr="00C32735">
        <w:rPr>
          <w:i/>
          <w:iCs/>
        </w:rPr>
        <w:t>Evropský parlament</w:t>
      </w:r>
      <w:r w:rsidRPr="00C32735">
        <w:t>,</w:t>
      </w:r>
    </w:p>
    <w:p w:rsidR="005536D0" w:rsidRPr="00C32735" w:rsidRDefault="005536D0" w:rsidP="00C32735">
      <w:pPr>
        <w:pStyle w:val="NormalHanging12a"/>
      </w:pPr>
      <w:r w:rsidRPr="00C32735">
        <w:t>–</w:t>
      </w:r>
      <w:r w:rsidRPr="00C32735">
        <w:tab/>
        <w:t>s ohledem na návrh prováděcího rozhodnutí Komise o povolení uvedení produktů, které obsahují geneticky modifikovanou kukuřici DP910521, sestávají z ní nebo jsou z ní vyrobeny, na trh podle nařízení Evropského parlamentu a Rady (ES) č. 1829/2003 (D102174/03),</w:t>
      </w:r>
    </w:p>
    <w:p w:rsidR="005536D0" w:rsidRPr="00C32735" w:rsidRDefault="005536D0" w:rsidP="00C32735">
      <w:pPr>
        <w:pStyle w:val="NormalHanging12a"/>
        <w:rPr>
          <w:szCs w:val="24"/>
        </w:rPr>
      </w:pPr>
      <w:r w:rsidRPr="00C32735">
        <w:t>–</w:t>
      </w:r>
      <w:r w:rsidRPr="00C32735">
        <w:tab/>
        <w:t>s ohledem na nařízení Evropského parlamentu a Rady (ES) č. 1829/2003 ze dne 22. září 2003 o geneticky modifikovaných potravinách a krmivech</w:t>
      </w:r>
      <w:r w:rsidRPr="00C32735">
        <w:rPr>
          <w:rStyle w:val="FootnoteReference"/>
          <w:szCs w:val="24"/>
        </w:rPr>
        <w:footnoteReference w:id="1"/>
      </w:r>
      <w:r w:rsidRPr="00C32735">
        <w:t>, a zejména na čl. 7 odst. 3 a čl. 19 odst. 3 uvedeného nařízení,</w:t>
      </w:r>
    </w:p>
    <w:p w:rsidR="005536D0" w:rsidRPr="00C32735" w:rsidRDefault="005536D0" w:rsidP="00C32735">
      <w:pPr>
        <w:pStyle w:val="NormalHanging12a"/>
        <w:rPr>
          <w:szCs w:val="24"/>
        </w:rPr>
      </w:pPr>
      <w:r w:rsidRPr="00C32735">
        <w:t>–</w:t>
      </w:r>
      <w:r w:rsidRPr="00C32735">
        <w:tab/>
        <w:t>s ohledem na hlasován</w:t>
      </w:r>
      <w:r w:rsidRPr="00C32735">
        <w:rPr>
          <w:shd w:val="clear" w:color="auto" w:fill="FFFFFF"/>
        </w:rPr>
        <w:t>í Stálého výboru pro rostliny, zvířata, potraviny a krmiva podle článku 35 nařízení (ES) č. 1829/2003 ze dne 22. listopadu 2024, kdy nebylo vydáno stanovisko, a na hlasování odvolacího výboru ze dne 17. prosince 2024, kdy opět</w:t>
      </w:r>
      <w:r w:rsidRPr="00C32735">
        <w:t xml:space="preserve"> nebylo vydáno stanovisko,</w:t>
      </w:r>
    </w:p>
    <w:p w:rsidR="005536D0" w:rsidRPr="00C32735" w:rsidRDefault="005536D0" w:rsidP="00C32735">
      <w:pPr>
        <w:pStyle w:val="NormalHanging12a"/>
        <w:rPr>
          <w:szCs w:val="24"/>
        </w:rPr>
      </w:pPr>
      <w:r w:rsidRPr="00C32735">
        <w:t>–</w:t>
      </w:r>
      <w:r w:rsidRPr="00C32735">
        <w:tab/>
        <w:t>s ohledem na článek 11 nařízení Evropského parlamentu a Rady (EU) č. 182/2011 ze dne 16. února 2011, kterým se stanoví pravidla a obecné zásady způsobu, jakým členské státy kontrolují Komisi při výkonu prováděcích pravomocí</w:t>
      </w:r>
      <w:r w:rsidRPr="00C32735">
        <w:rPr>
          <w:rStyle w:val="FootnoteReference"/>
          <w:szCs w:val="24"/>
        </w:rPr>
        <w:footnoteReference w:id="2"/>
      </w:r>
      <w:r w:rsidRPr="00C32735">
        <w:t>,</w:t>
      </w:r>
    </w:p>
    <w:p w:rsidR="005536D0" w:rsidRPr="00C32735" w:rsidRDefault="005536D0" w:rsidP="00C32735">
      <w:pPr>
        <w:pStyle w:val="NormalHanging12a"/>
        <w:rPr>
          <w:szCs w:val="24"/>
        </w:rPr>
      </w:pPr>
      <w:r w:rsidRPr="00C32735">
        <w:t>–</w:t>
      </w:r>
      <w:r w:rsidRPr="00C32735">
        <w:tab/>
        <w:t>s ohledem na stanovisko Evropského úřadu pro bezpečnost potravin (EFSA) ze dne 19. června 2024, které bylo zveřejněno dne 1. srpna 2024</w:t>
      </w:r>
      <w:r w:rsidRPr="00C32735">
        <w:rPr>
          <w:rStyle w:val="FootnoteReference"/>
          <w:szCs w:val="24"/>
        </w:rPr>
        <w:footnoteReference w:id="3"/>
      </w:r>
      <w:r w:rsidRPr="00C32735">
        <w:t>,</w:t>
      </w:r>
    </w:p>
    <w:p w:rsidR="005536D0" w:rsidRPr="00C32735" w:rsidRDefault="005536D0" w:rsidP="00C32735">
      <w:pPr>
        <w:pStyle w:val="NormalHanging12a"/>
        <w:rPr>
          <w:szCs w:val="24"/>
        </w:rPr>
      </w:pPr>
      <w:r w:rsidRPr="00C32735">
        <w:lastRenderedPageBreak/>
        <w:t>–</w:t>
      </w:r>
      <w:r w:rsidRPr="00C32735">
        <w:tab/>
      </w:r>
      <w:r w:rsidRPr="00C32735">
        <w:rPr>
          <w:shd w:val="clear" w:color="auto" w:fill="FFFFFF"/>
        </w:rPr>
        <w:t>s ohledem na svá předchozí usnesení, kterými vyslovil námitku vůči povolení geneticky modifikovaných organismů (dále jen „GMO“)</w:t>
      </w:r>
      <w:r w:rsidRPr="00C32735">
        <w:rPr>
          <w:rStyle w:val="FootnoteReference"/>
          <w:szCs w:val="24"/>
          <w:shd w:val="clear" w:color="auto" w:fill="FFFFFF"/>
        </w:rPr>
        <w:footnoteReference w:id="4"/>
      </w:r>
      <w:r w:rsidRPr="00C32735">
        <w:rPr>
          <w:shd w:val="clear" w:color="auto" w:fill="FFFFFF"/>
        </w:rPr>
        <w:t>,</w:t>
      </w:r>
    </w:p>
    <w:p w:rsidR="005536D0" w:rsidRPr="00C32735" w:rsidRDefault="005536D0" w:rsidP="00C32735">
      <w:pPr>
        <w:pStyle w:val="NormalHanging12a"/>
        <w:rPr>
          <w:szCs w:val="24"/>
        </w:rPr>
      </w:pPr>
      <w:r w:rsidRPr="00C32735">
        <w:t>–</w:t>
      </w:r>
      <w:r w:rsidRPr="00C32735">
        <w:tab/>
        <w:t>s ohledem na čl. 115 odst. 2 a 3 jednacího řádu,</w:t>
      </w:r>
    </w:p>
    <w:p w:rsidR="005536D0" w:rsidRPr="00C32735" w:rsidRDefault="005536D0" w:rsidP="00C32735">
      <w:pPr>
        <w:pStyle w:val="NormalHanging12a"/>
        <w:rPr>
          <w:szCs w:val="24"/>
        </w:rPr>
      </w:pPr>
      <w:r w:rsidRPr="00C32735">
        <w:t>–</w:t>
      </w:r>
      <w:r w:rsidRPr="00C32735">
        <w:tab/>
        <w:t xml:space="preserve">s ohledem na návrh usnesení Výboru pro životní prostředí, </w:t>
      </w:r>
      <w:r w:rsidR="00E72F9E">
        <w:t>klima</w:t>
      </w:r>
      <w:r w:rsidRPr="00C32735">
        <w:t xml:space="preserve"> a bezpečnost potravin,</w:t>
      </w:r>
    </w:p>
    <w:p w:rsidR="005536D0" w:rsidRPr="00C32735" w:rsidRDefault="005536D0" w:rsidP="00C32735">
      <w:pPr>
        <w:pStyle w:val="NormalHanging12a"/>
        <w:rPr>
          <w:szCs w:val="24"/>
        </w:rPr>
      </w:pPr>
      <w:r w:rsidRPr="00C32735">
        <w:t>A.</w:t>
      </w:r>
      <w:r w:rsidRPr="00C32735">
        <w:tab/>
        <w:t xml:space="preserve">vzhledem k tomu, že dne 27. června 2022 předložila společnost </w:t>
      </w:r>
      <w:proofErr w:type="spellStart"/>
      <w:r w:rsidRPr="00C32735">
        <w:t>Corteva</w:t>
      </w:r>
      <w:proofErr w:type="spellEnd"/>
      <w:r w:rsidRPr="00C32735">
        <w:t xml:space="preserve"> </w:t>
      </w:r>
      <w:proofErr w:type="spellStart"/>
      <w:r w:rsidRPr="00C32735">
        <w:t>Agriscience</w:t>
      </w:r>
      <w:proofErr w:type="spellEnd"/>
      <w:r w:rsidRPr="00C32735">
        <w:t xml:space="preserve"> </w:t>
      </w:r>
      <w:proofErr w:type="spellStart"/>
      <w:r w:rsidRPr="00C32735">
        <w:t>Belgium</w:t>
      </w:r>
      <w:proofErr w:type="spellEnd"/>
      <w:r w:rsidRPr="00C32735">
        <w:t xml:space="preserve"> B.V. se sídlem v Belgii jménem společnosti </w:t>
      </w:r>
      <w:proofErr w:type="spellStart"/>
      <w:r w:rsidRPr="00C32735">
        <w:t>Corteva</w:t>
      </w:r>
      <w:proofErr w:type="spellEnd"/>
      <w:r w:rsidRPr="00C32735">
        <w:t xml:space="preserve"> </w:t>
      </w:r>
      <w:proofErr w:type="spellStart"/>
      <w:r w:rsidRPr="00C32735">
        <w:t>Agriscience</w:t>
      </w:r>
      <w:proofErr w:type="spellEnd"/>
      <w:r w:rsidRPr="00C32735">
        <w:t xml:space="preserve"> LLC se sídlem ve Spojených státech </w:t>
      </w:r>
      <w:r w:rsidRPr="00C32735">
        <w:rPr>
          <w:snapToGrid w:val="0"/>
        </w:rPr>
        <w:t>příslušnému vnitrostátnímu orgánu Nizozemska</w:t>
      </w:r>
      <w:r w:rsidRPr="00C32735">
        <w:t xml:space="preserve"> žádost o uvedení potravin, složek potravin a krmiv, které obsahují geneticky modifikovanou </w:t>
      </w:r>
      <w:r w:rsidRPr="00C32735">
        <w:lastRenderedPageBreak/>
        <w:t>kukuřici DP910521 (dále jen „geneticky modifikovaná kukuřice“), sestávají z ní nebo jsou z ní vyrobeny, na trh;</w:t>
      </w:r>
    </w:p>
    <w:p w:rsidR="005536D0" w:rsidRPr="00C32735" w:rsidRDefault="005536D0" w:rsidP="00C32735">
      <w:pPr>
        <w:pStyle w:val="NormalHanging12a"/>
        <w:rPr>
          <w:szCs w:val="24"/>
        </w:rPr>
      </w:pPr>
      <w:r w:rsidRPr="00C32735">
        <w:t>B.</w:t>
      </w:r>
      <w:r w:rsidRPr="00C32735">
        <w:tab/>
        <w:t xml:space="preserve">vzhledem k tomu, že geneticky modifikovaná kukuřice produkuje toxin Cry1B.34 a je odolná vůči herbicidu </w:t>
      </w:r>
      <w:proofErr w:type="spellStart"/>
      <w:r w:rsidRPr="00C32735">
        <w:t>glufosinátu</w:t>
      </w:r>
      <w:proofErr w:type="spellEnd"/>
      <w:r w:rsidRPr="00C32735">
        <w:t>;</w:t>
      </w:r>
    </w:p>
    <w:p w:rsidR="005536D0" w:rsidRPr="00C32735" w:rsidRDefault="005536D0" w:rsidP="00C32735">
      <w:pPr>
        <w:pStyle w:val="NormalHanging12a"/>
        <w:tabs>
          <w:tab w:val="left" w:pos="0"/>
        </w:tabs>
        <w:suppressAutoHyphens/>
        <w:rPr>
          <w:szCs w:val="24"/>
        </w:rPr>
      </w:pPr>
      <w:r w:rsidRPr="00C32735">
        <w:t>C.</w:t>
      </w:r>
      <w:r w:rsidRPr="00C32735">
        <w:tab/>
        <w:t xml:space="preserve">vzhledem k tomu, že </w:t>
      </w:r>
      <w:proofErr w:type="spellStart"/>
      <w:r w:rsidRPr="00C32735">
        <w:t>glufosinát</w:t>
      </w:r>
      <w:proofErr w:type="spellEnd"/>
      <w:r w:rsidRPr="00C32735">
        <w:t xml:space="preserve"> je klasifikován jako látka toxická pro reprodukci 1B, a splňuje proto kritéria pro vyloučení vymezená v nařízení Evropského parlamentu a Rady (ES) č. 1107/2009</w:t>
      </w:r>
      <w:r w:rsidRPr="00C32735">
        <w:rPr>
          <w:rStyle w:val="FootnoteReference"/>
          <w:szCs w:val="24"/>
        </w:rPr>
        <w:footnoteReference w:id="5"/>
      </w:r>
      <w:r w:rsidRPr="00C32735">
        <w:t xml:space="preserve">; vzhledem k tomu, že platnost povolení pro používání </w:t>
      </w:r>
      <w:proofErr w:type="spellStart"/>
      <w:r w:rsidRPr="00C32735">
        <w:t>glufosinátu</w:t>
      </w:r>
      <w:proofErr w:type="spellEnd"/>
      <w:r w:rsidRPr="00C32735">
        <w:t xml:space="preserve"> v Unii skončila dne 31. července 2018;</w:t>
      </w:r>
    </w:p>
    <w:p w:rsidR="005536D0" w:rsidRPr="00C32735" w:rsidRDefault="005536D0" w:rsidP="00C32735">
      <w:pPr>
        <w:pStyle w:val="NormalHanging12a"/>
        <w:tabs>
          <w:tab w:val="left" w:pos="0"/>
        </w:tabs>
        <w:suppressAutoHyphens/>
        <w:rPr>
          <w:szCs w:val="24"/>
        </w:rPr>
      </w:pPr>
      <w:r w:rsidRPr="00C32735">
        <w:t>D.</w:t>
      </w:r>
      <w:r w:rsidRPr="00C32735">
        <w:tab/>
        <w:t xml:space="preserve">vzhledem k tomu, že Cry1B.34 je syntetický fúzní protein kombinující proteiny Cry1B, Cry1Ca1 a Cry9Db1, který je uměle vytvořený, aby zajistil odolnost proti hmyzu, zejména škůdcům z řádu </w:t>
      </w:r>
      <w:proofErr w:type="spellStart"/>
      <w:r w:rsidRPr="00C32735">
        <w:t>Lepidoptera</w:t>
      </w:r>
      <w:proofErr w:type="spellEnd"/>
      <w:r w:rsidRPr="00C32735">
        <w:t>, bez prokázané specifičnosti pro cílové druhy;</w:t>
      </w:r>
    </w:p>
    <w:p w:rsidR="005536D0" w:rsidRPr="00C32735" w:rsidRDefault="005536D0" w:rsidP="00C32735">
      <w:pPr>
        <w:pStyle w:val="NormalHanging12a"/>
        <w:tabs>
          <w:tab w:val="left" w:pos="0"/>
        </w:tabs>
        <w:suppressAutoHyphens/>
        <w:rPr>
          <w:szCs w:val="24"/>
        </w:rPr>
      </w:pPr>
      <w:r w:rsidRPr="00C32735">
        <w:t>E.</w:t>
      </w:r>
      <w:r w:rsidRPr="00C32735">
        <w:tab/>
        <w:t>vzhledem k tomu, že genetická modifikace zahrnuje dvoufázový proces s využitím metody CRISPR/Cas9 pro vložení „přistávací plochy“ (</w:t>
      </w:r>
      <w:proofErr w:type="spellStart"/>
      <w:r w:rsidRPr="00C32735">
        <w:t>landing</w:t>
      </w:r>
      <w:proofErr w:type="spellEnd"/>
      <w:r w:rsidRPr="00C32735">
        <w:t xml:space="preserve"> </w:t>
      </w:r>
      <w:proofErr w:type="spellStart"/>
      <w:r w:rsidRPr="00C32735">
        <w:t>pad</w:t>
      </w:r>
      <w:proofErr w:type="spellEnd"/>
      <w:r w:rsidRPr="00C32735">
        <w:t xml:space="preserve">) a následné bombardování </w:t>
      </w:r>
      <w:proofErr w:type="spellStart"/>
      <w:r w:rsidRPr="00C32735">
        <w:t>mikroprojektily</w:t>
      </w:r>
      <w:proofErr w:type="spellEnd"/>
      <w:r w:rsidRPr="00C32735">
        <w:t xml:space="preserve"> pro vložení kazety s genovou expresí;</w:t>
      </w:r>
    </w:p>
    <w:p w:rsidR="005536D0" w:rsidRPr="00C32735" w:rsidRDefault="005536D0" w:rsidP="00C32735">
      <w:pPr>
        <w:pStyle w:val="NormalHanging12a"/>
        <w:rPr>
          <w:b/>
          <w:i/>
          <w:szCs w:val="24"/>
        </w:rPr>
      </w:pPr>
      <w:r w:rsidRPr="00C32735">
        <w:rPr>
          <w:b/>
          <w:i/>
        </w:rPr>
        <w:t>Nedostatečné posouzení doplňkového herbicidu</w:t>
      </w:r>
    </w:p>
    <w:p w:rsidR="005536D0" w:rsidRPr="00C32735" w:rsidRDefault="005536D0" w:rsidP="00C32735">
      <w:pPr>
        <w:pStyle w:val="NormalHanging12a"/>
        <w:tabs>
          <w:tab w:val="left" w:pos="0"/>
        </w:tabs>
        <w:suppressAutoHyphens/>
        <w:rPr>
          <w:szCs w:val="24"/>
        </w:rPr>
      </w:pPr>
      <w:r w:rsidRPr="00C32735">
        <w:t>F.</w:t>
      </w:r>
      <w:r w:rsidRPr="00C32735">
        <w:tab/>
        <w:t>vzhledem k tomu, že prováděcí nařízení Komise (EU) č. 503/2013</w:t>
      </w:r>
      <w:r w:rsidRPr="00C32735">
        <w:rPr>
          <w:rStyle w:val="FootnoteReference"/>
          <w:szCs w:val="24"/>
        </w:rPr>
        <w:footnoteReference w:id="6"/>
      </w:r>
      <w:r w:rsidRPr="00C32735">
        <w:t xml:space="preserve"> vyžaduje vyhodnocení, zda předpokládané zemědělské postupy ovlivňují výsledek u sledovaných vlastností; vzhledem k tomu, že podle uvedeného prováděcího nařízení je toto vyhodnocení obzvláště důležité pro rostliny tolerantní vůči herbicidům;</w:t>
      </w:r>
    </w:p>
    <w:p w:rsidR="005536D0" w:rsidRPr="00C32735" w:rsidRDefault="005536D0" w:rsidP="00C32735">
      <w:pPr>
        <w:pStyle w:val="NormalHanging12a"/>
        <w:tabs>
          <w:tab w:val="left" w:pos="0"/>
        </w:tabs>
        <w:suppressAutoHyphens/>
        <w:rPr>
          <w:szCs w:val="24"/>
        </w:rPr>
      </w:pPr>
      <w:r w:rsidRPr="00C32735">
        <w:t>G.</w:t>
      </w:r>
      <w:r w:rsidRPr="00C32735">
        <w:tab/>
        <w:t xml:space="preserve">vzhledem k tomu, že naprostá většina geneticky modifikovaných plodin je geneticky upravena tak, aby byla tolerantní vůči jednomu či více „doplňkovým“ herbicidům, které lze použít po celou dobu jejich pěstování, aniž by plodiny uhynuly, jak by tomu bylo v případě, kdyby nebyly vůči herbicidům tolerantní; vzhledem k tomu, že řada studií ukazuje, že geneticky modifikované plodiny, které jsou tolerantní vůči herbicidům, vedou k vyššímu používání doplňkových herbicidů, zejména kvůli častějšímu výskytu </w:t>
      </w:r>
      <w:r w:rsidRPr="00C32735">
        <w:lastRenderedPageBreak/>
        <w:t>plevele odolného vůči herbicidům</w:t>
      </w:r>
      <w:r w:rsidRPr="00C32735">
        <w:rPr>
          <w:rStyle w:val="FootnoteReference"/>
          <w:szCs w:val="24"/>
        </w:rPr>
        <w:footnoteReference w:id="7"/>
      </w:r>
      <w:r w:rsidRPr="00C32735">
        <w:t>;</w:t>
      </w:r>
    </w:p>
    <w:p w:rsidR="005536D0" w:rsidRPr="00C32735" w:rsidRDefault="005536D0" w:rsidP="00C32735">
      <w:pPr>
        <w:pStyle w:val="NormalHanging12a"/>
        <w:tabs>
          <w:tab w:val="left" w:pos="0"/>
        </w:tabs>
        <w:suppressAutoHyphens/>
        <w:rPr>
          <w:szCs w:val="24"/>
        </w:rPr>
      </w:pPr>
      <w:r w:rsidRPr="00C32735">
        <w:t>H.</w:t>
      </w:r>
      <w:r w:rsidRPr="00C32735">
        <w:tab/>
        <w:t>vzhledem k tomu, že pěstitelé geneticky modifikovaných plodin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 vzhledem k tomu, že větší závislost zemědělských podniků, které pěstují geneticky modifikované plodiny, na doplňkových herbicidech vede k tomu, že se rychleji objevuje a šíří plevel odolný vůči těmto herbicidům, takže se zemědělci ocitají v začarovaném kruhu, neboť musí používat stále větší množství herbicidů;</w:t>
      </w:r>
    </w:p>
    <w:p w:rsidR="005536D0" w:rsidRPr="00C32735" w:rsidRDefault="005536D0" w:rsidP="00C32735">
      <w:pPr>
        <w:pStyle w:val="NormalHanging12a"/>
        <w:tabs>
          <w:tab w:val="left" w:pos="0"/>
        </w:tabs>
        <w:suppressAutoHyphens/>
        <w:rPr>
          <w:szCs w:val="24"/>
        </w:rPr>
      </w:pPr>
      <w:r w:rsidRPr="00C32735">
        <w:t>I.</w:t>
      </w:r>
      <w:r w:rsidRPr="00C32735">
        <w:tab/>
        <w:t>vzhledem k tomu, že nadměrné používání herbicidů má negativní dopady, pokud jde o půdy, kvalitu vody a biologickou rozmanitost půdní i nadzemní fauny a flóry a zvyšuje expozici lidí i zvířat, potenciálně také v důsledku většího obsahu reziduí herbicidů v potravinách a krmivech;</w:t>
      </w:r>
    </w:p>
    <w:p w:rsidR="005536D0" w:rsidRPr="00C32735" w:rsidRDefault="005536D0" w:rsidP="00C32735">
      <w:pPr>
        <w:pStyle w:val="NormalHanging12a"/>
        <w:tabs>
          <w:tab w:val="left" w:pos="0"/>
        </w:tabs>
        <w:suppressAutoHyphens/>
        <w:rPr>
          <w:szCs w:val="24"/>
        </w:rPr>
      </w:pPr>
      <w:r w:rsidRPr="00C32735">
        <w:t>J.</w:t>
      </w:r>
      <w:r w:rsidRPr="00C32735">
        <w:tab/>
        <w:t>vzhledem k tomu, že se má za to, že posuzování reziduí herbicidů a metabolitů nalezených v geneticky modifikovaných rostlinách nespadá do působnosti vědecké komise úřadu EFSA pro geneticky modifikované organismy (komise EFSA pro GMO), a v rámci postupu povolování geneticky modifikovaných organismů se proto neprovádí;</w:t>
      </w:r>
    </w:p>
    <w:p w:rsidR="005536D0" w:rsidRPr="00C32735" w:rsidRDefault="005536D0" w:rsidP="00C32735">
      <w:pPr>
        <w:pStyle w:val="NormalHanging12a"/>
        <w:rPr>
          <w:b/>
          <w:i/>
          <w:szCs w:val="24"/>
        </w:rPr>
      </w:pPr>
      <w:r w:rsidRPr="00C32735">
        <w:rPr>
          <w:b/>
          <w:i/>
        </w:rPr>
        <w:t xml:space="preserve">Nedořešené otázky týkající se </w:t>
      </w:r>
      <w:proofErr w:type="spellStart"/>
      <w:r w:rsidRPr="00C32735">
        <w:rPr>
          <w:b/>
          <w:i/>
        </w:rPr>
        <w:t>Bt</w:t>
      </w:r>
      <w:proofErr w:type="spellEnd"/>
      <w:r w:rsidRPr="00C32735">
        <w:rPr>
          <w:b/>
          <w:i/>
        </w:rPr>
        <w:t xml:space="preserve"> toxinů</w:t>
      </w:r>
    </w:p>
    <w:p w:rsidR="005536D0" w:rsidRPr="00C32735" w:rsidRDefault="005536D0" w:rsidP="00C32735">
      <w:pPr>
        <w:pStyle w:val="NormalHanging12a"/>
        <w:tabs>
          <w:tab w:val="left" w:pos="0"/>
        </w:tabs>
        <w:suppressAutoHyphens/>
        <w:rPr>
          <w:szCs w:val="24"/>
        </w:rPr>
      </w:pPr>
      <w:r w:rsidRPr="00C32735">
        <w:t>K.</w:t>
      </w:r>
      <w:r w:rsidRPr="00C32735">
        <w:tab/>
        <w:t xml:space="preserve">vzhledem k tomu, že z řady studií vyplývá, že po expozici </w:t>
      </w:r>
      <w:proofErr w:type="spellStart"/>
      <w:r w:rsidRPr="00C32735">
        <w:t>Bt</w:t>
      </w:r>
      <w:proofErr w:type="spellEnd"/>
      <w:r w:rsidRPr="00C32735">
        <w:t xml:space="preserve"> toxinům byly pozorovány vedlejší účinky pro imunitní systém a že některé </w:t>
      </w:r>
      <w:proofErr w:type="spellStart"/>
      <w:r w:rsidRPr="00C32735">
        <w:t>Bt</w:t>
      </w:r>
      <w:proofErr w:type="spellEnd"/>
      <w:r w:rsidRPr="00C32735">
        <w:t xml:space="preserve"> toxiny mohou mít adjuvantní vlastnosti</w:t>
      </w:r>
      <w:r w:rsidRPr="00C32735">
        <w:rPr>
          <w:rStyle w:val="FootnoteReference"/>
          <w:szCs w:val="24"/>
        </w:rPr>
        <w:footnoteReference w:id="8"/>
      </w:r>
      <w:r w:rsidRPr="00C32735">
        <w:t xml:space="preserve">, což znamená, že mohou zvyšovat </w:t>
      </w:r>
      <w:proofErr w:type="spellStart"/>
      <w:r w:rsidRPr="00C32735">
        <w:t>alergenicitu</w:t>
      </w:r>
      <w:proofErr w:type="spellEnd"/>
      <w:r w:rsidRPr="00C32735">
        <w:t xml:space="preserve"> jiných proteinů, s nimiž přijdou do styku;</w:t>
      </w:r>
    </w:p>
    <w:p w:rsidR="005536D0" w:rsidRPr="00C32735" w:rsidRDefault="005536D0" w:rsidP="00C32735">
      <w:pPr>
        <w:pStyle w:val="NormalHanging12a"/>
        <w:tabs>
          <w:tab w:val="left" w:pos="0"/>
        </w:tabs>
        <w:suppressAutoHyphens/>
        <w:rPr>
          <w:szCs w:val="24"/>
        </w:rPr>
      </w:pPr>
      <w:r w:rsidRPr="00C32735">
        <w:t>L.</w:t>
      </w:r>
      <w:r w:rsidRPr="00C32735">
        <w:tab/>
        <w:t xml:space="preserve">vzhledem k tomu, že jistá vědecká studie zjistila, že toxicita </w:t>
      </w:r>
      <w:proofErr w:type="spellStart"/>
      <w:r w:rsidRPr="00C32735">
        <w:t>Bt</w:t>
      </w:r>
      <w:proofErr w:type="spellEnd"/>
      <w:r w:rsidRPr="00C32735">
        <w:t xml:space="preserve"> toxinů se může zvýšit rovněž v důsledku interakce s rezidui z herbicidních postřiků a že je nutné provést další studie o kombinovaných účincích vícenásobných genetických modifikací (geneticky modifikované plodiny, které byly upraveny, aby byly tolerantní vůči herbicidům a produkovaly insekticidy ve formě </w:t>
      </w:r>
      <w:proofErr w:type="spellStart"/>
      <w:r w:rsidRPr="00C32735">
        <w:t>Bt</w:t>
      </w:r>
      <w:proofErr w:type="spellEnd"/>
      <w:r w:rsidRPr="00C32735">
        <w:t xml:space="preserve"> toxinů)</w:t>
      </w:r>
      <w:r w:rsidRPr="00C32735">
        <w:rPr>
          <w:rStyle w:val="FootnoteReference"/>
          <w:szCs w:val="24"/>
        </w:rPr>
        <w:footnoteReference w:id="9"/>
      </w:r>
      <w:r w:rsidRPr="00C32735">
        <w:t>; vzhledem k tomu, že posuzování potenciální interakce reziduí herbicidů a jejich metabolitů s </w:t>
      </w:r>
      <w:proofErr w:type="spellStart"/>
      <w:r w:rsidRPr="00C32735">
        <w:t>Bt</w:t>
      </w:r>
      <w:proofErr w:type="spellEnd"/>
      <w:r w:rsidRPr="00C32735">
        <w:t xml:space="preserve"> toxiny do působnosti </w:t>
      </w:r>
      <w:r w:rsidRPr="00C32735">
        <w:lastRenderedPageBreak/>
        <w:t>komise EFSA pro GMO nespadá, a při posuzování rizik se tedy neprovádí;</w:t>
      </w:r>
    </w:p>
    <w:p w:rsidR="005536D0" w:rsidRPr="00C32735" w:rsidRDefault="005536D0" w:rsidP="00C32735">
      <w:pPr>
        <w:pStyle w:val="NormalHanging12a"/>
        <w:rPr>
          <w:b/>
          <w:i/>
          <w:szCs w:val="24"/>
        </w:rPr>
      </w:pPr>
      <w:proofErr w:type="spellStart"/>
      <w:r w:rsidRPr="00C32735">
        <w:rPr>
          <w:b/>
          <w:i/>
        </w:rPr>
        <w:t>Bt</w:t>
      </w:r>
      <w:proofErr w:type="spellEnd"/>
      <w:r w:rsidRPr="00C32735">
        <w:rPr>
          <w:b/>
          <w:i/>
        </w:rPr>
        <w:t xml:space="preserve"> plodiny: účinky na necílové organismy</w:t>
      </w:r>
    </w:p>
    <w:p w:rsidR="005536D0" w:rsidRPr="00C32735" w:rsidRDefault="005536D0" w:rsidP="00C32735">
      <w:pPr>
        <w:pStyle w:val="NormalHanging12a"/>
        <w:tabs>
          <w:tab w:val="left" w:pos="0"/>
        </w:tabs>
        <w:suppressAutoHyphens/>
        <w:rPr>
          <w:szCs w:val="24"/>
        </w:rPr>
      </w:pPr>
      <w:r w:rsidRPr="00C32735">
        <w:t>M.</w:t>
      </w:r>
      <w:r w:rsidRPr="00C32735">
        <w:tab/>
        <w:t xml:space="preserve">vzhledem k tomu, že na rozdíl od používání insekticidů, kdy k expozici dochází v okamžiku postřiku a po omezené období poté, vede používání geneticky modifikovaných </w:t>
      </w:r>
      <w:proofErr w:type="spellStart"/>
      <w:r w:rsidRPr="00C32735">
        <w:t>Bt</w:t>
      </w:r>
      <w:proofErr w:type="spellEnd"/>
      <w:r w:rsidRPr="00C32735">
        <w:t xml:space="preserve"> plodin ke kontinuálnímu působení </w:t>
      </w:r>
      <w:proofErr w:type="spellStart"/>
      <w:r w:rsidRPr="00C32735">
        <w:t>Bt</w:t>
      </w:r>
      <w:proofErr w:type="spellEnd"/>
      <w:r w:rsidRPr="00C32735">
        <w:t xml:space="preserve"> toxinů na cílové a necílové organismy;</w:t>
      </w:r>
    </w:p>
    <w:p w:rsidR="005536D0" w:rsidRPr="00C32735" w:rsidRDefault="005536D0" w:rsidP="00C32735">
      <w:pPr>
        <w:pStyle w:val="NormalHanging12a"/>
        <w:tabs>
          <w:tab w:val="left" w:pos="0"/>
        </w:tabs>
        <w:suppressAutoHyphens/>
        <w:rPr>
          <w:szCs w:val="24"/>
        </w:rPr>
      </w:pPr>
      <w:r w:rsidRPr="00C32735">
        <w:t>N.</w:t>
      </w:r>
      <w:r w:rsidRPr="00C32735">
        <w:tab/>
        <w:t xml:space="preserve">vzhledem k tomu, že předpoklad, že </w:t>
      </w:r>
      <w:proofErr w:type="spellStart"/>
      <w:r w:rsidRPr="00C32735">
        <w:t>Bt</w:t>
      </w:r>
      <w:proofErr w:type="spellEnd"/>
      <w:r w:rsidRPr="00C32735">
        <w:t xml:space="preserve"> toxiny mají jediný cílově specifický způsob cílového účinku, již nemůže být považován za správný a že nelze vyloučit účinky na necílové organismy; vzhledem k tomu, že se objevují informace o řadě dopadů na stále větší počet necílových organismů;</w:t>
      </w:r>
    </w:p>
    <w:p w:rsidR="005536D0" w:rsidRPr="00C32735" w:rsidRDefault="005536D0" w:rsidP="00C32735">
      <w:pPr>
        <w:pStyle w:val="NormalHanging12a"/>
        <w:rPr>
          <w:b/>
          <w:i/>
          <w:szCs w:val="24"/>
        </w:rPr>
      </w:pPr>
      <w:r w:rsidRPr="00C32735">
        <w:rPr>
          <w:b/>
          <w:i/>
        </w:rPr>
        <w:t>Připomínky členských států a zúčastněných stran</w:t>
      </w:r>
    </w:p>
    <w:p w:rsidR="005536D0" w:rsidRPr="00C32735" w:rsidRDefault="005536D0" w:rsidP="00C32735">
      <w:pPr>
        <w:pStyle w:val="NormalHanging12a"/>
        <w:tabs>
          <w:tab w:val="left" w:pos="0"/>
        </w:tabs>
        <w:suppressAutoHyphens/>
        <w:rPr>
          <w:szCs w:val="24"/>
        </w:rPr>
      </w:pPr>
      <w:r w:rsidRPr="00C32735">
        <w:t>O.</w:t>
      </w:r>
      <w:r w:rsidRPr="00C32735">
        <w:tab/>
        <w:t>vzhledem k tomu, že členské státy během tříměsíčního období konzultací</w:t>
      </w:r>
      <w:r w:rsidRPr="00C32735">
        <w:rPr>
          <w:rStyle w:val="FootnoteReference"/>
          <w:szCs w:val="24"/>
        </w:rPr>
        <w:footnoteReference w:id="10"/>
      </w:r>
      <w:r w:rsidRPr="00C32735">
        <w:t xml:space="preserve"> předložily úřadu EFSA řadu kritických připomínek, které zahrnovaly i to, že seznam příslušných studií, které byly uvedeny v souhrnu odborné literatury žadatele, neobsahoval studie o osudu </w:t>
      </w:r>
      <w:proofErr w:type="spellStart"/>
      <w:r w:rsidRPr="00C32735">
        <w:t>Bt</w:t>
      </w:r>
      <w:proofErr w:type="spellEnd"/>
      <w:r w:rsidRPr="00C32735">
        <w:t xml:space="preserve"> proteinů v životním prostředí ani o možných účincích reziduí </w:t>
      </w:r>
      <w:proofErr w:type="spellStart"/>
      <w:r w:rsidRPr="00C32735">
        <w:t>Bt</w:t>
      </w:r>
      <w:proofErr w:type="spellEnd"/>
      <w:r w:rsidRPr="00C32735">
        <w:t xml:space="preserve"> plodin na necílové organismy, přestože takové studie existují; </w:t>
      </w:r>
    </w:p>
    <w:p w:rsidR="005536D0" w:rsidRPr="00C32735" w:rsidRDefault="005536D0" w:rsidP="00C32735">
      <w:pPr>
        <w:pStyle w:val="NormalHanging12a"/>
        <w:tabs>
          <w:tab w:val="left" w:pos="0"/>
        </w:tabs>
        <w:suppressAutoHyphens/>
        <w:rPr>
          <w:szCs w:val="24"/>
        </w:rPr>
      </w:pPr>
      <w:bookmarkStart w:id="7" w:name="_GoBack_Copy_1"/>
      <w:bookmarkEnd w:id="7"/>
      <w:r w:rsidRPr="00C32735">
        <w:t>P.</w:t>
      </w:r>
      <w:r w:rsidRPr="00C32735">
        <w:tab/>
        <w:t>vzhledem k tomu, že hodnocení v terénních podmínkách prováděná za účelem analýzy složení a fenotypu geneticky modifikované kukuřice nezohlednila různé podmínky prostředí a genetické pozadí, které jsou důležité pro její pěstování, zejména v zemích, jako je Brazílie;</w:t>
      </w:r>
    </w:p>
    <w:p w:rsidR="005536D0" w:rsidRPr="00C32735" w:rsidRDefault="005536D0" w:rsidP="00C32735">
      <w:pPr>
        <w:pStyle w:val="NormalHanging12a"/>
        <w:tabs>
          <w:tab w:val="left" w:pos="0"/>
        </w:tabs>
        <w:suppressAutoHyphens/>
        <w:rPr>
          <w:szCs w:val="24"/>
        </w:rPr>
      </w:pPr>
      <w:r w:rsidRPr="00C32735">
        <w:t>Q.</w:t>
      </w:r>
      <w:r w:rsidRPr="00C32735">
        <w:tab/>
        <w:t>vzhledem k tomu, že hodnocení toxicity proteinu Cry1B.34 nezohledňuje kombinované účinky s rostlinnými složkami nebo rezidui z aplikací herbicidů;</w:t>
      </w:r>
    </w:p>
    <w:p w:rsidR="005536D0" w:rsidRPr="00C32735" w:rsidRDefault="005536D0" w:rsidP="00C32735">
      <w:pPr>
        <w:pStyle w:val="NormalHanging12a"/>
        <w:tabs>
          <w:tab w:val="left" w:pos="0"/>
        </w:tabs>
        <w:suppressAutoHyphens/>
        <w:rPr>
          <w:szCs w:val="24"/>
        </w:rPr>
      </w:pPr>
      <w:r w:rsidRPr="00C32735">
        <w:t>R.</w:t>
      </w:r>
      <w:r w:rsidRPr="00C32735">
        <w:tab/>
        <w:t xml:space="preserve">vzhledem k tomu, že doplňkový herbicid </w:t>
      </w:r>
      <w:proofErr w:type="spellStart"/>
      <w:r w:rsidRPr="00C32735">
        <w:t>glufosinát</w:t>
      </w:r>
      <w:proofErr w:type="spellEnd"/>
      <w:r w:rsidRPr="00C32735">
        <w:t xml:space="preserve"> je spojen s významnými riziky pro biologickou rozmanitost, kvalitu půdy a vody a dlouhodobé zdraví ekosystémů;</w:t>
      </w:r>
    </w:p>
    <w:p w:rsidR="005536D0" w:rsidRPr="00C32735" w:rsidRDefault="005536D0" w:rsidP="00C32735">
      <w:pPr>
        <w:pStyle w:val="NormalHanging12a"/>
        <w:tabs>
          <w:tab w:val="left" w:pos="0"/>
        </w:tabs>
        <w:suppressAutoHyphens/>
        <w:rPr>
          <w:szCs w:val="24"/>
        </w:rPr>
      </w:pPr>
      <w:r w:rsidRPr="00C32735">
        <w:t>S.</w:t>
      </w:r>
      <w:r w:rsidRPr="00C32735">
        <w:tab/>
        <w:t xml:space="preserve">vzhledem k tomu, že riziko genového toku, tedy přenosu genů do volně žijících příbuzných druhů, jako je </w:t>
      </w:r>
      <w:proofErr w:type="spellStart"/>
      <w:r w:rsidRPr="00C32735">
        <w:t>teosinte</w:t>
      </w:r>
      <w:proofErr w:type="spellEnd"/>
      <w:r w:rsidRPr="00C32735">
        <w:t xml:space="preserve">, které bylo pozorováno ve Španělsku a Francii, vyvolává obavy ohledně přetrvávání </w:t>
      </w:r>
      <w:proofErr w:type="spellStart"/>
      <w:r w:rsidRPr="00C32735">
        <w:t>transgenů</w:t>
      </w:r>
      <w:proofErr w:type="spellEnd"/>
      <w:r w:rsidRPr="00C32735">
        <w:t xml:space="preserve"> a dopadů na životní prostředí;</w:t>
      </w:r>
    </w:p>
    <w:p w:rsidR="005536D0" w:rsidRPr="00C32735" w:rsidRDefault="005536D0" w:rsidP="00C32735">
      <w:pPr>
        <w:pStyle w:val="NormalHanging12a"/>
        <w:tabs>
          <w:tab w:val="left" w:pos="0"/>
        </w:tabs>
        <w:suppressAutoHyphens/>
        <w:rPr>
          <w:szCs w:val="24"/>
        </w:rPr>
      </w:pPr>
      <w:r w:rsidRPr="00C32735">
        <w:t>T.</w:t>
      </w:r>
      <w:r w:rsidRPr="00C32735">
        <w:tab/>
        <w:t>vzhledem k tomu, že požadavky na monitorování podle prováděcího nařízení (EU) č. 503/2013 nejsou dostatečně ošetřeny, jelikož chybí nezávislé ověřování poskytovaných údajů;</w:t>
      </w:r>
    </w:p>
    <w:p w:rsidR="005536D0" w:rsidRPr="00C32735" w:rsidRDefault="005536D0" w:rsidP="00C32735">
      <w:pPr>
        <w:pStyle w:val="NormalHanging12a"/>
        <w:rPr>
          <w:b/>
          <w:i/>
          <w:szCs w:val="24"/>
        </w:rPr>
      </w:pPr>
      <w:r w:rsidRPr="00C32735">
        <w:rPr>
          <w:b/>
          <w:i/>
        </w:rPr>
        <w:t>Zajištění celosvětově rovných podmínek a dodržování mezinárodních povinností Unie</w:t>
      </w:r>
    </w:p>
    <w:p w:rsidR="005536D0" w:rsidRPr="00C32735" w:rsidRDefault="005536D0" w:rsidP="00C32735">
      <w:pPr>
        <w:pStyle w:val="NormalHanging12a"/>
        <w:tabs>
          <w:tab w:val="left" w:pos="0"/>
        </w:tabs>
        <w:suppressAutoHyphens/>
        <w:rPr>
          <w:szCs w:val="24"/>
        </w:rPr>
      </w:pPr>
      <w:r w:rsidRPr="00C32735">
        <w:t>U.</w:t>
      </w:r>
      <w:r w:rsidRPr="00C32735">
        <w:tab/>
        <w:t xml:space="preserve">vzhledem k tomu, že v závěrech strategického dialogu o budoucnosti zemědělství v </w:t>
      </w:r>
      <w:r w:rsidRPr="00C32735">
        <w:lastRenderedPageBreak/>
        <w:t>EU</w:t>
      </w:r>
      <w:r w:rsidRPr="00C32735">
        <w:rPr>
          <w:vertAlign w:val="superscript"/>
        </w:rPr>
        <w:footnoteReference w:id="11"/>
      </w:r>
      <w:r w:rsidRPr="00C32735">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a 2024;</w:t>
      </w:r>
    </w:p>
    <w:p w:rsidR="005536D0" w:rsidRDefault="005536D0" w:rsidP="00C32735">
      <w:pPr>
        <w:pStyle w:val="NormalHanging12a"/>
        <w:tabs>
          <w:tab w:val="left" w:pos="0"/>
        </w:tabs>
        <w:suppressAutoHyphens/>
      </w:pPr>
      <w:r w:rsidRPr="00C32735">
        <w:t>V.</w:t>
      </w:r>
      <w:r w:rsidRPr="00C32735">
        <w:tab/>
        <w:t>vzhledem k tomu, že zvláštní zpravodaj OSN pro právo na potraviny ve zprávě z roku 2017 dospěl k závěru, že nebezpečné pesticidy mají katastrofické dopady na zdraví, zejména v rozvojových zemích</w:t>
      </w:r>
      <w:r w:rsidRPr="00C32735">
        <w:rPr>
          <w:vertAlign w:val="superscript"/>
        </w:rPr>
        <w:footnoteReference w:id="12"/>
      </w:r>
      <w:r w:rsidRPr="00C32735">
        <w:t>; vzhledem k tomu, že podle cíle udržitelného rozvoje OSN č. 3.9 má být do roku 2030 podstatně snížen počet úmrtí a onemocnění způsobených nebezpečnými chemickými látkami, znečištěním ovzduší a kontaminací vody a půdy</w:t>
      </w:r>
      <w:r w:rsidRPr="00C32735">
        <w:rPr>
          <w:rStyle w:val="FootnoteReference"/>
          <w:szCs w:val="24"/>
        </w:rPr>
        <w:footnoteReference w:id="13"/>
      </w:r>
      <w:r w:rsidRPr="00C32735">
        <w:t>;</w:t>
      </w:r>
    </w:p>
    <w:p w:rsidR="001E7D7D" w:rsidRPr="001E7D7D" w:rsidRDefault="001E7D7D" w:rsidP="00C32735">
      <w:pPr>
        <w:pStyle w:val="NormalHanging12a"/>
        <w:tabs>
          <w:tab w:val="left" w:pos="0"/>
        </w:tabs>
        <w:suppressAutoHyphens/>
        <w:rPr>
          <w:szCs w:val="24"/>
        </w:rPr>
      </w:pPr>
      <w:r>
        <w:t>W</w:t>
      </w:r>
      <w:r w:rsidRPr="00150995">
        <w:t>.</w:t>
      </w:r>
      <w:r w:rsidRPr="001E7D7D">
        <w:tab/>
      </w:r>
      <w:r w:rsidRPr="00150995">
        <w:t>vzhledem k tomu, že obchodní dohoda mezi EU a </w:t>
      </w:r>
      <w:proofErr w:type="spellStart"/>
      <w:r w:rsidRPr="00150995">
        <w:t>Mercosurem</w:t>
      </w:r>
      <w:proofErr w:type="spellEnd"/>
      <w:r w:rsidRPr="00150995">
        <w:t xml:space="preserve"> bude vytvářet pobídky k dovozu potravin a krmiv, které obsahují geneticky modifikované organismy, sestávají z nich nebo jsou z nich vyrobeny; vzhledem k tomu, že Brazílie a Argentina patří k největším světovým producentům GMO a uživatelům pesticidů, a to včetně těch GMO a pesticidů, které jsou v Unii zakázány ze zdravotních nebo environmentálních důvodů;</w:t>
      </w:r>
    </w:p>
    <w:p w:rsidR="005536D0" w:rsidRPr="00C32735" w:rsidRDefault="001E7D7D" w:rsidP="00C32735">
      <w:pPr>
        <w:pStyle w:val="NormalHanging12a"/>
        <w:tabs>
          <w:tab w:val="left" w:pos="0"/>
        </w:tabs>
        <w:suppressAutoHyphens/>
        <w:rPr>
          <w:szCs w:val="24"/>
        </w:rPr>
      </w:pPr>
      <w:r>
        <w:t>X</w:t>
      </w:r>
      <w:r w:rsidR="005536D0" w:rsidRPr="00C32735">
        <w:t>.</w:t>
      </w:r>
      <w:r w:rsidR="005536D0" w:rsidRPr="00C32735">
        <w:tab/>
        <w:t xml:space="preserve">vzhledem k tomu, že celosvětový rámec pro biologickou rozmanitost z </w:t>
      </w:r>
      <w:proofErr w:type="spellStart"/>
      <w:r w:rsidR="005536D0" w:rsidRPr="00C32735">
        <w:t>Kchun-mingu</w:t>
      </w:r>
      <w:proofErr w:type="spellEnd"/>
      <w:r w:rsidR="005536D0" w:rsidRPr="00C32735">
        <w:t xml:space="preserve"> a Montrealu, který byl dohodnut v prosinci 2022 na konferenci COP15 Úmluvy OSN o biologické rozmanitosti, obsahuje globální cíl snížit do roku 2030 rizika spojená s pesticidy alespoň o 50 %</w:t>
      </w:r>
      <w:r w:rsidR="005536D0" w:rsidRPr="00C32735">
        <w:rPr>
          <w:vertAlign w:val="superscript"/>
        </w:rPr>
        <w:footnoteReference w:id="14"/>
      </w:r>
      <w:r w:rsidR="005536D0" w:rsidRPr="00C32735">
        <w:t>;</w:t>
      </w:r>
    </w:p>
    <w:p w:rsidR="005536D0" w:rsidRPr="00C32735" w:rsidRDefault="001E7D7D" w:rsidP="00C32735">
      <w:pPr>
        <w:pStyle w:val="NormalHanging12a"/>
        <w:tabs>
          <w:tab w:val="left" w:pos="0"/>
        </w:tabs>
        <w:suppressAutoHyphens/>
        <w:rPr>
          <w:szCs w:val="24"/>
        </w:rPr>
      </w:pPr>
      <w:r>
        <w:t>Y</w:t>
      </w:r>
      <w:r w:rsidR="005536D0" w:rsidRPr="00C32735">
        <w:t>.</w:t>
      </w:r>
      <w:r w:rsidR="005536D0" w:rsidRPr="00C32735">
        <w:tab/>
        <w:t>vzhledem k tomu, že nařízení (ES) č. 1829/2003 stanoví, že geneticky modifikované potraviny a krmiva nesmí mít nepříznivé účinky na lidské zdraví, zdraví zvířat nebo na životní prostředí, a požaduje, aby Komise při přípravě návrhu rozhodnutí vzala v úvahu všechny související právní předpisy Unie a jiné oprávněné faktory významné pro projednávanou záležitost; vzhledem k tomu, že mezi tyto oprávněné faktory by měly patřit závazky Unie v rámci cílů udržitelného rozvoje OSN a Úmluvy OSN o biologické rozmanitosti;</w:t>
      </w:r>
    </w:p>
    <w:p w:rsidR="005536D0" w:rsidRPr="00C32735" w:rsidRDefault="005536D0" w:rsidP="00C32735">
      <w:pPr>
        <w:pStyle w:val="NormalHanging12a"/>
        <w:rPr>
          <w:b/>
          <w:i/>
          <w:szCs w:val="24"/>
        </w:rPr>
      </w:pPr>
      <w:r w:rsidRPr="00C32735">
        <w:rPr>
          <w:b/>
          <w:i/>
        </w:rPr>
        <w:t>Snížení závislosti na dovážených krmivech</w:t>
      </w:r>
    </w:p>
    <w:p w:rsidR="005536D0" w:rsidRPr="00C32735" w:rsidRDefault="001E7D7D" w:rsidP="00C32735">
      <w:pPr>
        <w:pStyle w:val="NormalHanging12a"/>
        <w:tabs>
          <w:tab w:val="left" w:pos="0"/>
        </w:tabs>
        <w:suppressAutoHyphens/>
        <w:rPr>
          <w:b/>
          <w:i/>
          <w:szCs w:val="24"/>
        </w:rPr>
      </w:pPr>
      <w:r>
        <w:t>Z</w:t>
      </w:r>
      <w:r w:rsidR="005536D0" w:rsidRPr="00C32735">
        <w:t>.</w:t>
      </w:r>
      <w:r w:rsidR="005536D0" w:rsidRPr="00C32735">
        <w:tab/>
        <w:t xml:space="preserve">vzhledem k tomu, že z krize COVID-19 a probíhající války na Ukrajině jsme si odnesli mimo jiné ponaučení, že Unie musí ukončit závislost na některých kritických materiálech; vzhledem k tomu, že předsedkyně Komise Ursula von der </w:t>
      </w:r>
      <w:proofErr w:type="spellStart"/>
      <w:r w:rsidR="005536D0" w:rsidRPr="00C32735">
        <w:t>Leyenová</w:t>
      </w:r>
      <w:proofErr w:type="spellEnd"/>
      <w:r w:rsidR="005536D0" w:rsidRPr="00C32735">
        <w:t xml:space="preserve"> v pověřovacím dopise žádá komisaře Christophe </w:t>
      </w:r>
      <w:proofErr w:type="spellStart"/>
      <w:r w:rsidR="005536D0" w:rsidRPr="00C32735">
        <w:t>Hansena</w:t>
      </w:r>
      <w:proofErr w:type="spellEnd"/>
      <w:r w:rsidR="005536D0" w:rsidRPr="00C32735">
        <w:t xml:space="preserve">, aby prozkoumal způsoby, </w:t>
      </w:r>
      <w:r w:rsidR="005536D0" w:rsidRPr="00C32735">
        <w:lastRenderedPageBreak/>
        <w:t>jak snížit dovoz kritických komodit</w:t>
      </w:r>
      <w:r w:rsidR="005536D0" w:rsidRPr="00C32735">
        <w:rPr>
          <w:rStyle w:val="FootnoteReference"/>
          <w:szCs w:val="24"/>
        </w:rPr>
        <w:footnoteReference w:id="15"/>
      </w:r>
      <w:r w:rsidR="005536D0" w:rsidRPr="00C32735">
        <w:t xml:space="preserve">; </w:t>
      </w:r>
    </w:p>
    <w:p w:rsidR="005536D0" w:rsidRPr="00C32735" w:rsidRDefault="005536D0" w:rsidP="00C32735">
      <w:pPr>
        <w:pStyle w:val="NormalHanging12a"/>
        <w:rPr>
          <w:b/>
          <w:i/>
          <w:szCs w:val="24"/>
        </w:rPr>
      </w:pPr>
      <w:r w:rsidRPr="00C32735">
        <w:rPr>
          <w:b/>
          <w:i/>
        </w:rPr>
        <w:t>Nedemokratické rozhodování</w:t>
      </w:r>
    </w:p>
    <w:p w:rsidR="005536D0" w:rsidRPr="00C32735" w:rsidRDefault="001E7D7D" w:rsidP="00C32735">
      <w:pPr>
        <w:pStyle w:val="NormalHanging12a"/>
        <w:tabs>
          <w:tab w:val="left" w:pos="0"/>
        </w:tabs>
        <w:suppressAutoHyphens/>
        <w:rPr>
          <w:szCs w:val="24"/>
        </w:rPr>
      </w:pPr>
      <w:r>
        <w:t>AA</w:t>
      </w:r>
      <w:r w:rsidR="005536D0" w:rsidRPr="00C32735">
        <w:t>.</w:t>
      </w:r>
      <w:r w:rsidR="005536D0" w:rsidRPr="00C32735">
        <w:tab/>
        <w:t>vzhledem k tomu, že Parlament v osmém volebním období přijal celkem 36 usnesení, v nichž vyslovuje námitku vůči uvádění geneticky modifikovaných organismů na trh k výrobě potravin a krmiv (33 usnesení) a vůči pěstování geneticky modifikovaných plodin v Unii (tři usnesení); vzhledem k tomu, že Parlament v devátém funkčním období přijal 38 usnesení, v nichž vyslovuje námitku vůči uvádění geneticky modifikovaných organismů na trh, a v současném desátém funkčním období přijal dalších 8 usnesení, v nichž vyslovuje námitku proti uvádění geneticky modifikovaných organismů na trh;</w:t>
      </w:r>
    </w:p>
    <w:p w:rsidR="005536D0" w:rsidRPr="00C32735" w:rsidRDefault="005536D0" w:rsidP="00C32735">
      <w:pPr>
        <w:pStyle w:val="NormalHanging12a"/>
        <w:tabs>
          <w:tab w:val="left" w:pos="0"/>
        </w:tabs>
        <w:suppressAutoHyphens/>
        <w:rPr>
          <w:szCs w:val="24"/>
        </w:rPr>
      </w:pPr>
      <w:r w:rsidRPr="00C32735">
        <w:t>A</w:t>
      </w:r>
      <w:r w:rsidR="001E7D7D">
        <w:t>B</w:t>
      </w:r>
      <w:r w:rsidRPr="00C32735">
        <w:t>.</w:t>
      </w:r>
      <w:r w:rsidRPr="00C32735">
        <w:tab/>
        <w:t>vzhledem k tomu, že Komise geneticky modifikované organismy nadále povoluje, ačkoli sama uznává, že v této oblasti existuje demokratický deficit, absenci podpory členských států a námitky Parlamentu;</w:t>
      </w:r>
    </w:p>
    <w:p w:rsidR="005536D0" w:rsidRPr="00C32735" w:rsidRDefault="005536D0" w:rsidP="00C32735">
      <w:pPr>
        <w:pStyle w:val="NormalHanging12a"/>
        <w:tabs>
          <w:tab w:val="left" w:pos="0"/>
        </w:tabs>
        <w:suppressAutoHyphens/>
        <w:rPr>
          <w:szCs w:val="24"/>
        </w:rPr>
      </w:pPr>
      <w:r w:rsidRPr="00C32735">
        <w:t>A</w:t>
      </w:r>
      <w:r w:rsidR="001E7D7D">
        <w:t>C</w:t>
      </w:r>
      <w:r w:rsidRPr="00C32735">
        <w:t>.</w:t>
      </w:r>
      <w:r w:rsidRPr="00C32735">
        <w:tab/>
        <w:t>vzhledem k tomu, že není nutné provést žádné legislativní změny, aby Komise mohla neudělit povolení geneticky modifikovaným organismům, pokud se pro udělení povolení v odvolacím výboru nevysloví kvalifikovaná většina členských států</w:t>
      </w:r>
      <w:r w:rsidRPr="00C32735">
        <w:rPr>
          <w:rStyle w:val="FootnoteReference"/>
          <w:szCs w:val="24"/>
        </w:rPr>
        <w:footnoteReference w:id="16"/>
      </w:r>
      <w:r w:rsidRPr="00C32735">
        <w:t>;</w:t>
      </w:r>
    </w:p>
    <w:p w:rsidR="005536D0" w:rsidRPr="00C32735" w:rsidRDefault="005536D0" w:rsidP="00C32735">
      <w:pPr>
        <w:suppressAutoHyphens/>
        <w:spacing w:after="240"/>
        <w:ind w:left="567" w:hanging="567"/>
        <w:rPr>
          <w:szCs w:val="24"/>
          <w:shd w:val="clear" w:color="auto" w:fill="FFFFFF"/>
        </w:rPr>
      </w:pPr>
      <w:r w:rsidRPr="00C32735">
        <w:t>A</w:t>
      </w:r>
      <w:r w:rsidR="001E7D7D">
        <w:t>D</w:t>
      </w:r>
      <w:r w:rsidRPr="00C32735">
        <w:t>.</w:t>
      </w:r>
      <w:r w:rsidRPr="00C32735">
        <w:tab/>
      </w:r>
      <w:r w:rsidRPr="00C32735">
        <w:rPr>
          <w:shd w:val="clear" w:color="auto" w:fill="FFFFFF"/>
        </w:rPr>
        <w:t>vzhledem k tomu, že hlasování Stálého výboru pro rostliny, zvířata, potraviny a krmiva dne 22. listopadu 2024 podle článku 35 nařízení (ES) č. 1829/2003 nevedlo k vydání žádného stanoviska, což znamená, že povolení nepodpořila kvalifikovaná většina členských států; vzhledem k tomu, že odvolací výbor znovu hlasoval dne 17. prosince 2024, ale ani tehdy nebylo stanovisko vydáno;</w:t>
      </w:r>
    </w:p>
    <w:p w:rsidR="005536D0" w:rsidRPr="00C32735" w:rsidRDefault="005536D0" w:rsidP="00C32735">
      <w:pPr>
        <w:pStyle w:val="NormalHanging12a"/>
        <w:rPr>
          <w:szCs w:val="24"/>
        </w:rPr>
      </w:pPr>
      <w:r w:rsidRPr="00C32735">
        <w:t>1.</w:t>
      </w:r>
      <w:r w:rsidRPr="00C32735">
        <w:tab/>
        <w:t>domnívá se, že návrh prováděcího rozhodnutí Komise překračuje prováděcí pravomoci stanovené v nařízení (ES) č. 1829/2003;</w:t>
      </w:r>
    </w:p>
    <w:p w:rsidR="005536D0" w:rsidRPr="00C32735" w:rsidRDefault="005536D0" w:rsidP="00C32735">
      <w:pPr>
        <w:pStyle w:val="NormalHanging12a"/>
        <w:rPr>
          <w:szCs w:val="24"/>
        </w:rPr>
      </w:pPr>
      <w:r w:rsidRPr="00C32735">
        <w:t>2.</w:t>
      </w:r>
      <w:r w:rsidRPr="00C32735">
        <w:tab/>
        <w:t>domnívá se, že návrh prováděcího rozhodnutí Komise není v souladu s právními předpisy Unie, neboť není slučitelný s cílem nařízení (ES) č. 1829/2003, který podle obecných zásad stanovených v nařízení Evropského parlamentu a Rady (ES) č. 178/2002</w:t>
      </w:r>
      <w:r w:rsidRPr="00C32735">
        <w:rPr>
          <w:rStyle w:val="FootnoteReference"/>
          <w:szCs w:val="24"/>
        </w:rPr>
        <w:footnoteReference w:id="17"/>
      </w:r>
      <w:r w:rsidRPr="00C32735">
        <w:t xml:space="preserve"> spočívá ve vytvoření základních předpokladů, které by umožnily zajistit vysokou úroveň ochrany lidského života a zdraví, jakož i zdraví a dobrých životních podmínek zvířat a ochrany zájmů v oblasti životního prostředí a zájmů spotřebitelů v souvislosti s geneticky modifikovanými potravinami a krmivy a současně zajistit účinné fungování vnitřního trhu;</w:t>
      </w:r>
    </w:p>
    <w:p w:rsidR="005536D0" w:rsidRPr="00C32735" w:rsidRDefault="005536D0" w:rsidP="00C32735">
      <w:pPr>
        <w:pStyle w:val="NormalHanging12a"/>
        <w:rPr>
          <w:szCs w:val="24"/>
        </w:rPr>
      </w:pPr>
      <w:r w:rsidRPr="00C32735">
        <w:t>3.</w:t>
      </w:r>
      <w:r w:rsidRPr="00C32735">
        <w:tab/>
        <w:t>vyzývá Komisi, aby vzala návrh prováděcího rozhodnutí zpět a předložila výboru nový návrh;</w:t>
      </w:r>
    </w:p>
    <w:p w:rsidR="005536D0" w:rsidRPr="00C32735" w:rsidRDefault="005536D0" w:rsidP="00C32735">
      <w:pPr>
        <w:pStyle w:val="NormalHanging12a"/>
        <w:rPr>
          <w:szCs w:val="24"/>
        </w:rPr>
      </w:pPr>
      <w:r w:rsidRPr="00C32735">
        <w:t>4.</w:t>
      </w:r>
      <w:r w:rsidRPr="00C32735">
        <w:tab/>
        <w:t xml:space="preserve">vyzývá Komisi, aby při jednáních o dohodách o volném obchodu zajistila sblížení </w:t>
      </w:r>
      <w:r w:rsidRPr="00C32735">
        <w:lastRenderedPageBreak/>
        <w:t>norem mezi Unií a jejími partnery tak, aby byly splněny bezpečnostní normy Unie;</w:t>
      </w:r>
    </w:p>
    <w:p w:rsidR="005536D0" w:rsidRPr="00C32735" w:rsidRDefault="005536D0" w:rsidP="00C32735">
      <w:pPr>
        <w:pStyle w:val="NormalHanging12a"/>
        <w:rPr>
          <w:szCs w:val="24"/>
        </w:rPr>
      </w:pPr>
      <w:r w:rsidRPr="00C32735">
        <w:t>5.</w:t>
      </w:r>
      <w:r w:rsidRPr="00C32735">
        <w:tab/>
        <w:t>vyzývá Komisi, aby v souladu s přístupem „jedno zdraví“ nepovolila geneticky modifikovanou kukuřici kvůli zvýšeným rizikům pro biologickou rozmanitost, bezpečnost potravin a zdraví pracovníků;</w:t>
      </w:r>
    </w:p>
    <w:p w:rsidR="005536D0" w:rsidRPr="00C32735" w:rsidRDefault="005536D0" w:rsidP="00C32735">
      <w:pPr>
        <w:pStyle w:val="NormalHanging12a"/>
        <w:rPr>
          <w:szCs w:val="24"/>
        </w:rPr>
      </w:pPr>
      <w:r w:rsidRPr="00C32735">
        <w:t>6.</w:t>
      </w:r>
      <w:r w:rsidRPr="00C32735">
        <w:tab/>
        <w:t>očekává, že Komise bezodkladně dostojí svému závazku</w:t>
      </w:r>
      <w:r w:rsidRPr="00C32735">
        <w:rPr>
          <w:rStyle w:val="FootnoteReference"/>
          <w:szCs w:val="24"/>
        </w:rPr>
        <w:footnoteReference w:id="18"/>
      </w:r>
      <w:r w:rsidRPr="00C32735">
        <w:t xml:space="preserve"> a předloží návrh, kterým zajistí, aby nebezpečné chemické látky, které jsou v Unii zakázány, nebyly vyráběny pro vývoz;</w:t>
      </w:r>
    </w:p>
    <w:p w:rsidR="005536D0" w:rsidRPr="00C32735" w:rsidRDefault="005536D0" w:rsidP="00C32735">
      <w:pPr>
        <w:pStyle w:val="NormalHanging12a"/>
        <w:rPr>
          <w:szCs w:val="24"/>
        </w:rPr>
      </w:pPr>
      <w:r w:rsidRPr="00C32735">
        <w:t>7.</w:t>
      </w:r>
      <w:r w:rsidRPr="00C32735">
        <w:tab/>
        <w:t>považuje za pozitivní, že Komise v dopise poslancům ze dne 11. září 2020 konečně uznala, že při rozhodování o povolení geneticky modifikovaných organismů je třeba zohledňovat otázku udržitelnosti</w:t>
      </w:r>
      <w:r w:rsidRPr="00C32735">
        <w:rPr>
          <w:rStyle w:val="FootnoteReference"/>
          <w:szCs w:val="24"/>
        </w:rPr>
        <w:footnoteReference w:id="19"/>
      </w:r>
      <w:r w:rsidRPr="00C32735">
        <w:t>; vyjadřuje však hluboké zklamání nad tím, že Komise nadále povoluje dovoz geneticky modifikovaných organismů do Unie, a to navzdory námitkám Parlamentu a navzdory tomu, že většina členských států hlasuje proti;</w:t>
      </w:r>
    </w:p>
    <w:p w:rsidR="005536D0" w:rsidRPr="00C32735" w:rsidRDefault="005536D0" w:rsidP="00C32735">
      <w:pPr>
        <w:pStyle w:val="NormalHanging12a"/>
      </w:pPr>
      <w:r w:rsidRPr="00C32735">
        <w:t>8.</w:t>
      </w:r>
      <w:r w:rsidRPr="00C32735">
        <w:tab/>
        <w:t>znovu naléhavě vyzývá Komisi, aby zohlednila závazky Unie vyplývající z mezinárodních dohod, jako jsou Pařížská klimatická dohoda, Úmluva OSN o biologické rozmanitosti a cíle udržite</w:t>
      </w:r>
      <w:bookmarkStart w:id="8" w:name="_GoBack"/>
      <w:bookmarkEnd w:id="8"/>
      <w:r w:rsidRPr="00C32735">
        <w:t>lného rozvoje OSN; opětovně žádá, aby k návrhům prováděcích aktů byla připojena důvodová zpráva, v níž se vysvětlí, jakým způsobem se v nich zajistí dodržení zásady „neškodit“</w:t>
      </w:r>
      <w:r w:rsidRPr="00C32735">
        <w:rPr>
          <w:rStyle w:val="FootnoteReference"/>
          <w:szCs w:val="24"/>
        </w:rPr>
        <w:footnoteReference w:id="20"/>
      </w:r>
      <w:r w:rsidRPr="00C32735">
        <w:t xml:space="preserve">; </w:t>
      </w:r>
    </w:p>
    <w:p w:rsidR="00E365E1" w:rsidRPr="00C32735" w:rsidRDefault="005536D0" w:rsidP="00C32735">
      <w:pPr>
        <w:pStyle w:val="NormalHanging12a"/>
      </w:pPr>
      <w:r w:rsidRPr="00C32735">
        <w:t>9.</w:t>
      </w:r>
      <w:r w:rsidRPr="00C32735">
        <w:tab/>
        <w:t>pověřuje svou předsedkyni, aby předala toto usnesení Radě a Komisi, jakož i vládám a parlamentům členských států.</w:t>
      </w:r>
    </w:p>
    <w:sectPr w:rsidR="00E365E1" w:rsidRPr="00C32735" w:rsidSect="00E72F9E">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AEA" w:rsidRPr="007814E5" w:rsidRDefault="00A92AEA">
      <w:r w:rsidRPr="007814E5">
        <w:separator/>
      </w:r>
    </w:p>
  </w:endnote>
  <w:endnote w:type="continuationSeparator" w:id="0">
    <w:p w:rsidR="00A92AEA" w:rsidRPr="007814E5" w:rsidRDefault="00A92AEA">
      <w:r w:rsidRPr="007814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14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14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14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AEA" w:rsidRPr="007814E5" w:rsidRDefault="00A92AEA">
      <w:r w:rsidRPr="007814E5">
        <w:separator/>
      </w:r>
    </w:p>
  </w:footnote>
  <w:footnote w:type="continuationSeparator" w:id="0">
    <w:p w:rsidR="00A92AEA" w:rsidRPr="007814E5" w:rsidRDefault="00A92AEA">
      <w:r w:rsidRPr="007814E5">
        <w:continuationSeparator/>
      </w:r>
    </w:p>
  </w:footnote>
  <w:footnote w:id="1">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proofErr w:type="spellStart"/>
      <w:r w:rsidRPr="007814E5">
        <w:rPr>
          <w:color w:val="000000" w:themeColor="text1"/>
          <w:sz w:val="24"/>
          <w:lang w:val="cs-CZ"/>
        </w:rPr>
        <w:t>Úř</w:t>
      </w:r>
      <w:proofErr w:type="spellEnd"/>
      <w:r w:rsidRPr="007814E5">
        <w:rPr>
          <w:color w:val="000000" w:themeColor="text1"/>
          <w:sz w:val="24"/>
          <w:lang w:val="cs-CZ"/>
        </w:rPr>
        <w:t xml:space="preserve">. </w:t>
      </w:r>
      <w:proofErr w:type="spellStart"/>
      <w:r w:rsidRPr="007814E5">
        <w:rPr>
          <w:color w:val="000000" w:themeColor="text1"/>
          <w:sz w:val="24"/>
          <w:lang w:val="cs-CZ"/>
        </w:rPr>
        <w:t>věst</w:t>
      </w:r>
      <w:proofErr w:type="spellEnd"/>
      <w:r w:rsidRPr="007814E5">
        <w:rPr>
          <w:color w:val="000000" w:themeColor="text1"/>
          <w:sz w:val="24"/>
          <w:lang w:val="cs-CZ"/>
        </w:rPr>
        <w:t>. L 268, 18.10.2003, s. 1, ELI: </w:t>
      </w:r>
      <w:hyperlink r:id="rId1" w:tgtFrame="Gives access to this document through its ELI URI." w:history="1">
        <w:r w:rsidRPr="00150995">
          <w:rPr>
            <w:rStyle w:val="Hyperlink"/>
            <w:color w:val="0070C0"/>
            <w:sz w:val="24"/>
            <w:lang w:val="cs-CZ"/>
          </w:rPr>
          <w:t>http://data.europa.eu/eli/reg/2003/1829/oj</w:t>
        </w:r>
      </w:hyperlink>
      <w:r w:rsidRPr="007814E5">
        <w:rPr>
          <w:color w:val="000000" w:themeColor="text1"/>
          <w:sz w:val="24"/>
          <w:lang w:val="cs-CZ"/>
        </w:rPr>
        <w:t>.</w:t>
      </w:r>
    </w:p>
  </w:footnote>
  <w:footnote w:id="2">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proofErr w:type="spellStart"/>
      <w:r w:rsidRPr="007814E5">
        <w:rPr>
          <w:color w:val="000000" w:themeColor="text1"/>
          <w:sz w:val="24"/>
          <w:lang w:val="cs-CZ"/>
        </w:rPr>
        <w:t>Úř</w:t>
      </w:r>
      <w:proofErr w:type="spellEnd"/>
      <w:r w:rsidRPr="007814E5">
        <w:rPr>
          <w:color w:val="000000" w:themeColor="text1"/>
          <w:sz w:val="24"/>
          <w:lang w:val="cs-CZ"/>
        </w:rPr>
        <w:t xml:space="preserve">. </w:t>
      </w:r>
      <w:proofErr w:type="spellStart"/>
      <w:r w:rsidRPr="007814E5">
        <w:rPr>
          <w:color w:val="000000" w:themeColor="text1"/>
          <w:sz w:val="24"/>
          <w:lang w:val="cs-CZ"/>
        </w:rPr>
        <w:t>věst</w:t>
      </w:r>
      <w:proofErr w:type="spellEnd"/>
      <w:r w:rsidRPr="007814E5">
        <w:rPr>
          <w:color w:val="000000" w:themeColor="text1"/>
          <w:sz w:val="24"/>
          <w:lang w:val="cs-CZ"/>
        </w:rPr>
        <w:t>. L 55, 28.2.2011, s. 13, ELI: </w:t>
      </w:r>
      <w:hyperlink r:id="rId2" w:tgtFrame="Gives access to this document through its ELI URI." w:history="1">
        <w:r w:rsidRPr="00150995">
          <w:rPr>
            <w:rStyle w:val="Hyperlink"/>
            <w:color w:val="0070C0"/>
            <w:sz w:val="24"/>
            <w:lang w:val="cs-CZ"/>
          </w:rPr>
          <w:t>http://data.europa.eu/eli/reg/2011/182/oj</w:t>
        </w:r>
      </w:hyperlink>
      <w:r w:rsidRPr="007814E5">
        <w:rPr>
          <w:color w:val="000000" w:themeColor="text1"/>
          <w:sz w:val="24"/>
          <w:lang w:val="cs-CZ"/>
        </w:rPr>
        <w:t>.</w:t>
      </w:r>
    </w:p>
  </w:footnote>
  <w:footnote w:id="3">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 xml:space="preserve">Vědecké stanovisko vědecké komise úřadu EFSA pro geneticky modifikované organismy s názvem „Posouzení geneticky modifikované kukuřice DP910521 (žádost GMFF-2021-2473)“, EFSA </w:t>
      </w:r>
      <w:proofErr w:type="spellStart"/>
      <w:r w:rsidRPr="007814E5">
        <w:rPr>
          <w:color w:val="000000" w:themeColor="text1"/>
          <w:sz w:val="24"/>
          <w:lang w:val="cs-CZ"/>
        </w:rPr>
        <w:t>Journal</w:t>
      </w:r>
      <w:proofErr w:type="spellEnd"/>
      <w:r w:rsidRPr="007814E5">
        <w:rPr>
          <w:color w:val="000000" w:themeColor="text1"/>
          <w:sz w:val="24"/>
          <w:lang w:val="cs-CZ"/>
        </w:rPr>
        <w:t xml:space="preserve"> 2024;22(8):e8887, </w:t>
      </w:r>
      <w:hyperlink r:id="rId3" w:history="1">
        <w:r w:rsidRPr="00150995">
          <w:rPr>
            <w:rStyle w:val="Hyperlink"/>
            <w:color w:val="0070C0"/>
            <w:sz w:val="24"/>
            <w:lang w:val="cs-CZ"/>
          </w:rPr>
          <w:t>https://doi.org/10.2903/j.efsa.2024.8887</w:t>
        </w:r>
      </w:hyperlink>
      <w:r w:rsidRPr="007814E5">
        <w:rPr>
          <w:color w:val="000000" w:themeColor="text1"/>
          <w:sz w:val="24"/>
          <w:lang w:val="cs-CZ"/>
        </w:rPr>
        <w:t xml:space="preserve">. </w:t>
      </w:r>
    </w:p>
  </w:footnote>
  <w:footnote w:id="4">
    <w:p w:rsidR="005536D0" w:rsidRPr="007814E5" w:rsidRDefault="005536D0" w:rsidP="007814E5">
      <w:pPr>
        <w:pStyle w:val="FootnoteText"/>
        <w:ind w:left="567" w:hanging="567"/>
        <w:rPr>
          <w:color w:val="000000" w:themeColor="text1"/>
          <w:sz w:val="24"/>
          <w:vertAlign w:val="superscript"/>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Ve svém osmém volebním období přijal Parlament 36 usnesení a ve svém devátém volebním období přijal 38 usnesení o námitkách proti povolení GMO. V desátém volebním období pak Parlament přijal tato usnesení:</w:t>
      </w:r>
    </w:p>
    <w:p w:rsidR="005536D0" w:rsidRPr="007814E5" w:rsidRDefault="007814E5" w:rsidP="007814E5">
      <w:pPr>
        <w:pStyle w:val="FootnoteText"/>
        <w:ind w:left="567" w:hanging="567"/>
        <w:rPr>
          <w:color w:val="000000" w:themeColor="text1"/>
          <w:sz w:val="24"/>
          <w:vertAlign w:val="superscript"/>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(P10_TA(2024)0038),</w:t>
      </w:r>
    </w:p>
    <w:p w:rsidR="005536D0" w:rsidRPr="007814E5" w:rsidRDefault="007814E5" w:rsidP="007814E5">
      <w:pPr>
        <w:pStyle w:val="FootnoteText"/>
        <w:ind w:left="567" w:hanging="567"/>
        <w:rPr>
          <w:color w:val="000000" w:themeColor="text1"/>
          <w:sz w:val="24"/>
          <w:vertAlign w:val="superscript"/>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(P10_TA(2024)0039),</w:t>
      </w:r>
    </w:p>
    <w:p w:rsidR="005536D0" w:rsidRPr="007814E5" w:rsidRDefault="007814E5" w:rsidP="007814E5">
      <w:pPr>
        <w:pStyle w:val="FootnoteText"/>
        <w:ind w:left="567" w:hanging="567"/>
        <w:rPr>
          <w:color w:val="000000" w:themeColor="text1"/>
          <w:sz w:val="24"/>
          <w:vertAlign w:val="superscript"/>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 xml:space="preserve">usnesení Evropského parlamentu ze dne 26. listopadu 2024 o prováděcím rozhodnutí Komise (EU) 2024/2629, kterým se obnovuje povolení uvedení produktů, které obsahují geneticky modifikovanou kukuřici MON 89034 × 1507 × MON 88017 × 59122 nebo osm z jejích </w:t>
      </w:r>
      <w:proofErr w:type="spellStart"/>
      <w:r w:rsidR="005536D0" w:rsidRPr="007814E5">
        <w:rPr>
          <w:color w:val="000000" w:themeColor="text1"/>
          <w:sz w:val="24"/>
          <w:lang w:val="cs-CZ"/>
        </w:rPr>
        <w:t>podkombinací</w:t>
      </w:r>
      <w:proofErr w:type="spellEnd"/>
      <w:r w:rsidR="005536D0" w:rsidRPr="007814E5">
        <w:rPr>
          <w:color w:val="000000" w:themeColor="text1"/>
          <w:sz w:val="24"/>
          <w:lang w:val="cs-CZ"/>
        </w:rPr>
        <w:t>, sestávají z nich nebo jsou z nich vyrobeny, na trh, v souladu s nařízením Evropského parlamentu a Rady (ES) č. 1829/2003 (P10_TA(2024)0040),</w:t>
      </w:r>
    </w:p>
    <w:p w:rsidR="005536D0" w:rsidRPr="007814E5" w:rsidRDefault="007814E5" w:rsidP="007814E5">
      <w:pPr>
        <w:pStyle w:val="FootnoteText"/>
        <w:ind w:left="567" w:hanging="567"/>
        <w:rPr>
          <w:color w:val="000000" w:themeColor="text1"/>
          <w:sz w:val="24"/>
          <w:vertAlign w:val="superscript"/>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(P10_TA(2024)0041),</w:t>
      </w:r>
    </w:p>
    <w:p w:rsidR="005536D0" w:rsidRPr="007814E5" w:rsidRDefault="007814E5" w:rsidP="007814E5">
      <w:pPr>
        <w:pStyle w:val="FootnoteText"/>
        <w:ind w:left="567" w:hanging="567"/>
        <w:rPr>
          <w:color w:val="000000" w:themeColor="text1"/>
          <w:sz w:val="24"/>
          <w:vertAlign w:val="superscript"/>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(P10_TA(2024)0042),</w:t>
      </w:r>
    </w:p>
    <w:p w:rsidR="005536D0" w:rsidRPr="007814E5" w:rsidRDefault="007814E5" w:rsidP="007814E5">
      <w:pPr>
        <w:pStyle w:val="FootnoteText"/>
        <w:ind w:left="567" w:hanging="567"/>
        <w:rPr>
          <w:color w:val="000000" w:themeColor="text1"/>
          <w:sz w:val="24"/>
          <w:vertAlign w:val="superscript"/>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usnesení Evropského parlamentu ze dne 26. listopadu 2024 o návrhu prováděcího rozhodnutí Komise (EU) 2024/1826 o povolení uvedení produktů, které obsahují geneticky modifikovanou kukuřici DP23211, sestávají z ní nebo jsou z ní vyrobeny, na trh podle nařízení Evropského parlamentu a Rady (ES) č. 1829/2003 (P10_TA(2024)0043),</w:t>
      </w:r>
    </w:p>
    <w:p w:rsidR="005536D0" w:rsidRPr="007814E5" w:rsidRDefault="007814E5" w:rsidP="007814E5">
      <w:pPr>
        <w:pStyle w:val="FootnoteText"/>
        <w:ind w:left="567" w:hanging="567"/>
        <w:rPr>
          <w:color w:val="000000" w:themeColor="text1"/>
          <w:sz w:val="24"/>
          <w:vertAlign w:val="superscript"/>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(P10_TA(2024)0044),</w:t>
      </w:r>
    </w:p>
    <w:p w:rsidR="005536D0" w:rsidRPr="007814E5" w:rsidRDefault="007814E5" w:rsidP="007814E5">
      <w:pPr>
        <w:pStyle w:val="FootnoteText"/>
        <w:ind w:left="567" w:hanging="567"/>
        <w:rPr>
          <w:color w:val="000000" w:themeColor="text1"/>
          <w:sz w:val="24"/>
          <w:lang w:val="cs-CZ"/>
        </w:rPr>
      </w:pPr>
      <w:r w:rsidRPr="007814E5">
        <w:rPr>
          <w:color w:val="000000" w:themeColor="text1"/>
          <w:sz w:val="24"/>
          <w:lang w:val="cs-CZ"/>
        </w:rPr>
        <w:t xml:space="preserve"> </w:t>
      </w:r>
      <w:r w:rsidRPr="007814E5">
        <w:rPr>
          <w:color w:val="000000" w:themeColor="text1"/>
          <w:sz w:val="24"/>
          <w:lang w:val="cs-CZ"/>
        </w:rPr>
        <w:tab/>
      </w:r>
      <w:r w:rsidR="005536D0" w:rsidRPr="007814E5">
        <w:rPr>
          <w:color w:val="000000" w:themeColor="text1"/>
          <w:sz w:val="24"/>
          <w:lang w:val="cs-CZ"/>
        </w:rPr>
        <w:t>–</w:t>
      </w:r>
      <w:r w:rsidR="005536D0" w:rsidRPr="007814E5">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(P10_TA(2024)0045).</w:t>
      </w:r>
    </w:p>
  </w:footnote>
  <w:footnote w:id="5">
    <w:p w:rsidR="005536D0" w:rsidRPr="007814E5" w:rsidRDefault="005536D0" w:rsidP="007814E5">
      <w:pPr>
        <w:pStyle w:val="FootnoteText"/>
        <w:ind w:left="567" w:hanging="567"/>
        <w:rPr>
          <w:color w:val="000000" w:themeColor="text1"/>
          <w:sz w:val="24"/>
          <w:lang w:val="cs-CZ"/>
        </w:rPr>
      </w:pPr>
      <w:r w:rsidRPr="007814E5">
        <w:rPr>
          <w:rStyle w:val="FootnoteReference"/>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Nařízení Evropského parlamentu a Rady (ES) č. 1107/2009 ze dne 21. října 2009 o uvádění přípravků na ochranu rostlin na trh a o zrušení směrnic Rady 79/117/EHS a 91/414/EHS (</w:t>
      </w:r>
      <w:proofErr w:type="spellStart"/>
      <w:r w:rsidRPr="007814E5">
        <w:rPr>
          <w:color w:val="000000" w:themeColor="text1"/>
          <w:sz w:val="24"/>
          <w:lang w:val="cs-CZ"/>
        </w:rPr>
        <w:t>Úř</w:t>
      </w:r>
      <w:proofErr w:type="spellEnd"/>
      <w:r w:rsidRPr="007814E5">
        <w:rPr>
          <w:color w:val="000000" w:themeColor="text1"/>
          <w:sz w:val="24"/>
          <w:lang w:val="cs-CZ"/>
        </w:rPr>
        <w:t>. </w:t>
      </w:r>
      <w:proofErr w:type="spellStart"/>
      <w:r w:rsidRPr="007814E5">
        <w:rPr>
          <w:color w:val="000000" w:themeColor="text1"/>
          <w:sz w:val="24"/>
          <w:lang w:val="cs-CZ"/>
        </w:rPr>
        <w:t>věst</w:t>
      </w:r>
      <w:proofErr w:type="spellEnd"/>
      <w:r w:rsidRPr="007814E5">
        <w:rPr>
          <w:color w:val="000000" w:themeColor="text1"/>
          <w:sz w:val="24"/>
          <w:lang w:val="cs-CZ"/>
        </w:rPr>
        <w:t xml:space="preserve">. L 309, 24.11.2009, s. 1, ELI: </w:t>
      </w:r>
      <w:hyperlink r:id="rId4" w:history="1">
        <w:r w:rsidRPr="00150995">
          <w:rPr>
            <w:rStyle w:val="Hyperlink"/>
            <w:color w:val="0070C0"/>
            <w:sz w:val="24"/>
            <w:lang w:val="cs-CZ"/>
          </w:rPr>
          <w:t>https://eur-lex.europa.eu/eli/reg/2009/1107/oj</w:t>
        </w:r>
      </w:hyperlink>
      <w:r w:rsidRPr="00150995">
        <w:rPr>
          <w:rStyle w:val="Hyperlink"/>
          <w:color w:val="0070C0"/>
          <w:sz w:val="24"/>
          <w:lang w:val="cs-CZ"/>
        </w:rPr>
        <w:t>)</w:t>
      </w:r>
      <w:r w:rsidRPr="00150995">
        <w:rPr>
          <w:rStyle w:val="Hyperlink"/>
          <w:color w:val="000000" w:themeColor="text1"/>
          <w:sz w:val="24"/>
          <w:u w:val="none"/>
          <w:lang w:val="cs-CZ"/>
        </w:rPr>
        <w:t>.</w:t>
      </w:r>
    </w:p>
  </w:footnote>
  <w:footnote w:id="6">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Prováděcí nařízení Komise (EU) č. 503/2013 ze dne 3. dubna 2013 o žádostech o povolení geneticky modifikovaných potravin a krmiv v souladu s nařízením Evropského parlamentu a Rady (ES) č. 1829/2003 a o změně nařízení Komise (ES) č. 641/2004 a (ES) č. 1981/2006 (</w:t>
      </w:r>
      <w:proofErr w:type="spellStart"/>
      <w:r w:rsidRPr="007814E5">
        <w:rPr>
          <w:color w:val="000000" w:themeColor="text1"/>
          <w:sz w:val="24"/>
          <w:lang w:val="cs-CZ"/>
        </w:rPr>
        <w:t>Úř</w:t>
      </w:r>
      <w:proofErr w:type="spellEnd"/>
      <w:r w:rsidRPr="007814E5">
        <w:rPr>
          <w:color w:val="000000" w:themeColor="text1"/>
          <w:sz w:val="24"/>
          <w:lang w:val="cs-CZ"/>
        </w:rPr>
        <w:t xml:space="preserve">. </w:t>
      </w:r>
      <w:proofErr w:type="spellStart"/>
      <w:r w:rsidRPr="007814E5">
        <w:rPr>
          <w:color w:val="000000" w:themeColor="text1"/>
          <w:sz w:val="24"/>
          <w:lang w:val="cs-CZ"/>
        </w:rPr>
        <w:t>věst</w:t>
      </w:r>
      <w:proofErr w:type="spellEnd"/>
      <w:r w:rsidRPr="007814E5">
        <w:rPr>
          <w:color w:val="000000" w:themeColor="text1"/>
          <w:sz w:val="24"/>
          <w:lang w:val="cs-CZ"/>
        </w:rPr>
        <w:t xml:space="preserve">. L 157, 8.6.2013, s. 1, ELI: </w:t>
      </w:r>
      <w:hyperlink r:id="rId5" w:tgtFrame="Gives access to this document through its ELI URI." w:history="1">
        <w:r w:rsidRPr="00150995">
          <w:rPr>
            <w:rStyle w:val="Hyperlink"/>
            <w:color w:val="0070C0"/>
            <w:sz w:val="24"/>
            <w:lang w:val="cs-CZ"/>
          </w:rPr>
          <w:t>http://data.europa.eu/eli/reg_impl/2013/503/oj</w:t>
        </w:r>
      </w:hyperlink>
      <w:r w:rsidRPr="007814E5">
        <w:rPr>
          <w:color w:val="000000" w:themeColor="text1"/>
          <w:sz w:val="24"/>
          <w:lang w:val="cs-CZ"/>
        </w:rPr>
        <w:t>).</w:t>
      </w:r>
    </w:p>
  </w:footnote>
  <w:footnote w:id="7">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 xml:space="preserve">Viz např. Schulz, R., Bub, S., </w:t>
      </w:r>
      <w:proofErr w:type="spellStart"/>
      <w:r w:rsidRPr="007814E5">
        <w:rPr>
          <w:color w:val="000000" w:themeColor="text1"/>
          <w:sz w:val="24"/>
          <w:lang w:val="cs-CZ"/>
        </w:rPr>
        <w:t>Petschick</w:t>
      </w:r>
      <w:proofErr w:type="spellEnd"/>
      <w:r w:rsidRPr="007814E5">
        <w:rPr>
          <w:color w:val="000000" w:themeColor="text1"/>
          <w:sz w:val="24"/>
          <w:lang w:val="cs-CZ"/>
        </w:rPr>
        <w:t xml:space="preserve">, L. L., </w:t>
      </w:r>
      <w:proofErr w:type="spellStart"/>
      <w:r w:rsidRPr="007814E5">
        <w:rPr>
          <w:color w:val="000000" w:themeColor="text1"/>
          <w:sz w:val="24"/>
          <w:lang w:val="cs-CZ"/>
        </w:rPr>
        <w:t>Stehle</w:t>
      </w:r>
      <w:proofErr w:type="spellEnd"/>
      <w:r w:rsidRPr="007814E5">
        <w:rPr>
          <w:color w:val="000000" w:themeColor="text1"/>
          <w:sz w:val="24"/>
          <w:lang w:val="cs-CZ"/>
        </w:rPr>
        <w:t>, S., Wolfram, J. (2021) „</w:t>
      </w:r>
      <w:proofErr w:type="spellStart"/>
      <w:r w:rsidRPr="007814E5">
        <w:rPr>
          <w:color w:val="000000" w:themeColor="text1"/>
          <w:sz w:val="24"/>
          <w:lang w:val="cs-CZ"/>
        </w:rPr>
        <w:t>Applied</w:t>
      </w:r>
      <w:proofErr w:type="spellEnd"/>
      <w:r w:rsidRPr="007814E5">
        <w:rPr>
          <w:color w:val="000000" w:themeColor="text1"/>
          <w:sz w:val="24"/>
          <w:lang w:val="cs-CZ"/>
        </w:rPr>
        <w:t xml:space="preserve"> pesticide toxicity </w:t>
      </w:r>
      <w:proofErr w:type="spellStart"/>
      <w:r w:rsidRPr="007814E5">
        <w:rPr>
          <w:color w:val="000000" w:themeColor="text1"/>
          <w:sz w:val="24"/>
          <w:lang w:val="cs-CZ"/>
        </w:rPr>
        <w:t>shifts</w:t>
      </w:r>
      <w:proofErr w:type="spellEnd"/>
      <w:r w:rsidRPr="007814E5">
        <w:rPr>
          <w:color w:val="000000" w:themeColor="text1"/>
          <w:sz w:val="24"/>
          <w:lang w:val="cs-CZ"/>
        </w:rPr>
        <w:t xml:space="preserve"> </w:t>
      </w:r>
      <w:proofErr w:type="spellStart"/>
      <w:r w:rsidRPr="007814E5">
        <w:rPr>
          <w:color w:val="000000" w:themeColor="text1"/>
          <w:sz w:val="24"/>
          <w:lang w:val="cs-CZ"/>
        </w:rPr>
        <w:t>toward</w:t>
      </w:r>
      <w:proofErr w:type="spellEnd"/>
      <w:r w:rsidRPr="007814E5">
        <w:rPr>
          <w:color w:val="000000" w:themeColor="text1"/>
          <w:sz w:val="24"/>
          <w:lang w:val="cs-CZ"/>
        </w:rPr>
        <w:t xml:space="preserve"> </w:t>
      </w:r>
      <w:proofErr w:type="spellStart"/>
      <w:r w:rsidRPr="007814E5">
        <w:rPr>
          <w:color w:val="000000" w:themeColor="text1"/>
          <w:sz w:val="24"/>
          <w:lang w:val="cs-CZ"/>
        </w:rPr>
        <w:t>plants</w:t>
      </w:r>
      <w:proofErr w:type="spellEnd"/>
      <w:r w:rsidRPr="007814E5">
        <w:rPr>
          <w:color w:val="000000" w:themeColor="text1"/>
          <w:sz w:val="24"/>
          <w:lang w:val="cs-CZ"/>
        </w:rPr>
        <w:t xml:space="preserve"> and </w:t>
      </w:r>
      <w:proofErr w:type="spellStart"/>
      <w:r w:rsidRPr="007814E5">
        <w:rPr>
          <w:color w:val="000000" w:themeColor="text1"/>
          <w:sz w:val="24"/>
          <w:lang w:val="cs-CZ"/>
        </w:rPr>
        <w:t>invertebrates</w:t>
      </w:r>
      <w:proofErr w:type="spellEnd"/>
      <w:r w:rsidRPr="007814E5">
        <w:rPr>
          <w:color w:val="000000" w:themeColor="text1"/>
          <w:sz w:val="24"/>
          <w:lang w:val="cs-CZ"/>
        </w:rPr>
        <w:t xml:space="preserve">, </w:t>
      </w:r>
      <w:proofErr w:type="spellStart"/>
      <w:r w:rsidRPr="007814E5">
        <w:rPr>
          <w:color w:val="000000" w:themeColor="text1"/>
          <w:sz w:val="24"/>
          <w:lang w:val="cs-CZ"/>
        </w:rPr>
        <w:t>even</w:t>
      </w:r>
      <w:proofErr w:type="spellEnd"/>
      <w:r w:rsidRPr="007814E5">
        <w:rPr>
          <w:color w:val="000000" w:themeColor="text1"/>
          <w:sz w:val="24"/>
          <w:lang w:val="cs-CZ"/>
        </w:rPr>
        <w:t xml:space="preserve"> in GM </w:t>
      </w:r>
      <w:proofErr w:type="spellStart"/>
      <w:r w:rsidRPr="007814E5">
        <w:rPr>
          <w:color w:val="000000" w:themeColor="text1"/>
          <w:sz w:val="24"/>
          <w:lang w:val="cs-CZ"/>
        </w:rPr>
        <w:t>crops</w:t>
      </w:r>
      <w:proofErr w:type="spellEnd"/>
      <w:r w:rsidRPr="007814E5">
        <w:rPr>
          <w:color w:val="000000" w:themeColor="text1"/>
          <w:sz w:val="24"/>
          <w:lang w:val="cs-CZ"/>
        </w:rPr>
        <w:t xml:space="preserve">“, Science 372(6537), s. 81–84, </w:t>
      </w:r>
      <w:hyperlink r:id="rId6" w:history="1">
        <w:r w:rsidRPr="00150995">
          <w:rPr>
            <w:rStyle w:val="Hyperlink"/>
            <w:color w:val="0070C0"/>
            <w:sz w:val="24"/>
            <w:lang w:val="cs-CZ"/>
          </w:rPr>
          <w:t>https://doi.org/10.1126/science.abe1148</w:t>
        </w:r>
      </w:hyperlink>
      <w:r w:rsidRPr="007814E5">
        <w:rPr>
          <w:color w:val="000000" w:themeColor="text1"/>
          <w:sz w:val="24"/>
          <w:lang w:val="cs-CZ"/>
        </w:rPr>
        <w:t>; Bonny, S., „</w:t>
      </w:r>
      <w:proofErr w:type="spellStart"/>
      <w:r w:rsidRPr="007814E5">
        <w:rPr>
          <w:color w:val="000000" w:themeColor="text1"/>
          <w:sz w:val="24"/>
          <w:lang w:val="cs-CZ"/>
        </w:rPr>
        <w:t>Genetically</w:t>
      </w:r>
      <w:proofErr w:type="spellEnd"/>
      <w:r w:rsidRPr="007814E5">
        <w:rPr>
          <w:color w:val="000000" w:themeColor="text1"/>
          <w:sz w:val="24"/>
          <w:lang w:val="cs-CZ"/>
        </w:rPr>
        <w:t xml:space="preserve"> </w:t>
      </w:r>
      <w:proofErr w:type="spellStart"/>
      <w:r w:rsidRPr="007814E5">
        <w:rPr>
          <w:color w:val="000000" w:themeColor="text1"/>
          <w:sz w:val="24"/>
          <w:lang w:val="cs-CZ"/>
        </w:rPr>
        <w:t>Modified</w:t>
      </w:r>
      <w:proofErr w:type="spellEnd"/>
      <w:r w:rsidRPr="007814E5">
        <w:rPr>
          <w:color w:val="000000" w:themeColor="text1"/>
          <w:sz w:val="24"/>
          <w:lang w:val="cs-CZ"/>
        </w:rPr>
        <w:t xml:space="preserve"> Herbicide-</w:t>
      </w:r>
      <w:proofErr w:type="spellStart"/>
      <w:r w:rsidRPr="007814E5">
        <w:rPr>
          <w:color w:val="000000" w:themeColor="text1"/>
          <w:sz w:val="24"/>
          <w:lang w:val="cs-CZ"/>
        </w:rPr>
        <w:t>Tolerant</w:t>
      </w:r>
      <w:proofErr w:type="spellEnd"/>
      <w:r w:rsidRPr="007814E5">
        <w:rPr>
          <w:color w:val="000000" w:themeColor="text1"/>
          <w:sz w:val="24"/>
          <w:lang w:val="cs-CZ"/>
        </w:rPr>
        <w:t xml:space="preserve"> </w:t>
      </w:r>
      <w:proofErr w:type="spellStart"/>
      <w:r w:rsidRPr="007814E5">
        <w:rPr>
          <w:color w:val="000000" w:themeColor="text1"/>
          <w:sz w:val="24"/>
          <w:lang w:val="cs-CZ"/>
        </w:rPr>
        <w:t>Crops</w:t>
      </w:r>
      <w:proofErr w:type="spellEnd"/>
      <w:r w:rsidRPr="007814E5">
        <w:rPr>
          <w:color w:val="000000" w:themeColor="text1"/>
          <w:sz w:val="24"/>
          <w:lang w:val="cs-CZ"/>
        </w:rPr>
        <w:t xml:space="preserve">, </w:t>
      </w:r>
      <w:proofErr w:type="spellStart"/>
      <w:r w:rsidRPr="007814E5">
        <w:rPr>
          <w:color w:val="000000" w:themeColor="text1"/>
          <w:sz w:val="24"/>
          <w:lang w:val="cs-CZ"/>
        </w:rPr>
        <w:t>Weeds</w:t>
      </w:r>
      <w:proofErr w:type="spellEnd"/>
      <w:r w:rsidRPr="007814E5">
        <w:rPr>
          <w:color w:val="000000" w:themeColor="text1"/>
          <w:sz w:val="24"/>
          <w:lang w:val="cs-CZ"/>
        </w:rPr>
        <w:t xml:space="preserve">, and </w:t>
      </w:r>
      <w:proofErr w:type="spellStart"/>
      <w:r w:rsidRPr="007814E5">
        <w:rPr>
          <w:color w:val="000000" w:themeColor="text1"/>
          <w:sz w:val="24"/>
          <w:lang w:val="cs-CZ"/>
        </w:rPr>
        <w:t>Herbicides</w:t>
      </w:r>
      <w:proofErr w:type="spellEnd"/>
      <w:r w:rsidRPr="007814E5">
        <w:rPr>
          <w:color w:val="000000" w:themeColor="text1"/>
          <w:sz w:val="24"/>
          <w:lang w:val="cs-CZ"/>
        </w:rPr>
        <w:t xml:space="preserve">: </w:t>
      </w:r>
      <w:proofErr w:type="spellStart"/>
      <w:r w:rsidRPr="007814E5">
        <w:rPr>
          <w:color w:val="000000" w:themeColor="text1"/>
          <w:sz w:val="24"/>
          <w:lang w:val="cs-CZ"/>
        </w:rPr>
        <w:t>Overview</w:t>
      </w:r>
      <w:proofErr w:type="spellEnd"/>
      <w:r w:rsidRPr="007814E5">
        <w:rPr>
          <w:color w:val="000000" w:themeColor="text1"/>
          <w:sz w:val="24"/>
          <w:lang w:val="cs-CZ"/>
        </w:rPr>
        <w:t xml:space="preserve"> and </w:t>
      </w:r>
      <w:proofErr w:type="spellStart"/>
      <w:r w:rsidRPr="007814E5">
        <w:rPr>
          <w:color w:val="000000" w:themeColor="text1"/>
          <w:sz w:val="24"/>
          <w:lang w:val="cs-CZ"/>
        </w:rPr>
        <w:t>Impact</w:t>
      </w:r>
      <w:proofErr w:type="spellEnd"/>
      <w:r w:rsidRPr="007814E5">
        <w:rPr>
          <w:color w:val="000000" w:themeColor="text1"/>
          <w:sz w:val="24"/>
          <w:lang w:val="cs-CZ"/>
        </w:rPr>
        <w:t xml:space="preserve">“, </w:t>
      </w:r>
      <w:proofErr w:type="spellStart"/>
      <w:r w:rsidRPr="007814E5">
        <w:rPr>
          <w:color w:val="000000" w:themeColor="text1"/>
          <w:sz w:val="24"/>
          <w:lang w:val="cs-CZ"/>
        </w:rPr>
        <w:t>Environmental</w:t>
      </w:r>
      <w:proofErr w:type="spellEnd"/>
      <w:r w:rsidRPr="007814E5">
        <w:rPr>
          <w:color w:val="000000" w:themeColor="text1"/>
          <w:sz w:val="24"/>
          <w:lang w:val="cs-CZ"/>
        </w:rPr>
        <w:t xml:space="preserve"> Management, leden 2016;57(1), s. 31–48, </w:t>
      </w:r>
      <w:hyperlink r:id="rId7" w:history="1">
        <w:r w:rsidRPr="00150995">
          <w:rPr>
            <w:rStyle w:val="Hyperlink"/>
            <w:color w:val="0070C0"/>
            <w:sz w:val="24"/>
            <w:lang w:val="cs-CZ"/>
          </w:rPr>
          <w:t>https://www.ncbi.nlm.nih.gov/pubmed/26296738</w:t>
        </w:r>
      </w:hyperlink>
      <w:r w:rsidRPr="007814E5">
        <w:rPr>
          <w:rStyle w:val="Hyperlink"/>
          <w:color w:val="000000" w:themeColor="text1"/>
          <w:sz w:val="24"/>
          <w:lang w:val="cs-CZ"/>
        </w:rPr>
        <w:t>;</w:t>
      </w:r>
      <w:r w:rsidRPr="007814E5">
        <w:rPr>
          <w:color w:val="000000" w:themeColor="text1"/>
          <w:sz w:val="24"/>
          <w:lang w:val="cs-CZ"/>
        </w:rPr>
        <w:t xml:space="preserve"> a </w:t>
      </w:r>
      <w:proofErr w:type="spellStart"/>
      <w:r w:rsidRPr="007814E5">
        <w:rPr>
          <w:color w:val="000000" w:themeColor="text1"/>
          <w:sz w:val="24"/>
          <w:lang w:val="cs-CZ"/>
        </w:rPr>
        <w:t>Benbrook</w:t>
      </w:r>
      <w:proofErr w:type="spellEnd"/>
      <w:r w:rsidRPr="007814E5">
        <w:rPr>
          <w:color w:val="000000" w:themeColor="text1"/>
          <w:sz w:val="24"/>
          <w:lang w:val="cs-CZ"/>
        </w:rPr>
        <w:t>, C. M., „</w:t>
      </w:r>
      <w:proofErr w:type="spellStart"/>
      <w:r w:rsidRPr="007814E5">
        <w:rPr>
          <w:color w:val="000000" w:themeColor="text1"/>
          <w:sz w:val="24"/>
          <w:lang w:val="cs-CZ"/>
        </w:rPr>
        <w:t>Impacts</w:t>
      </w:r>
      <w:proofErr w:type="spellEnd"/>
      <w:r w:rsidRPr="007814E5">
        <w:rPr>
          <w:color w:val="000000" w:themeColor="text1"/>
          <w:sz w:val="24"/>
          <w:lang w:val="cs-CZ"/>
        </w:rPr>
        <w:t xml:space="preserve"> </w:t>
      </w:r>
      <w:proofErr w:type="spellStart"/>
      <w:r w:rsidRPr="007814E5">
        <w:rPr>
          <w:color w:val="000000" w:themeColor="text1"/>
          <w:sz w:val="24"/>
          <w:lang w:val="cs-CZ"/>
        </w:rPr>
        <w:t>of</w:t>
      </w:r>
      <w:proofErr w:type="spellEnd"/>
      <w:r w:rsidRPr="007814E5">
        <w:rPr>
          <w:color w:val="000000" w:themeColor="text1"/>
          <w:sz w:val="24"/>
          <w:lang w:val="cs-CZ"/>
        </w:rPr>
        <w:t xml:space="preserve"> </w:t>
      </w:r>
      <w:proofErr w:type="spellStart"/>
      <w:r w:rsidRPr="007814E5">
        <w:rPr>
          <w:color w:val="000000" w:themeColor="text1"/>
          <w:sz w:val="24"/>
          <w:lang w:val="cs-CZ"/>
        </w:rPr>
        <w:t>genetically</w:t>
      </w:r>
      <w:proofErr w:type="spellEnd"/>
      <w:r w:rsidRPr="007814E5">
        <w:rPr>
          <w:color w:val="000000" w:themeColor="text1"/>
          <w:sz w:val="24"/>
          <w:lang w:val="cs-CZ"/>
        </w:rPr>
        <w:t xml:space="preserve"> </w:t>
      </w:r>
      <w:proofErr w:type="spellStart"/>
      <w:r w:rsidRPr="007814E5">
        <w:rPr>
          <w:color w:val="000000" w:themeColor="text1"/>
          <w:sz w:val="24"/>
          <w:lang w:val="cs-CZ"/>
        </w:rPr>
        <w:t>engineered</w:t>
      </w:r>
      <w:proofErr w:type="spellEnd"/>
      <w:r w:rsidRPr="007814E5">
        <w:rPr>
          <w:color w:val="000000" w:themeColor="text1"/>
          <w:sz w:val="24"/>
          <w:lang w:val="cs-CZ"/>
        </w:rPr>
        <w:t xml:space="preserve"> </w:t>
      </w:r>
      <w:proofErr w:type="spellStart"/>
      <w:r w:rsidRPr="007814E5">
        <w:rPr>
          <w:color w:val="000000" w:themeColor="text1"/>
          <w:sz w:val="24"/>
          <w:lang w:val="cs-CZ"/>
        </w:rPr>
        <w:t>crops</w:t>
      </w:r>
      <w:proofErr w:type="spellEnd"/>
      <w:r w:rsidRPr="007814E5">
        <w:rPr>
          <w:color w:val="000000" w:themeColor="text1"/>
          <w:sz w:val="24"/>
          <w:lang w:val="cs-CZ"/>
        </w:rPr>
        <w:t xml:space="preserve"> on pesticide use in </w:t>
      </w:r>
      <w:proofErr w:type="spellStart"/>
      <w:r w:rsidRPr="007814E5">
        <w:rPr>
          <w:color w:val="000000" w:themeColor="text1"/>
          <w:sz w:val="24"/>
          <w:lang w:val="cs-CZ"/>
        </w:rPr>
        <w:t>the</w:t>
      </w:r>
      <w:proofErr w:type="spellEnd"/>
      <w:r w:rsidRPr="007814E5">
        <w:rPr>
          <w:color w:val="000000" w:themeColor="text1"/>
          <w:sz w:val="24"/>
          <w:lang w:val="cs-CZ"/>
        </w:rPr>
        <w:t xml:space="preserve"> U.S. - </w:t>
      </w:r>
      <w:proofErr w:type="spellStart"/>
      <w:r w:rsidRPr="007814E5">
        <w:rPr>
          <w:color w:val="000000" w:themeColor="text1"/>
          <w:sz w:val="24"/>
          <w:lang w:val="cs-CZ"/>
        </w:rPr>
        <w:t>the</w:t>
      </w:r>
      <w:proofErr w:type="spellEnd"/>
      <w:r w:rsidRPr="007814E5">
        <w:rPr>
          <w:color w:val="000000" w:themeColor="text1"/>
          <w:sz w:val="24"/>
          <w:lang w:val="cs-CZ"/>
        </w:rPr>
        <w:t xml:space="preserve"> </w:t>
      </w:r>
      <w:proofErr w:type="spellStart"/>
      <w:r w:rsidRPr="007814E5">
        <w:rPr>
          <w:color w:val="000000" w:themeColor="text1"/>
          <w:sz w:val="24"/>
          <w:lang w:val="cs-CZ"/>
        </w:rPr>
        <w:t>first</w:t>
      </w:r>
      <w:proofErr w:type="spellEnd"/>
      <w:r w:rsidRPr="007814E5">
        <w:rPr>
          <w:color w:val="000000" w:themeColor="text1"/>
          <w:sz w:val="24"/>
          <w:lang w:val="cs-CZ"/>
        </w:rPr>
        <w:t xml:space="preserve"> </w:t>
      </w:r>
      <w:proofErr w:type="spellStart"/>
      <w:r w:rsidRPr="007814E5">
        <w:rPr>
          <w:color w:val="000000" w:themeColor="text1"/>
          <w:sz w:val="24"/>
          <w:lang w:val="cs-CZ"/>
        </w:rPr>
        <w:t>sixteen</w:t>
      </w:r>
      <w:proofErr w:type="spellEnd"/>
      <w:r w:rsidRPr="007814E5">
        <w:rPr>
          <w:color w:val="000000" w:themeColor="text1"/>
          <w:sz w:val="24"/>
          <w:lang w:val="cs-CZ"/>
        </w:rPr>
        <w:t xml:space="preserve"> </w:t>
      </w:r>
      <w:proofErr w:type="spellStart"/>
      <w:r w:rsidRPr="007814E5">
        <w:rPr>
          <w:color w:val="000000" w:themeColor="text1"/>
          <w:sz w:val="24"/>
          <w:lang w:val="cs-CZ"/>
        </w:rPr>
        <w:t>years</w:t>
      </w:r>
      <w:proofErr w:type="spellEnd"/>
      <w:r w:rsidRPr="007814E5">
        <w:rPr>
          <w:color w:val="000000" w:themeColor="text1"/>
          <w:sz w:val="24"/>
          <w:lang w:val="cs-CZ"/>
        </w:rPr>
        <w:t xml:space="preserve">“, </w:t>
      </w:r>
      <w:proofErr w:type="spellStart"/>
      <w:r w:rsidRPr="007814E5">
        <w:rPr>
          <w:color w:val="000000" w:themeColor="text1"/>
          <w:sz w:val="24"/>
          <w:lang w:val="cs-CZ"/>
        </w:rPr>
        <w:t>Environmental</w:t>
      </w:r>
      <w:proofErr w:type="spellEnd"/>
      <w:r w:rsidRPr="007814E5">
        <w:rPr>
          <w:color w:val="000000" w:themeColor="text1"/>
          <w:sz w:val="24"/>
          <w:lang w:val="cs-CZ"/>
        </w:rPr>
        <w:t xml:space="preserve"> </w:t>
      </w:r>
      <w:proofErr w:type="spellStart"/>
      <w:r w:rsidRPr="007814E5">
        <w:rPr>
          <w:color w:val="000000" w:themeColor="text1"/>
          <w:sz w:val="24"/>
          <w:lang w:val="cs-CZ"/>
        </w:rPr>
        <w:t>Sciences</w:t>
      </w:r>
      <w:proofErr w:type="spellEnd"/>
      <w:r w:rsidRPr="007814E5">
        <w:rPr>
          <w:color w:val="000000" w:themeColor="text1"/>
          <w:sz w:val="24"/>
          <w:lang w:val="cs-CZ"/>
        </w:rPr>
        <w:t xml:space="preserve"> </w:t>
      </w:r>
      <w:proofErr w:type="spellStart"/>
      <w:r w:rsidRPr="007814E5">
        <w:rPr>
          <w:color w:val="000000" w:themeColor="text1"/>
          <w:sz w:val="24"/>
          <w:lang w:val="cs-CZ"/>
        </w:rPr>
        <w:t>Europe</w:t>
      </w:r>
      <w:proofErr w:type="spellEnd"/>
      <w:r w:rsidRPr="007814E5">
        <w:rPr>
          <w:color w:val="000000" w:themeColor="text1"/>
          <w:sz w:val="24"/>
          <w:lang w:val="cs-CZ"/>
        </w:rPr>
        <w:t xml:space="preserve">, 28. září 2012, sv. 24(24), </w:t>
      </w:r>
      <w:hyperlink r:id="rId8" w:history="1">
        <w:r w:rsidRPr="00150995">
          <w:rPr>
            <w:rStyle w:val="Hyperlink"/>
            <w:color w:val="0070C0"/>
            <w:sz w:val="24"/>
            <w:lang w:val="cs-CZ"/>
          </w:rPr>
          <w:t>https://enveurope.springeropen.com/articles/10.1186/2190-4715-24-24</w:t>
        </w:r>
      </w:hyperlink>
      <w:r w:rsidRPr="007814E5">
        <w:rPr>
          <w:color w:val="000000" w:themeColor="text1"/>
          <w:sz w:val="24"/>
          <w:lang w:val="cs-CZ"/>
        </w:rPr>
        <w:t>.</w:t>
      </w:r>
    </w:p>
  </w:footnote>
  <w:footnote w:id="8">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 xml:space="preserve">Pro přehled viz </w:t>
      </w:r>
      <w:proofErr w:type="spellStart"/>
      <w:r w:rsidRPr="007814E5">
        <w:rPr>
          <w:color w:val="000000" w:themeColor="text1"/>
          <w:sz w:val="24"/>
          <w:lang w:val="cs-CZ"/>
        </w:rPr>
        <w:t>Rubio</w:t>
      </w:r>
      <w:proofErr w:type="spellEnd"/>
      <w:r w:rsidRPr="007814E5">
        <w:rPr>
          <w:color w:val="000000" w:themeColor="text1"/>
          <w:sz w:val="24"/>
          <w:lang w:val="cs-CZ"/>
        </w:rPr>
        <w:t xml:space="preserve">-Infante, N., </w:t>
      </w:r>
      <w:proofErr w:type="spellStart"/>
      <w:r w:rsidRPr="007814E5">
        <w:rPr>
          <w:color w:val="000000" w:themeColor="text1"/>
          <w:sz w:val="24"/>
          <w:lang w:val="cs-CZ"/>
        </w:rPr>
        <w:t>Moreno-Fierros</w:t>
      </w:r>
      <w:proofErr w:type="spellEnd"/>
      <w:r w:rsidRPr="007814E5">
        <w:rPr>
          <w:color w:val="000000" w:themeColor="text1"/>
          <w:sz w:val="24"/>
          <w:lang w:val="cs-CZ"/>
        </w:rPr>
        <w:t>, L., „</w:t>
      </w:r>
      <w:proofErr w:type="spellStart"/>
      <w:r w:rsidRPr="007814E5">
        <w:rPr>
          <w:color w:val="000000" w:themeColor="text1"/>
          <w:sz w:val="24"/>
          <w:lang w:val="cs-CZ"/>
        </w:rPr>
        <w:t>An</w:t>
      </w:r>
      <w:proofErr w:type="spellEnd"/>
      <w:r w:rsidRPr="007814E5">
        <w:rPr>
          <w:color w:val="000000" w:themeColor="text1"/>
          <w:sz w:val="24"/>
          <w:lang w:val="cs-CZ"/>
        </w:rPr>
        <w:t xml:space="preserve"> </w:t>
      </w:r>
      <w:proofErr w:type="spellStart"/>
      <w:r w:rsidRPr="007814E5">
        <w:rPr>
          <w:color w:val="000000" w:themeColor="text1"/>
          <w:sz w:val="24"/>
          <w:lang w:val="cs-CZ"/>
        </w:rPr>
        <w:t>overview</w:t>
      </w:r>
      <w:proofErr w:type="spellEnd"/>
      <w:r w:rsidRPr="007814E5">
        <w:rPr>
          <w:color w:val="000000" w:themeColor="text1"/>
          <w:sz w:val="24"/>
          <w:lang w:val="cs-CZ"/>
        </w:rPr>
        <w:t xml:space="preserve"> </w:t>
      </w:r>
      <w:proofErr w:type="spellStart"/>
      <w:r w:rsidRPr="007814E5">
        <w:rPr>
          <w:color w:val="000000" w:themeColor="text1"/>
          <w:sz w:val="24"/>
          <w:lang w:val="cs-CZ"/>
        </w:rPr>
        <w:t>of</w:t>
      </w:r>
      <w:proofErr w:type="spellEnd"/>
      <w:r w:rsidRPr="007814E5">
        <w:rPr>
          <w:color w:val="000000" w:themeColor="text1"/>
          <w:sz w:val="24"/>
          <w:lang w:val="cs-CZ"/>
        </w:rPr>
        <w:t xml:space="preserve"> </w:t>
      </w:r>
      <w:proofErr w:type="spellStart"/>
      <w:r w:rsidRPr="007814E5">
        <w:rPr>
          <w:color w:val="000000" w:themeColor="text1"/>
          <w:sz w:val="24"/>
          <w:lang w:val="cs-CZ"/>
        </w:rPr>
        <w:t>the</w:t>
      </w:r>
      <w:proofErr w:type="spellEnd"/>
      <w:r w:rsidRPr="007814E5">
        <w:rPr>
          <w:color w:val="000000" w:themeColor="text1"/>
          <w:sz w:val="24"/>
          <w:lang w:val="cs-CZ"/>
        </w:rPr>
        <w:t xml:space="preserve"> </w:t>
      </w:r>
      <w:proofErr w:type="spellStart"/>
      <w:r w:rsidRPr="007814E5">
        <w:rPr>
          <w:color w:val="000000" w:themeColor="text1"/>
          <w:sz w:val="24"/>
          <w:lang w:val="cs-CZ"/>
        </w:rPr>
        <w:t>safety</w:t>
      </w:r>
      <w:proofErr w:type="spellEnd"/>
      <w:r w:rsidRPr="007814E5">
        <w:rPr>
          <w:color w:val="000000" w:themeColor="text1"/>
          <w:sz w:val="24"/>
          <w:lang w:val="cs-CZ"/>
        </w:rPr>
        <w:t xml:space="preserve"> and </w:t>
      </w:r>
      <w:proofErr w:type="spellStart"/>
      <w:r w:rsidRPr="007814E5">
        <w:rPr>
          <w:color w:val="000000" w:themeColor="text1"/>
          <w:sz w:val="24"/>
          <w:lang w:val="cs-CZ"/>
        </w:rPr>
        <w:t>biological</w:t>
      </w:r>
      <w:proofErr w:type="spellEnd"/>
      <w:r w:rsidRPr="007814E5">
        <w:rPr>
          <w:color w:val="000000" w:themeColor="text1"/>
          <w:sz w:val="24"/>
          <w:lang w:val="cs-CZ"/>
        </w:rPr>
        <w:t xml:space="preserve"> </w:t>
      </w:r>
      <w:proofErr w:type="spellStart"/>
      <w:r w:rsidRPr="007814E5">
        <w:rPr>
          <w:color w:val="000000" w:themeColor="text1"/>
          <w:sz w:val="24"/>
          <w:lang w:val="cs-CZ"/>
        </w:rPr>
        <w:t>effects</w:t>
      </w:r>
      <w:proofErr w:type="spellEnd"/>
      <w:r w:rsidRPr="007814E5">
        <w:rPr>
          <w:color w:val="000000" w:themeColor="text1"/>
          <w:sz w:val="24"/>
          <w:lang w:val="cs-CZ"/>
        </w:rPr>
        <w:t xml:space="preserve"> </w:t>
      </w:r>
      <w:proofErr w:type="spellStart"/>
      <w:r w:rsidRPr="007814E5">
        <w:rPr>
          <w:color w:val="000000" w:themeColor="text1"/>
          <w:sz w:val="24"/>
          <w:lang w:val="cs-CZ"/>
        </w:rPr>
        <w:t>of</w:t>
      </w:r>
      <w:proofErr w:type="spellEnd"/>
      <w:r w:rsidRPr="007814E5">
        <w:rPr>
          <w:color w:val="000000" w:themeColor="text1"/>
          <w:sz w:val="24"/>
          <w:lang w:val="cs-CZ"/>
        </w:rPr>
        <w:t> </w:t>
      </w:r>
      <w:proofErr w:type="spellStart"/>
      <w:r w:rsidRPr="007814E5">
        <w:rPr>
          <w:i/>
          <w:iCs/>
          <w:color w:val="000000" w:themeColor="text1"/>
          <w:sz w:val="24"/>
          <w:lang w:val="cs-CZ"/>
        </w:rPr>
        <w:t>Bacillus</w:t>
      </w:r>
      <w:proofErr w:type="spellEnd"/>
      <w:r w:rsidRPr="007814E5">
        <w:rPr>
          <w:i/>
          <w:iCs/>
          <w:color w:val="000000" w:themeColor="text1"/>
          <w:sz w:val="24"/>
          <w:lang w:val="cs-CZ"/>
        </w:rPr>
        <w:t xml:space="preserve"> </w:t>
      </w:r>
      <w:proofErr w:type="spellStart"/>
      <w:r w:rsidRPr="007814E5">
        <w:rPr>
          <w:i/>
          <w:iCs/>
          <w:color w:val="000000" w:themeColor="text1"/>
          <w:sz w:val="24"/>
          <w:lang w:val="cs-CZ"/>
        </w:rPr>
        <w:t>thuringiensis</w:t>
      </w:r>
      <w:proofErr w:type="spellEnd"/>
      <w:r w:rsidRPr="007814E5">
        <w:rPr>
          <w:color w:val="000000" w:themeColor="text1"/>
          <w:sz w:val="24"/>
          <w:lang w:val="cs-CZ"/>
        </w:rPr>
        <w:t> </w:t>
      </w:r>
      <w:proofErr w:type="spellStart"/>
      <w:r w:rsidRPr="007814E5">
        <w:rPr>
          <w:color w:val="000000" w:themeColor="text1"/>
          <w:sz w:val="24"/>
          <w:lang w:val="cs-CZ"/>
        </w:rPr>
        <w:t>Cry</w:t>
      </w:r>
      <w:proofErr w:type="spellEnd"/>
      <w:r w:rsidRPr="007814E5">
        <w:rPr>
          <w:color w:val="000000" w:themeColor="text1"/>
          <w:sz w:val="24"/>
          <w:lang w:val="cs-CZ"/>
        </w:rPr>
        <w:t xml:space="preserve"> </w:t>
      </w:r>
      <w:proofErr w:type="spellStart"/>
      <w:r w:rsidRPr="007814E5">
        <w:rPr>
          <w:color w:val="000000" w:themeColor="text1"/>
          <w:sz w:val="24"/>
          <w:lang w:val="cs-CZ"/>
        </w:rPr>
        <w:t>toxins</w:t>
      </w:r>
      <w:proofErr w:type="spellEnd"/>
      <w:r w:rsidRPr="007814E5">
        <w:rPr>
          <w:color w:val="000000" w:themeColor="text1"/>
          <w:sz w:val="24"/>
          <w:lang w:val="cs-CZ"/>
        </w:rPr>
        <w:t xml:space="preserve"> in </w:t>
      </w:r>
      <w:proofErr w:type="spellStart"/>
      <w:r w:rsidRPr="007814E5">
        <w:rPr>
          <w:color w:val="000000" w:themeColor="text1"/>
          <w:sz w:val="24"/>
          <w:lang w:val="cs-CZ"/>
        </w:rPr>
        <w:t>mammals</w:t>
      </w:r>
      <w:proofErr w:type="spellEnd"/>
      <w:r w:rsidRPr="007814E5">
        <w:rPr>
          <w:color w:val="000000" w:themeColor="text1"/>
          <w:sz w:val="24"/>
          <w:lang w:val="cs-CZ"/>
        </w:rPr>
        <w:t xml:space="preserve">“, </w:t>
      </w:r>
      <w:proofErr w:type="spellStart"/>
      <w:r w:rsidRPr="007814E5">
        <w:rPr>
          <w:color w:val="000000" w:themeColor="text1"/>
          <w:sz w:val="24"/>
          <w:lang w:val="cs-CZ"/>
        </w:rPr>
        <w:t>Journal</w:t>
      </w:r>
      <w:proofErr w:type="spellEnd"/>
      <w:r w:rsidRPr="007814E5">
        <w:rPr>
          <w:color w:val="000000" w:themeColor="text1"/>
          <w:sz w:val="24"/>
          <w:lang w:val="cs-CZ"/>
        </w:rPr>
        <w:t xml:space="preserve"> </w:t>
      </w:r>
      <w:proofErr w:type="spellStart"/>
      <w:r w:rsidRPr="007814E5">
        <w:rPr>
          <w:color w:val="000000" w:themeColor="text1"/>
          <w:sz w:val="24"/>
          <w:lang w:val="cs-CZ"/>
        </w:rPr>
        <w:t>of</w:t>
      </w:r>
      <w:proofErr w:type="spellEnd"/>
      <w:r w:rsidRPr="007814E5">
        <w:rPr>
          <w:color w:val="000000" w:themeColor="text1"/>
          <w:sz w:val="24"/>
          <w:lang w:val="cs-CZ"/>
        </w:rPr>
        <w:t xml:space="preserve"> </w:t>
      </w:r>
      <w:proofErr w:type="spellStart"/>
      <w:r w:rsidRPr="007814E5">
        <w:rPr>
          <w:color w:val="000000" w:themeColor="text1"/>
          <w:sz w:val="24"/>
          <w:lang w:val="cs-CZ"/>
        </w:rPr>
        <w:t>Applied</w:t>
      </w:r>
      <w:proofErr w:type="spellEnd"/>
      <w:r w:rsidRPr="007814E5">
        <w:rPr>
          <w:color w:val="000000" w:themeColor="text1"/>
          <w:sz w:val="24"/>
          <w:lang w:val="cs-CZ"/>
        </w:rPr>
        <w:t xml:space="preserve"> </w:t>
      </w:r>
      <w:proofErr w:type="spellStart"/>
      <w:r w:rsidRPr="007814E5">
        <w:rPr>
          <w:color w:val="000000" w:themeColor="text1"/>
          <w:sz w:val="24"/>
          <w:lang w:val="cs-CZ"/>
        </w:rPr>
        <w:t>Toxicology</w:t>
      </w:r>
      <w:proofErr w:type="spellEnd"/>
      <w:r w:rsidRPr="007814E5">
        <w:rPr>
          <w:color w:val="000000" w:themeColor="text1"/>
          <w:sz w:val="24"/>
          <w:lang w:val="cs-CZ"/>
        </w:rPr>
        <w:t xml:space="preserve">, květen 2016, 36(5), s. 630–648, </w:t>
      </w:r>
      <w:hyperlink r:id="rId9" w:history="1">
        <w:r w:rsidRPr="00150995">
          <w:rPr>
            <w:rStyle w:val="Hyperlink"/>
            <w:color w:val="0070C0"/>
            <w:sz w:val="24"/>
            <w:lang w:val="cs-CZ"/>
          </w:rPr>
          <w:t>https://onlinelibrary.wiley.com/doi/full/10.1002/jat.3252</w:t>
        </w:r>
      </w:hyperlink>
      <w:r w:rsidRPr="007814E5">
        <w:rPr>
          <w:color w:val="000000" w:themeColor="text1"/>
          <w:sz w:val="24"/>
          <w:lang w:val="cs-CZ"/>
        </w:rPr>
        <w:t>.</w:t>
      </w:r>
    </w:p>
  </w:footnote>
  <w:footnote w:id="9">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proofErr w:type="spellStart"/>
      <w:r w:rsidRPr="007814E5">
        <w:rPr>
          <w:color w:val="000000" w:themeColor="text1"/>
          <w:sz w:val="24"/>
          <w:lang w:val="cs-CZ"/>
        </w:rPr>
        <w:t>Bøhn</w:t>
      </w:r>
      <w:proofErr w:type="spellEnd"/>
      <w:r w:rsidRPr="007814E5">
        <w:rPr>
          <w:color w:val="000000" w:themeColor="text1"/>
          <w:sz w:val="24"/>
          <w:lang w:val="cs-CZ"/>
        </w:rPr>
        <w:t xml:space="preserve">, T., </w:t>
      </w:r>
      <w:proofErr w:type="spellStart"/>
      <w:r w:rsidRPr="007814E5">
        <w:rPr>
          <w:color w:val="000000" w:themeColor="text1"/>
          <w:sz w:val="24"/>
          <w:lang w:val="cs-CZ"/>
        </w:rPr>
        <w:t>Macagnan</w:t>
      </w:r>
      <w:proofErr w:type="spellEnd"/>
      <w:r w:rsidRPr="007814E5">
        <w:rPr>
          <w:color w:val="000000" w:themeColor="text1"/>
          <w:sz w:val="24"/>
          <w:lang w:val="cs-CZ"/>
        </w:rPr>
        <w:t xml:space="preserve"> Rover, C., </w:t>
      </w:r>
      <w:proofErr w:type="spellStart"/>
      <w:r w:rsidRPr="007814E5">
        <w:rPr>
          <w:color w:val="000000" w:themeColor="text1"/>
          <w:sz w:val="24"/>
          <w:lang w:val="cs-CZ"/>
        </w:rPr>
        <w:t>Semenchuk</w:t>
      </w:r>
      <w:proofErr w:type="spellEnd"/>
      <w:r w:rsidRPr="007814E5">
        <w:rPr>
          <w:color w:val="000000" w:themeColor="text1"/>
          <w:sz w:val="24"/>
          <w:lang w:val="cs-CZ"/>
        </w:rPr>
        <w:t>, P. R., „</w:t>
      </w:r>
      <w:proofErr w:type="spellStart"/>
      <w:r w:rsidRPr="007814E5">
        <w:rPr>
          <w:i/>
          <w:color w:val="000000" w:themeColor="text1"/>
          <w:sz w:val="24"/>
          <w:lang w:val="cs-CZ"/>
        </w:rPr>
        <w:t>Daphnia</w:t>
      </w:r>
      <w:proofErr w:type="spellEnd"/>
      <w:r w:rsidRPr="007814E5">
        <w:rPr>
          <w:i/>
          <w:color w:val="000000" w:themeColor="text1"/>
          <w:sz w:val="24"/>
          <w:lang w:val="cs-CZ"/>
        </w:rPr>
        <w:t xml:space="preserve"> </w:t>
      </w:r>
      <w:proofErr w:type="spellStart"/>
      <w:r w:rsidRPr="007814E5">
        <w:rPr>
          <w:i/>
          <w:color w:val="000000" w:themeColor="text1"/>
          <w:sz w:val="24"/>
          <w:lang w:val="cs-CZ"/>
        </w:rPr>
        <w:t>magna</w:t>
      </w:r>
      <w:proofErr w:type="spellEnd"/>
      <w:r w:rsidRPr="007814E5">
        <w:rPr>
          <w:color w:val="000000" w:themeColor="text1"/>
          <w:sz w:val="24"/>
          <w:lang w:val="cs-CZ"/>
        </w:rPr>
        <w:t xml:space="preserve"> </w:t>
      </w:r>
      <w:proofErr w:type="spellStart"/>
      <w:r w:rsidRPr="007814E5">
        <w:rPr>
          <w:color w:val="000000" w:themeColor="text1"/>
          <w:sz w:val="24"/>
          <w:lang w:val="cs-CZ"/>
        </w:rPr>
        <w:t>negatively</w:t>
      </w:r>
      <w:proofErr w:type="spellEnd"/>
      <w:r w:rsidRPr="007814E5">
        <w:rPr>
          <w:color w:val="000000" w:themeColor="text1"/>
          <w:sz w:val="24"/>
          <w:lang w:val="cs-CZ"/>
        </w:rPr>
        <w:t xml:space="preserve"> </w:t>
      </w:r>
      <w:proofErr w:type="spellStart"/>
      <w:r w:rsidRPr="007814E5">
        <w:rPr>
          <w:color w:val="000000" w:themeColor="text1"/>
          <w:sz w:val="24"/>
          <w:lang w:val="cs-CZ"/>
        </w:rPr>
        <w:t>affected</w:t>
      </w:r>
      <w:proofErr w:type="spellEnd"/>
      <w:r w:rsidRPr="007814E5">
        <w:rPr>
          <w:color w:val="000000" w:themeColor="text1"/>
          <w:sz w:val="24"/>
          <w:lang w:val="cs-CZ"/>
        </w:rPr>
        <w:t xml:space="preserve"> by </w:t>
      </w:r>
      <w:proofErr w:type="spellStart"/>
      <w:r w:rsidRPr="007814E5">
        <w:rPr>
          <w:color w:val="000000" w:themeColor="text1"/>
          <w:sz w:val="24"/>
          <w:lang w:val="cs-CZ"/>
        </w:rPr>
        <w:t>chronic</w:t>
      </w:r>
      <w:proofErr w:type="spellEnd"/>
      <w:r w:rsidRPr="007814E5">
        <w:rPr>
          <w:color w:val="000000" w:themeColor="text1"/>
          <w:sz w:val="24"/>
          <w:lang w:val="cs-CZ"/>
        </w:rPr>
        <w:t xml:space="preserve"> </w:t>
      </w:r>
      <w:proofErr w:type="spellStart"/>
      <w:r w:rsidRPr="007814E5">
        <w:rPr>
          <w:color w:val="000000" w:themeColor="text1"/>
          <w:sz w:val="24"/>
          <w:lang w:val="cs-CZ"/>
        </w:rPr>
        <w:t>exposure</w:t>
      </w:r>
      <w:proofErr w:type="spellEnd"/>
      <w:r w:rsidRPr="007814E5">
        <w:rPr>
          <w:color w:val="000000" w:themeColor="text1"/>
          <w:sz w:val="24"/>
          <w:lang w:val="cs-CZ"/>
        </w:rPr>
        <w:t xml:space="preserve"> to </w:t>
      </w:r>
      <w:proofErr w:type="spellStart"/>
      <w:r w:rsidRPr="007814E5">
        <w:rPr>
          <w:color w:val="000000" w:themeColor="text1"/>
          <w:sz w:val="24"/>
          <w:lang w:val="cs-CZ"/>
        </w:rPr>
        <w:t>purified</w:t>
      </w:r>
      <w:proofErr w:type="spellEnd"/>
      <w:r w:rsidRPr="007814E5">
        <w:rPr>
          <w:color w:val="000000" w:themeColor="text1"/>
          <w:sz w:val="24"/>
          <w:lang w:val="cs-CZ"/>
        </w:rPr>
        <w:t xml:space="preserve"> </w:t>
      </w:r>
      <w:proofErr w:type="spellStart"/>
      <w:r w:rsidRPr="007814E5">
        <w:rPr>
          <w:color w:val="000000" w:themeColor="text1"/>
          <w:sz w:val="24"/>
          <w:lang w:val="cs-CZ"/>
        </w:rPr>
        <w:t>Cry-toxins</w:t>
      </w:r>
      <w:proofErr w:type="spellEnd"/>
      <w:r w:rsidRPr="007814E5">
        <w:rPr>
          <w:color w:val="000000" w:themeColor="text1"/>
          <w:sz w:val="24"/>
          <w:lang w:val="cs-CZ"/>
        </w:rPr>
        <w:t xml:space="preserve">“, Food and </w:t>
      </w:r>
      <w:proofErr w:type="spellStart"/>
      <w:r w:rsidRPr="007814E5">
        <w:rPr>
          <w:color w:val="000000" w:themeColor="text1"/>
          <w:sz w:val="24"/>
          <w:lang w:val="cs-CZ"/>
        </w:rPr>
        <w:t>Chemical</w:t>
      </w:r>
      <w:proofErr w:type="spellEnd"/>
      <w:r w:rsidRPr="007814E5">
        <w:rPr>
          <w:color w:val="000000" w:themeColor="text1"/>
          <w:sz w:val="24"/>
          <w:lang w:val="cs-CZ"/>
        </w:rPr>
        <w:t xml:space="preserve"> </w:t>
      </w:r>
      <w:proofErr w:type="spellStart"/>
      <w:r w:rsidRPr="007814E5">
        <w:rPr>
          <w:color w:val="000000" w:themeColor="text1"/>
          <w:sz w:val="24"/>
          <w:lang w:val="cs-CZ"/>
        </w:rPr>
        <w:t>Toxicology</w:t>
      </w:r>
      <w:proofErr w:type="spellEnd"/>
      <w:r w:rsidRPr="007814E5">
        <w:rPr>
          <w:color w:val="000000" w:themeColor="text1"/>
          <w:sz w:val="24"/>
          <w:lang w:val="cs-CZ"/>
        </w:rPr>
        <w:t xml:space="preserve">, květen 2016, sv. 91, s. 130–140, </w:t>
      </w:r>
      <w:hyperlink r:id="rId10" w:history="1">
        <w:r w:rsidRPr="00150995">
          <w:rPr>
            <w:rStyle w:val="Hyperlink"/>
            <w:color w:val="0070C0"/>
            <w:sz w:val="24"/>
            <w:lang w:val="cs-CZ"/>
          </w:rPr>
          <w:t>https://www.sciencedirect.com/science/article/pii/S0278691516300722</w:t>
        </w:r>
      </w:hyperlink>
      <w:r w:rsidRPr="00150995">
        <w:rPr>
          <w:rStyle w:val="Hyperlink"/>
          <w:color w:val="000000" w:themeColor="text1"/>
          <w:sz w:val="24"/>
          <w:u w:val="none"/>
          <w:lang w:val="cs-CZ"/>
        </w:rPr>
        <w:t>.</w:t>
      </w:r>
    </w:p>
  </w:footnote>
  <w:footnote w:id="10">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sz w:val="24"/>
          <w:lang w:val="cs-CZ"/>
        </w:rPr>
        <w:t xml:space="preserve"> </w:t>
      </w:r>
      <w:r w:rsidR="007814E5" w:rsidRPr="007814E5">
        <w:rPr>
          <w:sz w:val="24"/>
          <w:lang w:val="cs-CZ"/>
        </w:rPr>
        <w:tab/>
      </w:r>
      <w:hyperlink r:id="rId11" w:history="1">
        <w:r w:rsidRPr="00150995">
          <w:rPr>
            <w:rStyle w:val="Hyperlink"/>
            <w:color w:val="0070C0"/>
            <w:sz w:val="24"/>
            <w:lang w:val="cs-CZ"/>
          </w:rPr>
          <w:t>https://efsa.onlinelibrary.wiley.com/action/downloadSupplement?doi=10.2903%2Fj.‌efsa.2024.8716&amp;file=efs28716-sup-0012-Annex8.pdf</w:t>
        </w:r>
      </w:hyperlink>
      <w:r w:rsidRPr="00150995">
        <w:rPr>
          <w:rStyle w:val="Hyperlink"/>
          <w:color w:val="000000" w:themeColor="text1"/>
          <w:sz w:val="24"/>
          <w:u w:val="none"/>
          <w:lang w:val="cs-CZ"/>
        </w:rPr>
        <w:t>.</w:t>
      </w:r>
    </w:p>
  </w:footnote>
  <w:footnote w:id="11">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w:t>
      </w:r>
      <w:proofErr w:type="spellStart"/>
      <w:r w:rsidRPr="007814E5">
        <w:rPr>
          <w:color w:val="000000" w:themeColor="text1"/>
          <w:sz w:val="24"/>
          <w:lang w:val="cs-CZ"/>
        </w:rPr>
        <w:t>Strategic</w:t>
      </w:r>
      <w:proofErr w:type="spellEnd"/>
      <w:r w:rsidRPr="007814E5">
        <w:rPr>
          <w:color w:val="000000" w:themeColor="text1"/>
          <w:sz w:val="24"/>
          <w:lang w:val="cs-CZ"/>
        </w:rPr>
        <w:t xml:space="preserve"> </w:t>
      </w:r>
      <w:proofErr w:type="spellStart"/>
      <w:r w:rsidRPr="007814E5">
        <w:rPr>
          <w:color w:val="000000" w:themeColor="text1"/>
          <w:sz w:val="24"/>
          <w:lang w:val="cs-CZ"/>
        </w:rPr>
        <w:t>Dialogue</w:t>
      </w:r>
      <w:proofErr w:type="spellEnd"/>
      <w:r w:rsidRPr="007814E5">
        <w:rPr>
          <w:color w:val="000000" w:themeColor="text1"/>
          <w:sz w:val="24"/>
          <w:lang w:val="cs-CZ"/>
        </w:rPr>
        <w:t xml:space="preserve"> on </w:t>
      </w:r>
      <w:proofErr w:type="spellStart"/>
      <w:r w:rsidRPr="007814E5">
        <w:rPr>
          <w:color w:val="000000" w:themeColor="text1"/>
          <w:sz w:val="24"/>
          <w:lang w:val="cs-CZ"/>
        </w:rPr>
        <w:t>the</w:t>
      </w:r>
      <w:proofErr w:type="spellEnd"/>
      <w:r w:rsidRPr="007814E5">
        <w:rPr>
          <w:color w:val="000000" w:themeColor="text1"/>
          <w:sz w:val="24"/>
          <w:lang w:val="cs-CZ"/>
        </w:rPr>
        <w:t xml:space="preserve"> </w:t>
      </w:r>
      <w:proofErr w:type="spellStart"/>
      <w:r w:rsidRPr="007814E5">
        <w:rPr>
          <w:color w:val="000000" w:themeColor="text1"/>
          <w:sz w:val="24"/>
          <w:lang w:val="cs-CZ"/>
        </w:rPr>
        <w:t>Future</w:t>
      </w:r>
      <w:proofErr w:type="spellEnd"/>
      <w:r w:rsidRPr="007814E5">
        <w:rPr>
          <w:color w:val="000000" w:themeColor="text1"/>
          <w:sz w:val="24"/>
          <w:lang w:val="cs-CZ"/>
        </w:rPr>
        <w:t xml:space="preserve"> </w:t>
      </w:r>
      <w:proofErr w:type="spellStart"/>
      <w:r w:rsidRPr="007814E5">
        <w:rPr>
          <w:color w:val="000000" w:themeColor="text1"/>
          <w:sz w:val="24"/>
          <w:lang w:val="cs-CZ"/>
        </w:rPr>
        <w:t>of</w:t>
      </w:r>
      <w:proofErr w:type="spellEnd"/>
      <w:r w:rsidRPr="007814E5">
        <w:rPr>
          <w:color w:val="000000" w:themeColor="text1"/>
          <w:sz w:val="24"/>
          <w:lang w:val="cs-CZ"/>
        </w:rPr>
        <w:t xml:space="preserve"> EU </w:t>
      </w:r>
      <w:proofErr w:type="spellStart"/>
      <w:r w:rsidRPr="007814E5">
        <w:rPr>
          <w:color w:val="000000" w:themeColor="text1"/>
          <w:sz w:val="24"/>
          <w:lang w:val="cs-CZ"/>
        </w:rPr>
        <w:t>Agriculture</w:t>
      </w:r>
      <w:proofErr w:type="spellEnd"/>
      <w:r w:rsidRPr="007814E5">
        <w:rPr>
          <w:color w:val="000000" w:themeColor="text1"/>
          <w:sz w:val="24"/>
          <w:lang w:val="cs-CZ"/>
        </w:rPr>
        <w:t xml:space="preserve"> – A </w:t>
      </w:r>
      <w:proofErr w:type="spellStart"/>
      <w:r w:rsidRPr="007814E5">
        <w:rPr>
          <w:color w:val="000000" w:themeColor="text1"/>
          <w:sz w:val="24"/>
          <w:lang w:val="cs-CZ"/>
        </w:rPr>
        <w:t>shared</w:t>
      </w:r>
      <w:proofErr w:type="spellEnd"/>
      <w:r w:rsidRPr="007814E5">
        <w:rPr>
          <w:color w:val="000000" w:themeColor="text1"/>
          <w:sz w:val="24"/>
          <w:lang w:val="cs-CZ"/>
        </w:rPr>
        <w:t xml:space="preserve"> </w:t>
      </w:r>
      <w:proofErr w:type="spellStart"/>
      <w:r w:rsidRPr="007814E5">
        <w:rPr>
          <w:color w:val="000000" w:themeColor="text1"/>
          <w:sz w:val="24"/>
          <w:lang w:val="cs-CZ"/>
        </w:rPr>
        <w:t>prospect</w:t>
      </w:r>
      <w:proofErr w:type="spellEnd"/>
      <w:r w:rsidRPr="007814E5">
        <w:rPr>
          <w:color w:val="000000" w:themeColor="text1"/>
          <w:sz w:val="24"/>
          <w:lang w:val="cs-CZ"/>
        </w:rPr>
        <w:t xml:space="preserve"> </w:t>
      </w:r>
      <w:proofErr w:type="spellStart"/>
      <w:r w:rsidRPr="007814E5">
        <w:rPr>
          <w:color w:val="000000" w:themeColor="text1"/>
          <w:sz w:val="24"/>
          <w:lang w:val="cs-CZ"/>
        </w:rPr>
        <w:t>for</w:t>
      </w:r>
      <w:proofErr w:type="spellEnd"/>
      <w:r w:rsidRPr="007814E5">
        <w:rPr>
          <w:color w:val="000000" w:themeColor="text1"/>
          <w:sz w:val="24"/>
          <w:lang w:val="cs-CZ"/>
        </w:rPr>
        <w:t xml:space="preserve"> </w:t>
      </w:r>
      <w:proofErr w:type="spellStart"/>
      <w:r w:rsidRPr="007814E5">
        <w:rPr>
          <w:color w:val="000000" w:themeColor="text1"/>
          <w:sz w:val="24"/>
          <w:lang w:val="cs-CZ"/>
        </w:rPr>
        <w:t>farming</w:t>
      </w:r>
      <w:proofErr w:type="spellEnd"/>
      <w:r w:rsidRPr="007814E5">
        <w:rPr>
          <w:color w:val="000000" w:themeColor="text1"/>
          <w:sz w:val="24"/>
          <w:lang w:val="cs-CZ"/>
        </w:rPr>
        <w:t xml:space="preserve"> and food in </w:t>
      </w:r>
      <w:proofErr w:type="spellStart"/>
      <w:r w:rsidRPr="007814E5">
        <w:rPr>
          <w:color w:val="000000" w:themeColor="text1"/>
          <w:sz w:val="24"/>
          <w:lang w:val="cs-CZ"/>
        </w:rPr>
        <w:t>Europe</w:t>
      </w:r>
      <w:proofErr w:type="spellEnd"/>
      <w:r w:rsidRPr="007814E5">
        <w:rPr>
          <w:color w:val="000000" w:themeColor="text1"/>
          <w:sz w:val="24"/>
          <w:lang w:val="cs-CZ"/>
        </w:rPr>
        <w:t xml:space="preserve">“ (Strategický dialog o budoucnosti zemědělství EU – Společná perspektiva zemědělství a potravinářství v Evropě), září 2024, </w:t>
      </w:r>
      <w:hyperlink r:id="rId12" w:history="1">
        <w:r w:rsidRPr="00150995">
          <w:rPr>
            <w:rStyle w:val="Hyperlink"/>
            <w:color w:val="0070C0"/>
            <w:sz w:val="24"/>
            <w:lang w:val="cs-CZ"/>
          </w:rPr>
          <w:t>https://agriculture.ec.europa.eu/document/download/171329ff-0f50-4fa5-946f-aea11032172e_en?filename=strategic-dialogue-report-2024_en.pdf</w:t>
        </w:r>
      </w:hyperlink>
      <w:r w:rsidRPr="00150995">
        <w:rPr>
          <w:rStyle w:val="Hyperlink"/>
          <w:color w:val="000000" w:themeColor="text1"/>
          <w:sz w:val="24"/>
          <w:u w:val="none"/>
          <w:lang w:val="cs-CZ"/>
        </w:rPr>
        <w:t>.</w:t>
      </w:r>
    </w:p>
  </w:footnote>
  <w:footnote w:id="12">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sz w:val="24"/>
          <w:lang w:val="cs-CZ"/>
        </w:rPr>
        <w:t xml:space="preserve"> </w:t>
      </w:r>
      <w:r w:rsidR="007814E5" w:rsidRPr="007814E5">
        <w:rPr>
          <w:sz w:val="24"/>
          <w:lang w:val="cs-CZ"/>
        </w:rPr>
        <w:tab/>
      </w:r>
      <w:hyperlink r:id="rId13" w:history="1">
        <w:r w:rsidRPr="00150995">
          <w:rPr>
            <w:rStyle w:val="Hyperlink"/>
            <w:color w:val="0070C0"/>
            <w:sz w:val="24"/>
            <w:lang w:val="cs-CZ"/>
          </w:rPr>
          <w:t>https://www.ohchr.org/en/documents/thematic-reports/ahrc3448-report-special-rapporteur-right-food</w:t>
        </w:r>
      </w:hyperlink>
      <w:r w:rsidRPr="007814E5">
        <w:rPr>
          <w:color w:val="000000" w:themeColor="text1"/>
          <w:sz w:val="24"/>
          <w:lang w:val="cs-CZ"/>
        </w:rPr>
        <w:t>.</w:t>
      </w:r>
    </w:p>
  </w:footnote>
  <w:footnote w:id="13">
    <w:p w:rsidR="005536D0" w:rsidRPr="007814E5" w:rsidRDefault="005536D0" w:rsidP="007814E5">
      <w:pPr>
        <w:pStyle w:val="FootnoteText"/>
        <w:ind w:left="567" w:hanging="567"/>
        <w:rPr>
          <w:sz w:val="24"/>
          <w:lang w:val="cs-CZ"/>
        </w:rPr>
      </w:pPr>
      <w:r w:rsidRPr="007814E5">
        <w:rPr>
          <w:rStyle w:val="FootnoteReference"/>
          <w:sz w:val="24"/>
          <w:lang w:val="cs-CZ"/>
        </w:rPr>
        <w:footnoteRef/>
      </w:r>
      <w:r w:rsidR="007814E5" w:rsidRPr="007814E5">
        <w:rPr>
          <w:sz w:val="24"/>
          <w:lang w:val="cs-CZ"/>
        </w:rPr>
        <w:t xml:space="preserve"> </w:t>
      </w:r>
      <w:r w:rsidR="007814E5" w:rsidRPr="007814E5">
        <w:rPr>
          <w:sz w:val="24"/>
          <w:lang w:val="cs-CZ"/>
        </w:rPr>
        <w:tab/>
      </w:r>
      <w:hyperlink r:id="rId14" w:history="1">
        <w:r w:rsidRPr="007814E5">
          <w:rPr>
            <w:rStyle w:val="Hyperlink"/>
            <w:sz w:val="24"/>
            <w:lang w:val="cs-CZ"/>
          </w:rPr>
          <w:t>https://indicators.report/targets/3-9/</w:t>
        </w:r>
      </w:hyperlink>
      <w:r w:rsidRPr="00150995">
        <w:rPr>
          <w:rStyle w:val="Hyperlink"/>
          <w:sz w:val="24"/>
          <w:u w:val="none"/>
          <w:lang w:val="cs-CZ"/>
        </w:rPr>
        <w:t>.</w:t>
      </w:r>
    </w:p>
  </w:footnote>
  <w:footnote w:id="14">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sz w:val="24"/>
          <w:lang w:val="cs-CZ"/>
        </w:rPr>
        <w:t xml:space="preserve"> </w:t>
      </w:r>
      <w:r w:rsidR="007814E5" w:rsidRPr="007814E5">
        <w:rPr>
          <w:sz w:val="24"/>
          <w:lang w:val="cs-CZ"/>
        </w:rPr>
        <w:tab/>
      </w:r>
      <w:r w:rsidRPr="007814E5">
        <w:rPr>
          <w:sz w:val="24"/>
          <w:lang w:val="cs-CZ"/>
        </w:rPr>
        <w:t xml:space="preserve">Viz: </w:t>
      </w:r>
      <w:hyperlink r:id="rId15" w:history="1">
        <w:r w:rsidRPr="007814E5">
          <w:rPr>
            <w:rStyle w:val="Hyperlink"/>
            <w:sz w:val="24"/>
            <w:lang w:val="cs-CZ"/>
          </w:rPr>
          <w:t>https://ec.europa.eu/commission/presscorner/detail/cs/ip_22_7834</w:t>
        </w:r>
      </w:hyperlink>
      <w:r w:rsidRPr="007814E5">
        <w:rPr>
          <w:sz w:val="24"/>
          <w:lang w:val="cs-CZ"/>
        </w:rPr>
        <w:t>.</w:t>
      </w:r>
    </w:p>
  </w:footnote>
  <w:footnote w:id="15">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sz w:val="24"/>
          <w:lang w:val="cs-CZ"/>
        </w:rPr>
        <w:t xml:space="preserve"> </w:t>
      </w:r>
      <w:r w:rsidR="007814E5" w:rsidRPr="007814E5">
        <w:rPr>
          <w:sz w:val="24"/>
          <w:lang w:val="cs-CZ"/>
        </w:rPr>
        <w:tab/>
      </w:r>
      <w:hyperlink r:id="rId16" w:history="1">
        <w:r w:rsidRPr="00F24426">
          <w:rPr>
            <w:rStyle w:val="Hyperlink"/>
            <w:color w:val="0070C0"/>
            <w:sz w:val="24"/>
            <w:lang w:val="cs-CZ"/>
          </w:rPr>
          <w:t>https://commission.europa.eu/document/2c64e540-c07a-4376-a1da-368d289f4afe_en</w:t>
        </w:r>
      </w:hyperlink>
      <w:r w:rsidRPr="00150995">
        <w:rPr>
          <w:rStyle w:val="Hyperlink"/>
          <w:color w:val="000000" w:themeColor="text1"/>
          <w:sz w:val="24"/>
          <w:u w:val="none"/>
          <w:lang w:val="cs-CZ"/>
        </w:rPr>
        <w:t>.</w:t>
      </w:r>
    </w:p>
  </w:footnote>
  <w:footnote w:id="16">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Pokud se v odvolacím výboru kladně nevysloví kvalifikovaná většina členských států, podle čl. 6 odst. 3 nařízení (EU) č. 182/2011 Komise „může“, nikoli „musí“ akt přijmout.</w:t>
      </w:r>
    </w:p>
  </w:footnote>
  <w:footnote w:id="17">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w:t>
      </w:r>
      <w:proofErr w:type="spellStart"/>
      <w:r w:rsidRPr="007814E5">
        <w:rPr>
          <w:color w:val="000000" w:themeColor="text1"/>
          <w:sz w:val="24"/>
          <w:lang w:val="cs-CZ"/>
        </w:rPr>
        <w:t>Úř</w:t>
      </w:r>
      <w:proofErr w:type="spellEnd"/>
      <w:r w:rsidRPr="007814E5">
        <w:rPr>
          <w:color w:val="000000" w:themeColor="text1"/>
          <w:sz w:val="24"/>
          <w:lang w:val="cs-CZ"/>
        </w:rPr>
        <w:t>. </w:t>
      </w:r>
      <w:proofErr w:type="spellStart"/>
      <w:r w:rsidRPr="007814E5">
        <w:rPr>
          <w:color w:val="000000" w:themeColor="text1"/>
          <w:sz w:val="24"/>
          <w:lang w:val="cs-CZ"/>
        </w:rPr>
        <w:t>věst</w:t>
      </w:r>
      <w:proofErr w:type="spellEnd"/>
      <w:r w:rsidRPr="007814E5">
        <w:rPr>
          <w:color w:val="000000" w:themeColor="text1"/>
          <w:sz w:val="24"/>
          <w:lang w:val="cs-CZ"/>
        </w:rPr>
        <w:t>. L 31, 1.2.2002, s. 1, ELI: </w:t>
      </w:r>
      <w:hyperlink r:id="rId17" w:tgtFrame="Gives access to this document through its ELI URI." w:history="1">
        <w:r w:rsidRPr="00150995">
          <w:rPr>
            <w:rStyle w:val="Hyperlink"/>
            <w:color w:val="0070C0"/>
            <w:sz w:val="24"/>
            <w:lang w:val="cs-CZ"/>
          </w:rPr>
          <w:t>http://data.europa.eu/eli/reg/2002/178/oj</w:t>
        </w:r>
      </w:hyperlink>
      <w:r w:rsidRPr="007814E5">
        <w:rPr>
          <w:color w:val="000000" w:themeColor="text1"/>
          <w:sz w:val="24"/>
          <w:lang w:val="cs-CZ"/>
        </w:rPr>
        <w:t>).</w:t>
      </w:r>
    </w:p>
  </w:footnote>
  <w:footnote w:id="18">
    <w:p w:rsidR="005536D0" w:rsidRPr="007814E5" w:rsidRDefault="005536D0" w:rsidP="007814E5">
      <w:pPr>
        <w:pStyle w:val="FootnoteText"/>
        <w:ind w:left="567" w:hanging="567"/>
        <w:rPr>
          <w:color w:val="000000" w:themeColor="text1"/>
          <w:sz w:val="24"/>
          <w:lang w:val="cs-CZ"/>
        </w:rPr>
      </w:pPr>
      <w:r w:rsidRPr="007814E5">
        <w:rPr>
          <w:rStyle w:val="FootnoteReference"/>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 xml:space="preserve">Jak je uvedeno v příloze sdělení Komise ze dne 14. října 2020 nazvanému „Strategie pro udržitelnost v oblasti chemických látek: k životnímu prostředí bez toxických látek“, COM(2020)0667, </w:t>
      </w:r>
      <w:hyperlink r:id="rId18" w:anchor="document2" w:history="1">
        <w:r w:rsidRPr="00150995">
          <w:rPr>
            <w:rStyle w:val="Hyperlink"/>
            <w:color w:val="0070C0"/>
            <w:sz w:val="24"/>
            <w:lang w:val="cs-CZ"/>
          </w:rPr>
          <w:t>https://eur-lex.europa.eu/legal-content/CS/TXT/?uri=COM%3A2020%3A667%3AFIN#document2</w:t>
        </w:r>
      </w:hyperlink>
      <w:r w:rsidRPr="007814E5">
        <w:rPr>
          <w:color w:val="000000" w:themeColor="text1"/>
          <w:sz w:val="24"/>
          <w:lang w:val="cs-CZ"/>
        </w:rPr>
        <w:t xml:space="preserve">. </w:t>
      </w:r>
    </w:p>
  </w:footnote>
  <w:footnote w:id="19">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sz w:val="24"/>
          <w:lang w:val="cs-CZ"/>
        </w:rPr>
        <w:t xml:space="preserve"> </w:t>
      </w:r>
      <w:r w:rsidR="007814E5" w:rsidRPr="007814E5">
        <w:rPr>
          <w:sz w:val="24"/>
          <w:lang w:val="cs-CZ"/>
        </w:rPr>
        <w:tab/>
      </w:r>
      <w:hyperlink r:id="rId19" w:history="1">
        <w:r w:rsidRPr="00150995">
          <w:rPr>
            <w:rStyle w:val="Hyperlink"/>
            <w:color w:val="0070C0"/>
            <w:sz w:val="24"/>
            <w:lang w:val="cs-CZ"/>
          </w:rPr>
          <w:t>https://tillymetz.lu/wp-content/uploads/2020/09/Co-signed-letter-MEP-Metz.pdf</w:t>
        </w:r>
      </w:hyperlink>
      <w:r w:rsidRPr="00150995">
        <w:rPr>
          <w:rStyle w:val="Hyperlink"/>
          <w:color w:val="000000" w:themeColor="text1"/>
          <w:sz w:val="24"/>
          <w:u w:val="none"/>
          <w:lang w:val="cs-CZ"/>
        </w:rPr>
        <w:t>.</w:t>
      </w:r>
    </w:p>
  </w:footnote>
  <w:footnote w:id="20">
    <w:p w:rsidR="005536D0" w:rsidRPr="007814E5" w:rsidRDefault="005536D0" w:rsidP="007814E5">
      <w:pPr>
        <w:pStyle w:val="FootnoteText"/>
        <w:ind w:left="567" w:hanging="567"/>
        <w:rPr>
          <w:color w:val="000000" w:themeColor="text1"/>
          <w:sz w:val="24"/>
          <w:lang w:val="cs-CZ"/>
        </w:rPr>
      </w:pPr>
      <w:r w:rsidRPr="007814E5">
        <w:rPr>
          <w:rStyle w:val="Funotenzeichen"/>
          <w:color w:val="000000" w:themeColor="text1"/>
          <w:sz w:val="24"/>
          <w:lang w:val="cs-CZ"/>
        </w:rPr>
        <w:footnoteRef/>
      </w:r>
      <w:r w:rsidR="007814E5" w:rsidRPr="007814E5">
        <w:rPr>
          <w:color w:val="000000" w:themeColor="text1"/>
          <w:sz w:val="24"/>
          <w:lang w:val="cs-CZ"/>
        </w:rPr>
        <w:t xml:space="preserve"> </w:t>
      </w:r>
      <w:r w:rsidR="007814E5" w:rsidRPr="007814E5">
        <w:rPr>
          <w:color w:val="000000" w:themeColor="text1"/>
          <w:sz w:val="24"/>
          <w:lang w:val="cs-CZ"/>
        </w:rPr>
        <w:tab/>
      </w:r>
      <w:r w:rsidRPr="007814E5">
        <w:rPr>
          <w:color w:val="000000" w:themeColor="text1"/>
          <w:sz w:val="24"/>
          <w:lang w:val="cs-CZ"/>
        </w:rPr>
        <w:t>Usnesení Evropského parlamentu ze dne 15. ledna 2020 o Zelené dohodě pro Evropu (</w:t>
      </w:r>
      <w:proofErr w:type="spellStart"/>
      <w:r w:rsidRPr="007814E5">
        <w:rPr>
          <w:color w:val="000000" w:themeColor="text1"/>
          <w:sz w:val="24"/>
          <w:lang w:val="cs-CZ"/>
        </w:rPr>
        <w:t>Úř</w:t>
      </w:r>
      <w:proofErr w:type="spellEnd"/>
      <w:r w:rsidRPr="007814E5">
        <w:rPr>
          <w:color w:val="000000" w:themeColor="text1"/>
          <w:sz w:val="24"/>
          <w:lang w:val="cs-CZ"/>
        </w:rPr>
        <w:t xml:space="preserve">. </w:t>
      </w:r>
      <w:proofErr w:type="spellStart"/>
      <w:r w:rsidRPr="007814E5">
        <w:rPr>
          <w:color w:val="000000" w:themeColor="text1"/>
          <w:sz w:val="24"/>
          <w:lang w:val="cs-CZ"/>
        </w:rPr>
        <w:t>věst</w:t>
      </w:r>
      <w:proofErr w:type="spellEnd"/>
      <w:r w:rsidRPr="007814E5">
        <w:rPr>
          <w:color w:val="000000" w:themeColor="text1"/>
          <w:sz w:val="24"/>
          <w:lang w:val="cs-CZ"/>
        </w:rPr>
        <w:t>. C 270, 7.7.2021, s. 2), bod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14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14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14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CS"/>
    <w:docVar w:name="dvnumam" w:val="0"/>
    <w:docVar w:name="dvpe" w:val="766.932"/>
    <w:docVar w:name="dvtitre" w:val="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D102174/03 – 2024/3010(RSP))"/>
  </w:docVars>
  <w:rsids>
    <w:rsidRoot w:val="00A92AEA"/>
    <w:rsid w:val="00002272"/>
    <w:rsid w:val="00064002"/>
    <w:rsid w:val="000677B9"/>
    <w:rsid w:val="000831BA"/>
    <w:rsid w:val="000A42CC"/>
    <w:rsid w:val="000E7DD9"/>
    <w:rsid w:val="0010095E"/>
    <w:rsid w:val="00125B37"/>
    <w:rsid w:val="00150995"/>
    <w:rsid w:val="00187494"/>
    <w:rsid w:val="001E7D7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6D0"/>
    <w:rsid w:val="00557DD8"/>
    <w:rsid w:val="00560270"/>
    <w:rsid w:val="005C2568"/>
    <w:rsid w:val="005F1B17"/>
    <w:rsid w:val="006037C0"/>
    <w:rsid w:val="006631B6"/>
    <w:rsid w:val="00680577"/>
    <w:rsid w:val="006F74FA"/>
    <w:rsid w:val="00731ADD"/>
    <w:rsid w:val="00734777"/>
    <w:rsid w:val="00747932"/>
    <w:rsid w:val="00751A4A"/>
    <w:rsid w:val="00756632"/>
    <w:rsid w:val="00762C74"/>
    <w:rsid w:val="007814E5"/>
    <w:rsid w:val="00786EC0"/>
    <w:rsid w:val="007D1690"/>
    <w:rsid w:val="007E22AD"/>
    <w:rsid w:val="0081492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AEA"/>
    <w:rsid w:val="00AB441E"/>
    <w:rsid w:val="00AB6293"/>
    <w:rsid w:val="00AE0928"/>
    <w:rsid w:val="00AF3B82"/>
    <w:rsid w:val="00B12E95"/>
    <w:rsid w:val="00B22876"/>
    <w:rsid w:val="00B558F0"/>
    <w:rsid w:val="00BD48FE"/>
    <w:rsid w:val="00BD7BD8"/>
    <w:rsid w:val="00BE6ADC"/>
    <w:rsid w:val="00C05BFE"/>
    <w:rsid w:val="00C23CD4"/>
    <w:rsid w:val="00C32735"/>
    <w:rsid w:val="00C61C0C"/>
    <w:rsid w:val="00C941CB"/>
    <w:rsid w:val="00CC2357"/>
    <w:rsid w:val="00CF071A"/>
    <w:rsid w:val="00D058B8"/>
    <w:rsid w:val="00D56C11"/>
    <w:rsid w:val="00D834A0"/>
    <w:rsid w:val="00D872DF"/>
    <w:rsid w:val="00D91E21"/>
    <w:rsid w:val="00DA7FCD"/>
    <w:rsid w:val="00E365E1"/>
    <w:rsid w:val="00E72F9E"/>
    <w:rsid w:val="00E820A4"/>
    <w:rsid w:val="00EB006A"/>
    <w:rsid w:val="00EB4772"/>
    <w:rsid w:val="00ED169E"/>
    <w:rsid w:val="00ED4235"/>
    <w:rsid w:val="00F04346"/>
    <w:rsid w:val="00F075DC"/>
    <w:rsid w:val="00F149E9"/>
    <w:rsid w:val="00F2442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FDD6C8-3011-4980-A8F6-2C8EF6B7A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5536D0"/>
    <w:pPr>
      <w:spacing w:before="480" w:after="240"/>
    </w:pPr>
  </w:style>
  <w:style w:type="paragraph" w:customStyle="1" w:styleId="NormalHanging12a">
    <w:name w:val="NormalHanging12a"/>
    <w:basedOn w:val="Normal"/>
    <w:qFormat/>
    <w:rsid w:val="005536D0"/>
    <w:pPr>
      <w:spacing w:after="240"/>
      <w:ind w:left="567" w:hanging="567"/>
    </w:pPr>
  </w:style>
  <w:style w:type="character" w:styleId="Hyperlink">
    <w:name w:val="Hyperlink"/>
    <w:basedOn w:val="DefaultParagraphFont"/>
    <w:uiPriority w:val="99"/>
    <w:rsid w:val="005536D0"/>
    <w:rPr>
      <w:color w:val="0563C1" w:themeColor="hyperlink"/>
      <w:u w:val="single"/>
    </w:rPr>
  </w:style>
  <w:style w:type="character" w:customStyle="1" w:styleId="Funotenzeichen">
    <w:name w:val="Fußnotenzeichen"/>
    <w:qFormat/>
    <w:rsid w:val="005536D0"/>
    <w:rPr>
      <w:vertAlign w:val="superscript"/>
    </w:rPr>
  </w:style>
  <w:style w:type="paragraph" w:styleId="BalloonText">
    <w:name w:val="Balloon Text"/>
    <w:basedOn w:val="Normal"/>
    <w:link w:val="BalloonTextChar"/>
    <w:rsid w:val="00F24426"/>
    <w:rPr>
      <w:rFonts w:ascii="Segoe UI" w:hAnsi="Segoe UI" w:cs="Segoe UI"/>
      <w:sz w:val="18"/>
      <w:szCs w:val="18"/>
    </w:rPr>
  </w:style>
  <w:style w:type="character" w:customStyle="1" w:styleId="BalloonTextChar">
    <w:name w:val="Balloon Text Char"/>
    <w:basedOn w:val="DefaultParagraphFont"/>
    <w:link w:val="BalloonText"/>
    <w:rsid w:val="00F24426"/>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CS/TXT/?uri=COM%3A2020%3A667%3A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2F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cs/ip_22_7834" TargetMode="External"/><Relationship Id="rId10" Type="http://schemas.openxmlformats.org/officeDocument/2006/relationships/hyperlink" Target="https://www.sciencedirect.com/science/article/pii/S0278691516300722?via%3D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98F4C-EB92-4957-997A-FCD7E8C9B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1398</Words>
  <Characters>13176</Characters>
  <Application>Microsoft Office Word</Application>
  <DocSecurity>0</DocSecurity>
  <Lines>425</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2025-02-12T12:14:00Z</dcterms:created>
  <dcterms:modified xsi:type="dcterms:W3CDTF">2025-02-12T12:14:00Z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B10-0061/2025</vt:lpwstr>
  </property>
  <property fmtid="{D5CDD505-2E9C-101B-9397-08002B2CF9AE}" pid="4" name="&lt;Type&gt;">
    <vt:lpwstr>RR</vt:lpwstr>
  </property>
</Properties>
</file>