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59F4" w14:paraId="5A9F9DCB" w14:textId="77777777" w:rsidTr="0010095E">
        <w:trPr>
          <w:trHeight w:hRule="exact" w:val="1418"/>
        </w:trPr>
        <w:tc>
          <w:tcPr>
            <w:tcW w:w="6804" w:type="dxa"/>
            <w:shd w:val="clear" w:color="auto" w:fill="auto"/>
            <w:vAlign w:val="center"/>
          </w:tcPr>
          <w:p w14:paraId="42954B2E" w14:textId="77777777" w:rsidR="00751A4A" w:rsidRPr="009659F4" w:rsidRDefault="00904CE8" w:rsidP="0010095E">
            <w:pPr>
              <w:pStyle w:val="EPName"/>
            </w:pPr>
            <w:r w:rsidRPr="009659F4">
              <w:t>Parlamento Europeo</w:t>
            </w:r>
          </w:p>
          <w:p w14:paraId="7472003F" w14:textId="77777777" w:rsidR="00751A4A" w:rsidRPr="009659F4" w:rsidRDefault="005F1B17" w:rsidP="005F1B17">
            <w:pPr>
              <w:pStyle w:val="EPTerm"/>
              <w:rPr>
                <w:rStyle w:val="HideTWBExt"/>
                <w:noProof w:val="0"/>
                <w:vanish w:val="0"/>
                <w:color w:val="auto"/>
              </w:rPr>
            </w:pPr>
            <w:r w:rsidRPr="009659F4">
              <w:t>2024</w:t>
            </w:r>
            <w:r w:rsidR="00817416" w:rsidRPr="009659F4">
              <w:t>-202</w:t>
            </w:r>
            <w:r w:rsidRPr="009659F4">
              <w:t>9</w:t>
            </w:r>
          </w:p>
        </w:tc>
        <w:tc>
          <w:tcPr>
            <w:tcW w:w="2268" w:type="dxa"/>
            <w:shd w:val="clear" w:color="auto" w:fill="auto"/>
          </w:tcPr>
          <w:p w14:paraId="5480573D" w14:textId="77777777" w:rsidR="00751A4A" w:rsidRPr="009659F4" w:rsidRDefault="00187494" w:rsidP="0010095E">
            <w:pPr>
              <w:pStyle w:val="EPLogo"/>
            </w:pPr>
            <w:r w:rsidRPr="009659F4">
              <w:rPr>
                <w:noProof/>
                <w:lang w:val="en-GB"/>
              </w:rPr>
              <w:drawing>
                <wp:inline distT="0" distB="0" distL="0" distR="0" wp14:anchorId="1477BEFD" wp14:editId="50E69F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755E65" w14:textId="77777777" w:rsidR="00D058B8" w:rsidRPr="009659F4" w:rsidRDefault="00D058B8" w:rsidP="004C5D52">
      <w:pPr>
        <w:pStyle w:val="LineTop"/>
      </w:pPr>
    </w:p>
    <w:p w14:paraId="09B326E1" w14:textId="77777777" w:rsidR="00680577" w:rsidRPr="009659F4" w:rsidRDefault="00904CE8" w:rsidP="00680577">
      <w:pPr>
        <w:pStyle w:val="EPBodyTA1"/>
        <w:rPr>
          <w:lang w:val="pt-PT"/>
        </w:rPr>
      </w:pPr>
      <w:r w:rsidRPr="009659F4">
        <w:rPr>
          <w:lang w:val="pt-PT"/>
        </w:rPr>
        <w:t>TEXTOS APROBADOS</w:t>
      </w:r>
    </w:p>
    <w:p w14:paraId="38E74594" w14:textId="77777777" w:rsidR="00D058B8" w:rsidRPr="009659F4" w:rsidRDefault="00D058B8" w:rsidP="00D058B8">
      <w:pPr>
        <w:pStyle w:val="LineBottom"/>
        <w:rPr>
          <w:lang w:val="pt-PT"/>
        </w:rPr>
      </w:pPr>
    </w:p>
    <w:p w14:paraId="1B650F51" w14:textId="5628CD99" w:rsidR="00904CE8" w:rsidRPr="009659F4" w:rsidRDefault="00904CE8" w:rsidP="00904CE8">
      <w:pPr>
        <w:pStyle w:val="ATHeading1"/>
        <w:rPr>
          <w:lang w:val="pt-PT"/>
        </w:rPr>
      </w:pPr>
      <w:bookmarkStart w:id="0" w:name="TANumber"/>
      <w:r w:rsidRPr="009659F4">
        <w:rPr>
          <w:lang w:val="pt-PT"/>
        </w:rPr>
        <w:t>P10_</w:t>
      </w:r>
      <w:proofErr w:type="gramStart"/>
      <w:r w:rsidRPr="009659F4">
        <w:rPr>
          <w:lang w:val="pt-PT"/>
        </w:rPr>
        <w:t>TA(</w:t>
      </w:r>
      <w:proofErr w:type="gramEnd"/>
      <w:r w:rsidRPr="009659F4">
        <w:rPr>
          <w:lang w:val="pt-PT"/>
        </w:rPr>
        <w:t>2025)00</w:t>
      </w:r>
      <w:r w:rsidR="00462997" w:rsidRPr="009659F4">
        <w:rPr>
          <w:lang w:val="pt-PT"/>
        </w:rPr>
        <w:t>14</w:t>
      </w:r>
      <w:bookmarkEnd w:id="0"/>
    </w:p>
    <w:p w14:paraId="0F095405" w14:textId="77777777" w:rsidR="00904CE8" w:rsidRPr="009659F4" w:rsidRDefault="00904CE8" w:rsidP="00904CE8">
      <w:pPr>
        <w:pStyle w:val="ATHeading2"/>
        <w:rPr>
          <w:lang w:val="pt-PT"/>
        </w:rPr>
      </w:pPr>
      <w:bookmarkStart w:id="1" w:name="title"/>
      <w:proofErr w:type="spellStart"/>
      <w:r w:rsidRPr="009659F4">
        <w:rPr>
          <w:lang w:val="pt-PT"/>
        </w:rPr>
        <w:t>Maíz</w:t>
      </w:r>
      <w:proofErr w:type="spellEnd"/>
      <w:r w:rsidRPr="009659F4">
        <w:rPr>
          <w:lang w:val="pt-PT"/>
        </w:rPr>
        <w:t xml:space="preserve"> modificado </w:t>
      </w:r>
      <w:proofErr w:type="spellStart"/>
      <w:r w:rsidRPr="009659F4">
        <w:rPr>
          <w:lang w:val="pt-PT"/>
        </w:rPr>
        <w:t>genéticamente</w:t>
      </w:r>
      <w:proofErr w:type="spellEnd"/>
      <w:r w:rsidRPr="009659F4">
        <w:rPr>
          <w:lang w:val="pt-PT"/>
        </w:rPr>
        <w:t xml:space="preserve"> DP910521</w:t>
      </w:r>
      <w:bookmarkEnd w:id="1"/>
    </w:p>
    <w:p w14:paraId="73E90321" w14:textId="77777777" w:rsidR="00904CE8" w:rsidRPr="009659F4" w:rsidRDefault="00904CE8" w:rsidP="00904CE8">
      <w:pPr>
        <w:rPr>
          <w:i/>
          <w:vanish/>
          <w:lang w:val="pt-PT"/>
        </w:rPr>
      </w:pPr>
      <w:r w:rsidRPr="009659F4">
        <w:rPr>
          <w:i/>
        </w:rPr>
        <w:fldChar w:fldCharType="begin"/>
      </w:r>
      <w:r w:rsidRPr="009659F4">
        <w:rPr>
          <w:i/>
          <w:lang w:val="pt-PT"/>
        </w:rPr>
        <w:instrText xml:space="preserve"> TC"(</w:instrText>
      </w:r>
      <w:bookmarkStart w:id="2" w:name="DocNumber"/>
      <w:r w:rsidRPr="009659F4">
        <w:rPr>
          <w:i/>
          <w:lang w:val="pt-PT"/>
        </w:rPr>
        <w:instrText>B10-0061/2025</w:instrText>
      </w:r>
      <w:bookmarkEnd w:id="2"/>
      <w:r w:rsidRPr="009659F4">
        <w:rPr>
          <w:i/>
          <w:lang w:val="pt-PT"/>
        </w:rPr>
        <w:instrText xml:space="preserve">)"\l3 \n&gt; \* MERGEFORMAT </w:instrText>
      </w:r>
      <w:r w:rsidRPr="009659F4">
        <w:rPr>
          <w:i/>
        </w:rPr>
        <w:fldChar w:fldCharType="end"/>
      </w:r>
    </w:p>
    <w:p w14:paraId="4D29F57C" w14:textId="77777777" w:rsidR="00904CE8" w:rsidRPr="009659F4" w:rsidRDefault="00904CE8" w:rsidP="00904CE8">
      <w:pPr>
        <w:rPr>
          <w:vanish/>
          <w:lang w:val="pt-PT"/>
        </w:rPr>
      </w:pPr>
      <w:bookmarkStart w:id="3" w:name="PE"/>
      <w:r w:rsidRPr="009659F4">
        <w:rPr>
          <w:vanish/>
          <w:lang w:val="pt-PT"/>
        </w:rPr>
        <w:t>PE766.932</w:t>
      </w:r>
      <w:bookmarkEnd w:id="3"/>
    </w:p>
    <w:p w14:paraId="5DBB707C" w14:textId="77777777" w:rsidR="00904CE8" w:rsidRPr="009659F4" w:rsidRDefault="00904CE8" w:rsidP="00904CE8">
      <w:pPr>
        <w:pStyle w:val="ATHeading3"/>
      </w:pPr>
      <w:bookmarkStart w:id="4" w:name="Sujet"/>
      <w:r w:rsidRPr="009659F4">
        <w:t xml:space="preserve">Resolución del Parlamento Europeo, de </w:t>
      </w:r>
      <w:r w:rsidR="003426A0" w:rsidRPr="009659F4">
        <w:t>12</w:t>
      </w:r>
      <w:r w:rsidRPr="009659F4">
        <w:t xml:space="preserve">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w:t>
      </w:r>
      <w:bookmarkEnd w:id="4"/>
      <w:r w:rsidRPr="009659F4">
        <w:t xml:space="preserve"> </w:t>
      </w:r>
      <w:bookmarkStart w:id="5" w:name="References"/>
      <w:r w:rsidRPr="009659F4">
        <w:t>(D102174/03 – 2024/3010(RSP))</w:t>
      </w:r>
      <w:bookmarkEnd w:id="5"/>
    </w:p>
    <w:p w14:paraId="7AD72819" w14:textId="77777777" w:rsidR="00904CE8" w:rsidRPr="009659F4" w:rsidRDefault="00904CE8" w:rsidP="00904CE8"/>
    <w:p w14:paraId="2B2A4C3B" w14:textId="77777777" w:rsidR="005F4965" w:rsidRPr="009659F4" w:rsidRDefault="005F4965" w:rsidP="003426A0">
      <w:pPr>
        <w:pStyle w:val="EPComma"/>
        <w:widowControl/>
        <w:spacing w:before="120"/>
      </w:pPr>
      <w:bookmarkStart w:id="6" w:name="TextBodyBegin"/>
      <w:bookmarkEnd w:id="6"/>
      <w:r w:rsidRPr="009659F4">
        <w:rPr>
          <w:i/>
          <w:iCs/>
        </w:rPr>
        <w:t>El Parlamento Europeo</w:t>
      </w:r>
      <w:r w:rsidRPr="009659F4">
        <w:t>,</w:t>
      </w:r>
    </w:p>
    <w:p w14:paraId="10BB44BC" w14:textId="77777777" w:rsidR="005F4965" w:rsidRPr="009659F4" w:rsidRDefault="005F4965" w:rsidP="005F4965">
      <w:pPr>
        <w:pStyle w:val="NormalHanging12a"/>
        <w:widowControl/>
      </w:pPr>
      <w:r w:rsidRPr="009659F4">
        <w:t>–</w:t>
      </w:r>
      <w:r w:rsidRPr="009659F4">
        <w:tab/>
        <w:t>Visto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(D102174/03),</w:t>
      </w:r>
    </w:p>
    <w:p w14:paraId="7B4896D7" w14:textId="77777777" w:rsidR="005F4965" w:rsidRPr="009659F4" w:rsidRDefault="005F4965" w:rsidP="005F4965">
      <w:pPr>
        <w:pStyle w:val="NormalHanging12a"/>
        <w:widowControl/>
        <w:rPr>
          <w:szCs w:val="24"/>
        </w:rPr>
      </w:pPr>
      <w:r w:rsidRPr="009659F4">
        <w:t>–</w:t>
      </w:r>
      <w:r w:rsidRPr="009659F4">
        <w:tab/>
        <w:t>Visto el Reglamento (CE) n.º 1829/2003 del Parlamento Europeo y del Consejo, de 22 de septiembre de 2003, sobre alimentos y piensos modificados genéticamente</w:t>
      </w:r>
      <w:r w:rsidRPr="009659F4">
        <w:rPr>
          <w:rStyle w:val="FootnoteReference"/>
          <w:szCs w:val="24"/>
        </w:rPr>
        <w:footnoteReference w:id="1"/>
      </w:r>
      <w:r w:rsidRPr="009659F4">
        <w:t>, y en particular su artículo 7, apartado 3, y su artículo 19, apartado 3,</w:t>
      </w:r>
    </w:p>
    <w:p w14:paraId="2ACFBF4D" w14:textId="77777777" w:rsidR="005F4965" w:rsidRPr="009659F4" w:rsidRDefault="005F4965" w:rsidP="005F4965">
      <w:pPr>
        <w:pStyle w:val="NormalHanging12a"/>
        <w:widowControl/>
        <w:rPr>
          <w:szCs w:val="24"/>
        </w:rPr>
      </w:pPr>
      <w:r w:rsidRPr="009659F4">
        <w:t>–</w:t>
      </w:r>
      <w:r w:rsidRPr="009659F4">
        <w:tab/>
        <w:t>Vistas la votación del 22 de noviembre de 2024 en el Comité Permanente de Vegetales, Animales, Alimentos y Piensos al que se refiere el artículo 35 del Reglamento (CE) n.º 1829/2003, en la que no se emitió dictamen, y la votación del 17 de diciembre de 2024 en el Comité de Apelación, en la que tampoco se emitió dictamen,</w:t>
      </w:r>
    </w:p>
    <w:p w14:paraId="7EEAB6EC" w14:textId="77777777" w:rsidR="005F4965" w:rsidRPr="009659F4" w:rsidRDefault="005F4965" w:rsidP="005F4965">
      <w:pPr>
        <w:pStyle w:val="NormalHanging12a"/>
        <w:widowControl/>
        <w:rPr>
          <w:szCs w:val="24"/>
        </w:rPr>
      </w:pPr>
      <w:r w:rsidRPr="009659F4">
        <w:t>–</w:t>
      </w:r>
      <w:r w:rsidRPr="009659F4">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9659F4">
        <w:rPr>
          <w:rStyle w:val="FootnoteReference"/>
          <w:szCs w:val="24"/>
        </w:rPr>
        <w:footnoteReference w:id="2"/>
      </w:r>
      <w:r w:rsidRPr="009659F4">
        <w:t>,</w:t>
      </w:r>
    </w:p>
    <w:p w14:paraId="0D7886A8" w14:textId="77777777" w:rsidR="005F4965" w:rsidRPr="009659F4" w:rsidRDefault="005F4965" w:rsidP="005F4965">
      <w:pPr>
        <w:pStyle w:val="NormalHanging12a"/>
        <w:widowControl/>
        <w:rPr>
          <w:szCs w:val="24"/>
        </w:rPr>
      </w:pPr>
      <w:r w:rsidRPr="009659F4">
        <w:t>–</w:t>
      </w:r>
      <w:r w:rsidRPr="009659F4">
        <w:tab/>
        <w:t>Visto el dictamen adoptado por la Autoridad Europea de Seguridad Alimentaria (EFSA) el 19 de junio de 2024 y publicado el 1 de agosto de 2024</w:t>
      </w:r>
      <w:r w:rsidRPr="009659F4">
        <w:rPr>
          <w:rStyle w:val="FootnoteReference"/>
          <w:szCs w:val="24"/>
        </w:rPr>
        <w:footnoteReference w:id="3"/>
      </w:r>
      <w:r w:rsidRPr="009659F4">
        <w:t>,</w:t>
      </w:r>
    </w:p>
    <w:p w14:paraId="63D28584" w14:textId="77777777" w:rsidR="005F4965" w:rsidRPr="009659F4" w:rsidRDefault="005F4965" w:rsidP="005F4965">
      <w:pPr>
        <w:pStyle w:val="NormalHanging12a"/>
        <w:widowControl/>
        <w:rPr>
          <w:szCs w:val="24"/>
        </w:rPr>
      </w:pPr>
      <w:r w:rsidRPr="009659F4">
        <w:lastRenderedPageBreak/>
        <w:t>–</w:t>
      </w:r>
      <w:r w:rsidRPr="009659F4">
        <w:tab/>
      </w:r>
      <w:r w:rsidRPr="009659F4">
        <w:rPr>
          <w:shd w:val="clear" w:color="auto" w:fill="FFFFFF"/>
        </w:rPr>
        <w:t>Vistas sus anteriores Resoluciones de oposición a la autorización de organismos modificados genéticamente (en lo sucesivo, «OMG»)</w:t>
      </w:r>
      <w:r w:rsidRPr="009659F4">
        <w:rPr>
          <w:rStyle w:val="FootnoteReference"/>
          <w:szCs w:val="24"/>
          <w:shd w:val="clear" w:color="auto" w:fill="FFFFFF"/>
        </w:rPr>
        <w:footnoteReference w:id="4"/>
      </w:r>
      <w:r w:rsidRPr="009659F4">
        <w:rPr>
          <w:shd w:val="clear" w:color="auto" w:fill="FFFFFF"/>
        </w:rPr>
        <w:t>,</w:t>
      </w:r>
    </w:p>
    <w:p w14:paraId="1E58F26B" w14:textId="77777777" w:rsidR="005F4965" w:rsidRPr="009659F4" w:rsidRDefault="005F4965" w:rsidP="005F4965">
      <w:pPr>
        <w:pStyle w:val="NormalHanging12a"/>
        <w:widowControl/>
        <w:rPr>
          <w:szCs w:val="24"/>
        </w:rPr>
      </w:pPr>
      <w:r w:rsidRPr="009659F4">
        <w:t>–</w:t>
      </w:r>
      <w:r w:rsidRPr="009659F4">
        <w:tab/>
        <w:t>Visto el artículo 115, apartados 2 y 3, de su Reglamento interno,</w:t>
      </w:r>
    </w:p>
    <w:p w14:paraId="5558C810" w14:textId="77777777" w:rsidR="005F4965" w:rsidRPr="009659F4" w:rsidRDefault="005F4965" w:rsidP="005F4965">
      <w:pPr>
        <w:pStyle w:val="NormalHanging12a"/>
        <w:widowControl/>
        <w:rPr>
          <w:szCs w:val="24"/>
        </w:rPr>
      </w:pPr>
      <w:r w:rsidRPr="009659F4">
        <w:lastRenderedPageBreak/>
        <w:t>–</w:t>
      </w:r>
      <w:r w:rsidRPr="009659F4">
        <w:tab/>
        <w:t xml:space="preserve">Vista la propuesta de Resolución de la Comisión de Medio Ambiente, </w:t>
      </w:r>
      <w:r w:rsidR="003426A0" w:rsidRPr="009659F4">
        <w:t>Clima</w:t>
      </w:r>
      <w:r w:rsidRPr="009659F4">
        <w:t xml:space="preserve"> y Seguridad Alimentaria,</w:t>
      </w:r>
    </w:p>
    <w:p w14:paraId="49FFFBCF" w14:textId="77777777" w:rsidR="005F4965" w:rsidRPr="009659F4" w:rsidRDefault="005F4965" w:rsidP="005F4965">
      <w:pPr>
        <w:pStyle w:val="NormalHanging12a"/>
        <w:widowControl/>
        <w:rPr>
          <w:szCs w:val="24"/>
        </w:rPr>
      </w:pPr>
      <w:r w:rsidRPr="009659F4">
        <w:t>A.</w:t>
      </w:r>
      <w:r w:rsidRPr="009659F4">
        <w:tab/>
        <w:t xml:space="preserve">Considerando que, el 27 de junio de 2022, </w:t>
      </w:r>
      <w:proofErr w:type="spellStart"/>
      <w:r w:rsidRPr="009659F4">
        <w:t>Corteva</w:t>
      </w:r>
      <w:proofErr w:type="spellEnd"/>
      <w:r w:rsidRPr="009659F4">
        <w:t xml:space="preserve"> </w:t>
      </w:r>
      <w:proofErr w:type="spellStart"/>
      <w:r w:rsidRPr="009659F4">
        <w:t>Agriscience</w:t>
      </w:r>
      <w:proofErr w:type="spellEnd"/>
      <w:r w:rsidRPr="009659F4">
        <w:t xml:space="preserve"> </w:t>
      </w:r>
      <w:proofErr w:type="spellStart"/>
      <w:r w:rsidRPr="009659F4">
        <w:t>Belgium</w:t>
      </w:r>
      <w:proofErr w:type="spellEnd"/>
      <w:r w:rsidRPr="009659F4">
        <w:t xml:space="preserve"> B.V., con sede en Bélgica, en nombre de </w:t>
      </w:r>
      <w:proofErr w:type="spellStart"/>
      <w:r w:rsidRPr="009659F4">
        <w:t>Corteva</w:t>
      </w:r>
      <w:proofErr w:type="spellEnd"/>
      <w:r w:rsidRPr="009659F4">
        <w:t xml:space="preserve"> </w:t>
      </w:r>
      <w:proofErr w:type="spellStart"/>
      <w:r w:rsidRPr="009659F4">
        <w:t>Agriscience</w:t>
      </w:r>
      <w:proofErr w:type="spellEnd"/>
      <w:r w:rsidRPr="009659F4">
        <w:t xml:space="preserve"> LLC, con sede en los Estados Unidos, presentó a la autoridad nacional competente de los Países Bajos una solicitud de comercialización de alimentos, ingredientes alimentarios y piensos que contienen, se componen o se han producido a partir de maíz modificado genéticamente DP910521 (en lo sucesivo, «maíz modificado genéticamente»);</w:t>
      </w:r>
    </w:p>
    <w:p w14:paraId="7C6C008C" w14:textId="77777777" w:rsidR="005F4965" w:rsidRPr="009659F4" w:rsidRDefault="005F4965" w:rsidP="005F4965">
      <w:pPr>
        <w:pStyle w:val="NormalHanging12a"/>
        <w:widowControl/>
        <w:rPr>
          <w:szCs w:val="24"/>
        </w:rPr>
      </w:pPr>
      <w:r w:rsidRPr="009659F4">
        <w:t>B.</w:t>
      </w:r>
      <w:r w:rsidRPr="009659F4">
        <w:tab/>
        <w:t xml:space="preserve">Considerando que el maíz modificado genéticamente produce la toxina Cry1B.34 y es resistente al herbicida </w:t>
      </w:r>
      <w:proofErr w:type="spellStart"/>
      <w:r w:rsidRPr="009659F4">
        <w:t>glufosinato</w:t>
      </w:r>
      <w:proofErr w:type="spellEnd"/>
      <w:r w:rsidRPr="009659F4">
        <w:t>;</w:t>
      </w:r>
    </w:p>
    <w:p w14:paraId="565DFE95" w14:textId="77777777" w:rsidR="005F4965" w:rsidRPr="009659F4" w:rsidRDefault="005F4965" w:rsidP="005F4965">
      <w:pPr>
        <w:pStyle w:val="NormalHanging12a"/>
        <w:keepNext/>
        <w:widowControl/>
        <w:tabs>
          <w:tab w:val="left" w:pos="0"/>
        </w:tabs>
        <w:suppressAutoHyphens/>
        <w:rPr>
          <w:szCs w:val="24"/>
        </w:rPr>
      </w:pPr>
      <w:r w:rsidRPr="009659F4">
        <w:t>C.</w:t>
      </w:r>
      <w:r w:rsidRPr="009659F4">
        <w:tab/>
        <w:t xml:space="preserve">Considerando que el </w:t>
      </w:r>
      <w:proofErr w:type="spellStart"/>
      <w:r w:rsidRPr="009659F4">
        <w:t>glufosinato</w:t>
      </w:r>
      <w:proofErr w:type="spellEnd"/>
      <w:r w:rsidRPr="009659F4">
        <w:t xml:space="preserve"> está clasificado como sustancia tóxica para la reproducción de categoría 1B y, por lo tanto, cumple los «criterios de exclusión» establecidos en el Reglamento (CE) n.º 1107/2009 del Parlamento Europeo y del Consejo</w:t>
      </w:r>
      <w:r w:rsidRPr="009659F4">
        <w:rPr>
          <w:rStyle w:val="FootnoteReference"/>
          <w:szCs w:val="24"/>
        </w:rPr>
        <w:footnoteReference w:id="5"/>
      </w:r>
      <w:r w:rsidRPr="009659F4">
        <w:t xml:space="preserve">; que la aprobación del </w:t>
      </w:r>
      <w:proofErr w:type="spellStart"/>
      <w:r w:rsidRPr="009659F4">
        <w:t>glufosinato</w:t>
      </w:r>
      <w:proofErr w:type="spellEnd"/>
      <w:r w:rsidRPr="009659F4">
        <w:t xml:space="preserve"> para su uso en la Unión venció el 31 de julio de 2018;</w:t>
      </w:r>
    </w:p>
    <w:p w14:paraId="6EFC808E" w14:textId="77777777" w:rsidR="005F4965" w:rsidRPr="009659F4" w:rsidRDefault="005F4965" w:rsidP="005F4965">
      <w:pPr>
        <w:pStyle w:val="NormalHanging12a"/>
        <w:widowControl/>
        <w:tabs>
          <w:tab w:val="left" w:pos="0"/>
        </w:tabs>
        <w:suppressAutoHyphens/>
        <w:rPr>
          <w:szCs w:val="24"/>
        </w:rPr>
      </w:pPr>
      <w:r w:rsidRPr="009659F4">
        <w:t>D.</w:t>
      </w:r>
      <w:r w:rsidRPr="009659F4">
        <w:tab/>
        <w:t>Considerando que Cry1B.34 es una proteína de fusión sintética que combina Cry1B, Cry1Ca1 y Cry9Db1, diseñada para conferir resistencia contra las plagas de lepidópteros, sin que se haya demostrado su especificidad para las especies objetivo;</w:t>
      </w:r>
    </w:p>
    <w:p w14:paraId="67DCAD09" w14:textId="77777777" w:rsidR="005F4965" w:rsidRPr="009659F4" w:rsidRDefault="005F4965" w:rsidP="005F4965">
      <w:pPr>
        <w:pStyle w:val="NormalHanging12a"/>
        <w:widowControl/>
        <w:tabs>
          <w:tab w:val="left" w:pos="0"/>
        </w:tabs>
        <w:suppressAutoHyphens/>
        <w:rPr>
          <w:szCs w:val="24"/>
        </w:rPr>
      </w:pPr>
      <w:r w:rsidRPr="009659F4">
        <w:t>E.</w:t>
      </w:r>
      <w:r w:rsidRPr="009659F4">
        <w:tab/>
        <w:t xml:space="preserve">Considerando que la modificación genética incluye un proceso de dos fases que utiliza CRISPR/Cas9 para insertar una «pista de aterrizaje» que posteriormente se bombardea con </w:t>
      </w:r>
      <w:proofErr w:type="spellStart"/>
      <w:r w:rsidRPr="009659F4">
        <w:t>microproyectiles</w:t>
      </w:r>
      <w:proofErr w:type="spellEnd"/>
      <w:r w:rsidRPr="009659F4">
        <w:t xml:space="preserve"> para la inserción de casetes génicos;</w:t>
      </w:r>
    </w:p>
    <w:p w14:paraId="17E73060" w14:textId="77777777" w:rsidR="005F4965" w:rsidRPr="009659F4" w:rsidRDefault="005F4965" w:rsidP="005F4965">
      <w:pPr>
        <w:pStyle w:val="NormalHanging12a"/>
        <w:widowControl/>
        <w:rPr>
          <w:b/>
          <w:i/>
          <w:szCs w:val="24"/>
        </w:rPr>
      </w:pPr>
      <w:r w:rsidRPr="009659F4">
        <w:rPr>
          <w:b/>
          <w:i/>
        </w:rPr>
        <w:t>Falta de evaluación del herbicida complementario</w:t>
      </w:r>
    </w:p>
    <w:p w14:paraId="1B37A141" w14:textId="77777777" w:rsidR="005F4965" w:rsidRPr="009659F4" w:rsidRDefault="005F4965" w:rsidP="005F4965">
      <w:pPr>
        <w:pStyle w:val="NormalHanging12a"/>
        <w:widowControl/>
        <w:tabs>
          <w:tab w:val="left" w:pos="0"/>
        </w:tabs>
        <w:suppressAutoHyphens/>
        <w:rPr>
          <w:szCs w:val="24"/>
        </w:rPr>
      </w:pPr>
      <w:r w:rsidRPr="009659F4">
        <w:t>F.</w:t>
      </w:r>
      <w:r w:rsidRPr="009659F4">
        <w:tab/>
        <w:t>Considerando que el Reglamento de Ejecución (UE) n.º 503/2013</w:t>
      </w:r>
      <w:r w:rsidRPr="009659F4">
        <w:rPr>
          <w:rStyle w:val="FootnoteReference"/>
          <w:szCs w:val="24"/>
        </w:rPr>
        <w:footnoteReference w:id="6"/>
      </w:r>
      <w:r w:rsidRPr="009659F4">
        <w:t xml:space="preserve"> de la Comisión exige evaluar si las prácticas agrícolas previstas influyen en la expresión de los efectos finales estudiados; que, con arreglo a dicho Reglamento de Ejecución, esta evaluación es especialmente pertinente en el caso de plantas resistentes a los herbicidas;</w:t>
      </w:r>
    </w:p>
    <w:p w14:paraId="4031EDF1" w14:textId="77777777" w:rsidR="005F4965" w:rsidRPr="009659F4" w:rsidRDefault="005F4965" w:rsidP="005F4965">
      <w:pPr>
        <w:pStyle w:val="NormalHanging12a"/>
        <w:widowControl/>
        <w:tabs>
          <w:tab w:val="left" w:pos="0"/>
        </w:tabs>
        <w:suppressAutoHyphens/>
        <w:rPr>
          <w:szCs w:val="24"/>
        </w:rPr>
      </w:pPr>
      <w:r w:rsidRPr="009659F4">
        <w:t>G.</w:t>
      </w:r>
      <w:r w:rsidRPr="009659F4">
        <w:tab/>
        <w:t xml:space="preserve">Considerando que la gran mayoría de los cultivos modificados genéticamente lo han sido para hacerlos tolerantes a uno o varios herbicidas «complementarios» que pueden utilizarse durante todo el cultivo de la planta modificada genéticamente, sin que esta muera, como sucedería con una planta no tolerante a los herbicidas; que diversos estudios han demostrado que en los cultivos modificados genéticamente resistentes a los </w:t>
      </w:r>
      <w:r w:rsidRPr="009659F4">
        <w:lastRenderedPageBreak/>
        <w:t>herbicidas se hace un mayor uso de herbicidas complementarios, debido en gran parte a la aparición de malas hierbas resistentes a los herbicidas</w:t>
      </w:r>
      <w:r w:rsidRPr="009659F4">
        <w:rPr>
          <w:rStyle w:val="FootnoteReference"/>
          <w:szCs w:val="24"/>
        </w:rPr>
        <w:footnoteReference w:id="7"/>
      </w:r>
      <w:r w:rsidRPr="009659F4">
        <w:t>;</w:t>
      </w:r>
    </w:p>
    <w:p w14:paraId="5681FA49" w14:textId="77777777" w:rsidR="005F4965" w:rsidRPr="009659F4" w:rsidRDefault="005F4965" w:rsidP="005F4965">
      <w:pPr>
        <w:pStyle w:val="NormalHanging12a"/>
        <w:widowControl/>
        <w:tabs>
          <w:tab w:val="left" w:pos="0"/>
        </w:tabs>
        <w:suppressAutoHyphens/>
        <w:rPr>
          <w:szCs w:val="24"/>
        </w:rPr>
      </w:pPr>
      <w:r w:rsidRPr="009659F4">
        <w:t>H.</w:t>
      </w:r>
      <w:r w:rsidRPr="009659F4">
        <w:tab/>
        <w:t>Considerando que los cultivos modificados genéticamente resistentes a los herbicidas atrapan a los agricultores en un sistema de gestión de las malas hierbas que depende en gran medida o en su totalidad de los herbicidas, ya que se cobra un suplemento por las semillas modificadas genéticamente que solo puede justificarse si los agricultores que las adquieren también fumigan con el herbicida complementario; que una mayor dependencia de los herbicidas complementarios en las explotaciones de cultivos modificados genéticamente acelera la aparición y propagación de malas hierbas resistentes a esos herbicidas, lo que genera la necesidad de un uso aún mayor de herbicidas, en lo que se conoce como «círculo vicioso de los herbicidas»;</w:t>
      </w:r>
    </w:p>
    <w:p w14:paraId="536BA426" w14:textId="77777777" w:rsidR="005F4965" w:rsidRPr="009659F4" w:rsidRDefault="005F4965" w:rsidP="005F4965">
      <w:pPr>
        <w:pStyle w:val="NormalHanging12a"/>
        <w:widowControl/>
        <w:tabs>
          <w:tab w:val="left" w:pos="0"/>
        </w:tabs>
        <w:suppressAutoHyphens/>
        <w:rPr>
          <w:szCs w:val="24"/>
        </w:rPr>
      </w:pPr>
      <w:r w:rsidRPr="009659F4">
        <w:t>I.</w:t>
      </w:r>
      <w:r w:rsidRPr="009659F4">
        <w:tab/>
        <w:t>Considerando que los efectos adversos derivados de una dependencia excesiva de los herbicidas empeorarán la salud del suelo, la calidad del agua y la biodiversidad sobre el suelo y debajo de este, y darán lugar a una mayor exposición humana y animal, posiblemente también a través del aumento de los residuos de herbicidas en los alimentos y los piensos;</w:t>
      </w:r>
    </w:p>
    <w:p w14:paraId="638539A4" w14:textId="77777777" w:rsidR="005F4965" w:rsidRPr="009659F4" w:rsidRDefault="005F4965" w:rsidP="005F4965">
      <w:pPr>
        <w:pStyle w:val="NormalHanging12a"/>
        <w:widowControl/>
        <w:tabs>
          <w:tab w:val="left" w:pos="0"/>
        </w:tabs>
        <w:suppressAutoHyphens/>
        <w:rPr>
          <w:szCs w:val="24"/>
        </w:rPr>
      </w:pPr>
      <w:r w:rsidRPr="009659F4">
        <w:t>J.</w:t>
      </w:r>
      <w:r w:rsidRPr="009659F4">
        <w:tab/>
        <w:t>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OMG;</w:t>
      </w:r>
    </w:p>
    <w:p w14:paraId="090141BE" w14:textId="77777777" w:rsidR="005F4965" w:rsidRPr="009659F4" w:rsidRDefault="005F4965" w:rsidP="005F4965">
      <w:pPr>
        <w:pStyle w:val="NormalHanging12a"/>
        <w:widowControl/>
        <w:rPr>
          <w:b/>
          <w:i/>
          <w:szCs w:val="24"/>
        </w:rPr>
      </w:pPr>
      <w:r w:rsidRPr="009659F4">
        <w:rPr>
          <w:b/>
          <w:i/>
        </w:rPr>
        <w:t xml:space="preserve">Cuestiones pendientes relativas a las toxinas </w:t>
      </w:r>
      <w:proofErr w:type="spellStart"/>
      <w:r w:rsidRPr="009659F4">
        <w:rPr>
          <w:b/>
          <w:i/>
        </w:rPr>
        <w:t>Bt</w:t>
      </w:r>
      <w:proofErr w:type="spellEnd"/>
    </w:p>
    <w:p w14:paraId="1043BE7D" w14:textId="77777777" w:rsidR="005F4965" w:rsidRPr="009659F4" w:rsidRDefault="005F4965" w:rsidP="005F4965">
      <w:pPr>
        <w:pStyle w:val="NormalHanging12a"/>
        <w:widowControl/>
        <w:tabs>
          <w:tab w:val="left" w:pos="0"/>
        </w:tabs>
        <w:suppressAutoHyphens/>
        <w:rPr>
          <w:szCs w:val="24"/>
        </w:rPr>
      </w:pPr>
      <w:r w:rsidRPr="009659F4">
        <w:t>K.</w:t>
      </w:r>
      <w:r w:rsidRPr="009659F4">
        <w:tab/>
        <w:t>Considerando que hay varios estudios en los que se han observado posibles efectos secundarios en el sistema inmunitario por la exposición a toxinas </w:t>
      </w:r>
      <w:proofErr w:type="spellStart"/>
      <w:r w:rsidRPr="009659F4">
        <w:t>Bt</w:t>
      </w:r>
      <w:proofErr w:type="spellEnd"/>
      <w:r w:rsidRPr="009659F4">
        <w:t xml:space="preserve"> y que algunas de dichas toxinas pueden tener propiedades adyuvantes</w:t>
      </w:r>
      <w:r w:rsidRPr="009659F4">
        <w:rPr>
          <w:rStyle w:val="FootnoteReference"/>
          <w:szCs w:val="24"/>
        </w:rPr>
        <w:footnoteReference w:id="8"/>
      </w:r>
      <w:r w:rsidRPr="009659F4">
        <w:t>, lo que significa que pueden aumentar la capacidad alergénica de otras proteínas con las que entren en contacto;</w:t>
      </w:r>
    </w:p>
    <w:p w14:paraId="11EF7830" w14:textId="77777777" w:rsidR="005F4965" w:rsidRPr="009659F4" w:rsidRDefault="005F4965" w:rsidP="005F4965">
      <w:pPr>
        <w:pStyle w:val="NormalHanging12a"/>
        <w:widowControl/>
        <w:tabs>
          <w:tab w:val="left" w:pos="0"/>
        </w:tabs>
        <w:suppressAutoHyphens/>
        <w:rPr>
          <w:szCs w:val="24"/>
        </w:rPr>
      </w:pPr>
      <w:r w:rsidRPr="009659F4">
        <w:lastRenderedPageBreak/>
        <w:t>L.</w:t>
      </w:r>
      <w:r w:rsidRPr="009659F4">
        <w:tab/>
        <w:t xml:space="preserve">Considerando que en un estudio científico se constató que la toxicidad de las toxinas </w:t>
      </w:r>
      <w:proofErr w:type="spellStart"/>
      <w:r w:rsidRPr="009659F4">
        <w:t>Bt</w:t>
      </w:r>
      <w:proofErr w:type="spellEnd"/>
      <w:r w:rsidRPr="009659F4">
        <w:t xml:space="preserve"> también puede aumentar por la interacción con los residuos de la pulverización con herbicidas y que se necesitan más estudios sobre los efectos combinatorios de los eventos «acumulados» (cultivos modificados genéticamente que han sido modificados para ser tolerantes a herbicidas y producir insecticidas en forma de toxinas </w:t>
      </w:r>
      <w:proofErr w:type="spellStart"/>
      <w:r w:rsidRPr="009659F4">
        <w:t>Bt</w:t>
      </w:r>
      <w:proofErr w:type="spellEnd"/>
      <w:r w:rsidRPr="009659F4">
        <w:t>)</w:t>
      </w:r>
      <w:r w:rsidRPr="009659F4">
        <w:rPr>
          <w:rStyle w:val="FootnoteReference"/>
          <w:szCs w:val="24"/>
        </w:rPr>
        <w:footnoteReference w:id="9"/>
      </w:r>
      <w:r w:rsidRPr="009659F4">
        <w:t>; que, sin embargo, la evaluación de la posible interacción de los residuos de herbicidas y sus metabolitos con las toxinas </w:t>
      </w:r>
      <w:proofErr w:type="spellStart"/>
      <w:r w:rsidRPr="009659F4">
        <w:t>Bt</w:t>
      </w:r>
      <w:proofErr w:type="spellEnd"/>
      <w:r w:rsidRPr="009659F4">
        <w:t xml:space="preserve"> se considera excluida de las competencias de la Comisión Técnica de Organismos Modificados Genéticamente de la EFSA y, por consiguiente, no forma parte de la evaluación del riesgo;</w:t>
      </w:r>
    </w:p>
    <w:p w14:paraId="2AE27473" w14:textId="77777777" w:rsidR="005F4965" w:rsidRPr="009659F4" w:rsidRDefault="005F4965" w:rsidP="005F4965">
      <w:pPr>
        <w:pStyle w:val="NormalHanging12a"/>
        <w:widowControl/>
        <w:rPr>
          <w:b/>
          <w:i/>
          <w:szCs w:val="24"/>
        </w:rPr>
      </w:pPr>
      <w:r w:rsidRPr="009659F4">
        <w:rPr>
          <w:b/>
          <w:i/>
        </w:rPr>
        <w:t xml:space="preserve">Cultivos </w:t>
      </w:r>
      <w:proofErr w:type="spellStart"/>
      <w:r w:rsidRPr="009659F4">
        <w:rPr>
          <w:b/>
          <w:i/>
        </w:rPr>
        <w:t>Bt</w:t>
      </w:r>
      <w:proofErr w:type="spellEnd"/>
      <w:r w:rsidRPr="009659F4">
        <w:rPr>
          <w:b/>
          <w:i/>
        </w:rPr>
        <w:t>: efectos en organismos no objetivo</w:t>
      </w:r>
    </w:p>
    <w:p w14:paraId="4C9A1D4B" w14:textId="77777777" w:rsidR="005F4965" w:rsidRPr="009659F4" w:rsidRDefault="005F4965" w:rsidP="005F4965">
      <w:pPr>
        <w:pStyle w:val="NormalHanging12a"/>
        <w:widowControl/>
        <w:tabs>
          <w:tab w:val="left" w:pos="0"/>
        </w:tabs>
        <w:suppressAutoHyphens/>
        <w:rPr>
          <w:szCs w:val="24"/>
        </w:rPr>
      </w:pPr>
      <w:r w:rsidRPr="009659F4">
        <w:t>M.</w:t>
      </w:r>
      <w:r w:rsidRPr="009659F4">
        <w:tab/>
        <w:t xml:space="preserve">Considerando que, a diferencia de lo que ocurre con el uso de insecticidas —donde la exposición se produce en el momento de la pulverización y durante un período posterior limitado—, el uso de cultivos genéticamente modificados </w:t>
      </w:r>
      <w:proofErr w:type="spellStart"/>
      <w:r w:rsidRPr="009659F4">
        <w:t>Bt</w:t>
      </w:r>
      <w:proofErr w:type="spellEnd"/>
      <w:r w:rsidRPr="009659F4">
        <w:t xml:space="preserve"> da lugar a una exposición continua de los organismos objetivo y no objetivo a las toxinas </w:t>
      </w:r>
      <w:proofErr w:type="spellStart"/>
      <w:r w:rsidRPr="009659F4">
        <w:t>Bt</w:t>
      </w:r>
      <w:proofErr w:type="spellEnd"/>
      <w:r w:rsidRPr="009659F4">
        <w:t>;</w:t>
      </w:r>
    </w:p>
    <w:p w14:paraId="4F62A4F4" w14:textId="77777777" w:rsidR="005F4965" w:rsidRPr="009659F4" w:rsidRDefault="005F4965" w:rsidP="005F4965">
      <w:pPr>
        <w:pStyle w:val="NormalHanging12a"/>
        <w:widowControl/>
        <w:tabs>
          <w:tab w:val="left" w:pos="0"/>
        </w:tabs>
        <w:suppressAutoHyphens/>
        <w:rPr>
          <w:szCs w:val="24"/>
        </w:rPr>
      </w:pPr>
      <w:r w:rsidRPr="009659F4">
        <w:t>N.</w:t>
      </w:r>
      <w:r w:rsidRPr="009659F4">
        <w:tab/>
        <w:t xml:space="preserve">Considerando que ya no puede considerarse correcta la hipótesis de que las toxinas </w:t>
      </w:r>
      <w:proofErr w:type="spellStart"/>
      <w:r w:rsidRPr="009659F4">
        <w:t>Bt</w:t>
      </w:r>
      <w:proofErr w:type="spellEnd"/>
      <w:r w:rsidRPr="009659F4">
        <w:t xml:space="preserve"> tengan un único modo de acción específico para los organismos objetivo y que no puede descartarse la existencia de efectos sobre organismos no objetivo; que se ha informado de que un número cada vez mayor de organismos no objetivo se ven afectados de muchas maneras;</w:t>
      </w:r>
    </w:p>
    <w:p w14:paraId="165F1543" w14:textId="77777777" w:rsidR="005F4965" w:rsidRPr="009659F4" w:rsidRDefault="005F4965" w:rsidP="005F4965">
      <w:pPr>
        <w:pStyle w:val="NormalHanging12a"/>
        <w:widowControl/>
        <w:rPr>
          <w:b/>
          <w:i/>
          <w:szCs w:val="24"/>
        </w:rPr>
      </w:pPr>
      <w:r w:rsidRPr="009659F4">
        <w:rPr>
          <w:b/>
          <w:i/>
        </w:rPr>
        <w:t>Observaciones de los Estados miembros y de las partes interesadas</w:t>
      </w:r>
    </w:p>
    <w:p w14:paraId="58BF5F0A" w14:textId="77777777" w:rsidR="005F4965" w:rsidRPr="009659F4" w:rsidRDefault="005F4965" w:rsidP="005F4965">
      <w:pPr>
        <w:pStyle w:val="NormalHanging12a"/>
        <w:widowControl/>
        <w:tabs>
          <w:tab w:val="left" w:pos="0"/>
        </w:tabs>
        <w:suppressAutoHyphens/>
        <w:rPr>
          <w:szCs w:val="24"/>
        </w:rPr>
      </w:pPr>
      <w:r w:rsidRPr="009659F4">
        <w:t>O.</w:t>
      </w:r>
      <w:r w:rsidRPr="009659F4">
        <w:tab/>
        <w:t>Considerando que los Estados miembros presentaron numerosas observaciones críticas a la EFSA durante el período de consulta de tres meses</w:t>
      </w:r>
      <w:r w:rsidRPr="009659F4">
        <w:rPr>
          <w:rStyle w:val="FootnoteReference"/>
          <w:szCs w:val="24"/>
        </w:rPr>
        <w:footnoteReference w:id="10"/>
      </w:r>
      <w:r w:rsidRPr="009659F4">
        <w:t xml:space="preserve"> y, en particular, observaron que la lista de estudios pertinentes, identificada en la revisión bibliográfica del solicitante, no incluía estudios sobre el destino de las proteínas </w:t>
      </w:r>
      <w:proofErr w:type="spellStart"/>
      <w:r w:rsidRPr="009659F4">
        <w:t>Bt</w:t>
      </w:r>
      <w:proofErr w:type="spellEnd"/>
      <w:r w:rsidRPr="009659F4">
        <w:t xml:space="preserve"> en el medio ambiente ni sobre los posibles efectos de los residuos de cultivos </w:t>
      </w:r>
      <w:proofErr w:type="spellStart"/>
      <w:r w:rsidRPr="009659F4">
        <w:t>Bt</w:t>
      </w:r>
      <w:proofErr w:type="spellEnd"/>
      <w:r w:rsidRPr="009659F4">
        <w:t xml:space="preserve"> en organismos no objetivo, a pesar de que existen tales estudios; </w:t>
      </w:r>
    </w:p>
    <w:p w14:paraId="40ADE936" w14:textId="77777777" w:rsidR="005F4965" w:rsidRPr="009659F4" w:rsidRDefault="005F4965" w:rsidP="005F4965">
      <w:pPr>
        <w:pStyle w:val="NormalHanging12a"/>
        <w:widowControl/>
        <w:tabs>
          <w:tab w:val="left" w:pos="0"/>
        </w:tabs>
        <w:suppressAutoHyphens/>
        <w:rPr>
          <w:szCs w:val="24"/>
        </w:rPr>
      </w:pPr>
      <w:bookmarkStart w:id="7" w:name="_GoBack_Copy_1"/>
      <w:bookmarkEnd w:id="7"/>
      <w:r w:rsidRPr="009659F4">
        <w:t>P.</w:t>
      </w:r>
      <w:r w:rsidRPr="009659F4">
        <w:tab/>
        <w:t>Considerando que los ensayos de campo realizados para el análisis composicional y fenotípico del maíz modificado genéticamente no tuvieron en cuenta las diversas condiciones medioambientales y los antecedentes genéticos pertinentes para su cultivo, en particular en países como Brasil;</w:t>
      </w:r>
    </w:p>
    <w:p w14:paraId="6AD889A4" w14:textId="77777777" w:rsidR="005F4965" w:rsidRPr="009659F4" w:rsidRDefault="005F4965" w:rsidP="005F4965">
      <w:pPr>
        <w:pStyle w:val="NormalHanging12a"/>
        <w:widowControl/>
        <w:tabs>
          <w:tab w:val="left" w:pos="0"/>
        </w:tabs>
        <w:suppressAutoHyphens/>
        <w:rPr>
          <w:szCs w:val="24"/>
        </w:rPr>
      </w:pPr>
      <w:r w:rsidRPr="009659F4">
        <w:t>Q.</w:t>
      </w:r>
      <w:r w:rsidRPr="009659F4">
        <w:tab/>
        <w:t>Considerando que la evaluación de la toxicidad de Cry1B.34 no tiene en cuenta los efectos combinatorios ni con componentes vegetales ni con residuos de aplicaciones de herbicidas;</w:t>
      </w:r>
    </w:p>
    <w:p w14:paraId="10254E4B" w14:textId="77777777" w:rsidR="005F4965" w:rsidRPr="009659F4" w:rsidRDefault="005F4965" w:rsidP="005F4965">
      <w:pPr>
        <w:pStyle w:val="NormalHanging12a"/>
        <w:widowControl/>
        <w:tabs>
          <w:tab w:val="left" w:pos="0"/>
        </w:tabs>
        <w:suppressAutoHyphens/>
        <w:rPr>
          <w:szCs w:val="24"/>
        </w:rPr>
      </w:pPr>
      <w:r w:rsidRPr="009659F4">
        <w:lastRenderedPageBreak/>
        <w:t>R.</w:t>
      </w:r>
      <w:r w:rsidRPr="009659F4">
        <w:tab/>
        <w:t xml:space="preserve">Considerando que el </w:t>
      </w:r>
      <w:proofErr w:type="spellStart"/>
      <w:r w:rsidRPr="009659F4">
        <w:t>glufosinato</w:t>
      </w:r>
      <w:proofErr w:type="spellEnd"/>
      <w:r w:rsidRPr="009659F4">
        <w:t>, el herbicida complementario, está asociado a riesgos significativos para la biodiversidad, la calidad del suelo y del agua y la salud de los ecosistemas a largo plazo;</w:t>
      </w:r>
    </w:p>
    <w:p w14:paraId="02395483" w14:textId="77777777" w:rsidR="005F4965" w:rsidRPr="009659F4" w:rsidRDefault="005F4965" w:rsidP="005F4965">
      <w:pPr>
        <w:pStyle w:val="NormalHanging12a"/>
        <w:widowControl/>
        <w:tabs>
          <w:tab w:val="left" w:pos="0"/>
        </w:tabs>
        <w:suppressAutoHyphens/>
        <w:rPr>
          <w:szCs w:val="24"/>
        </w:rPr>
      </w:pPr>
      <w:r w:rsidRPr="009659F4">
        <w:t>S.</w:t>
      </w:r>
      <w:r w:rsidRPr="009659F4">
        <w:tab/>
        <w:t>Considerando que el riesgo de flujo génico a especies silvestres emparentadas como el teosinte, detectado en España y Francia, suscita preocupación por la persistencia de los transgénicos y las consecuencias para el medio ambiente;</w:t>
      </w:r>
    </w:p>
    <w:p w14:paraId="6C6BE115" w14:textId="77777777" w:rsidR="005F4965" w:rsidRPr="009659F4" w:rsidRDefault="005F4965" w:rsidP="005F4965">
      <w:pPr>
        <w:pStyle w:val="NormalHanging12a"/>
        <w:widowControl/>
        <w:tabs>
          <w:tab w:val="left" w:pos="0"/>
        </w:tabs>
        <w:suppressAutoHyphens/>
        <w:rPr>
          <w:szCs w:val="24"/>
        </w:rPr>
      </w:pPr>
      <w:r w:rsidRPr="009659F4">
        <w:t>T.</w:t>
      </w:r>
      <w:r w:rsidRPr="009659F4">
        <w:tab/>
        <w:t>Considerando que no se ha prestado suficiente atención a los requisitos de seguimiento en virtud del Reglamento de Ejecución (UE) n.º 503/2013 y que no se ha realizado una verificación independiente de los datos facilitados;</w:t>
      </w:r>
    </w:p>
    <w:p w14:paraId="01A6C504" w14:textId="77777777" w:rsidR="005F4965" w:rsidRPr="009659F4" w:rsidRDefault="005F4965" w:rsidP="00462997">
      <w:pPr>
        <w:pStyle w:val="NormalHanging12a"/>
        <w:widowControl/>
        <w:ind w:left="0" w:firstLine="0"/>
        <w:rPr>
          <w:b/>
          <w:i/>
          <w:szCs w:val="24"/>
        </w:rPr>
      </w:pPr>
      <w:r w:rsidRPr="009659F4">
        <w:rPr>
          <w:b/>
          <w:i/>
        </w:rPr>
        <w:t>Garantía de unas condiciones de competencia equitativas a escala mundial y respeto de las obligaciones internacionales de la Unión</w:t>
      </w:r>
    </w:p>
    <w:p w14:paraId="75E0E186" w14:textId="77777777" w:rsidR="005F4965" w:rsidRPr="009659F4" w:rsidRDefault="005F4965" w:rsidP="005F4965">
      <w:pPr>
        <w:pStyle w:val="NormalHanging12a"/>
        <w:widowControl/>
        <w:tabs>
          <w:tab w:val="left" w:pos="0"/>
        </w:tabs>
        <w:suppressAutoHyphens/>
        <w:rPr>
          <w:szCs w:val="24"/>
        </w:rPr>
      </w:pPr>
      <w:r w:rsidRPr="009659F4">
        <w:t>U.</w:t>
      </w:r>
      <w:r w:rsidRPr="009659F4">
        <w:tab/>
        <w:t>Considerando que en las conclusiones del diálogo estratégico sobre el futuro de la agricultura en la UE</w:t>
      </w:r>
      <w:r w:rsidRPr="009659F4">
        <w:rPr>
          <w:vertAlign w:val="superscript"/>
        </w:rPr>
        <w:footnoteReference w:id="11"/>
      </w:r>
      <w:r w:rsidRPr="009659F4">
        <w:t xml:space="preserve"> se pide a la Comisión que reevalúe su enfoque sobre el acceso al mercado para las importaciones y exportaciones agroalimentarias, habida cuenta del reto que plantean las normas divergentes de la Unión y sus socios comerciales; que unas relaciones comerciales más justas a escala mundial, coherentes con los objetivos de un medio ambiente saludable, fueron una de las principales demandas de los agricultores durante las manifestaciones de 2023 y 2024;</w:t>
      </w:r>
    </w:p>
    <w:p w14:paraId="4F38BEED" w14:textId="77777777" w:rsidR="005F4965" w:rsidRPr="009659F4" w:rsidRDefault="005F4965" w:rsidP="005F4965">
      <w:pPr>
        <w:pStyle w:val="NormalHanging12a"/>
        <w:widowControl/>
        <w:tabs>
          <w:tab w:val="left" w:pos="0"/>
        </w:tabs>
        <w:suppressAutoHyphens/>
      </w:pPr>
      <w:r w:rsidRPr="009659F4">
        <w:t>V.</w:t>
      </w:r>
      <w:r w:rsidRPr="009659F4">
        <w:tab/>
        <w:t>Considerando que en un informe de 2017 de la relatora especial de las Naciones Unidas sobre el derecho a la alimentación se afirmaba que los plaguicidas peligrosos tienen consecuencias catastróficas para la salud, en particular en los países en desarrollo</w:t>
      </w:r>
      <w:r w:rsidRPr="009659F4">
        <w:rPr>
          <w:vertAlign w:val="superscript"/>
        </w:rPr>
        <w:footnoteReference w:id="12"/>
      </w:r>
      <w:r w:rsidRPr="009659F4">
        <w:t>; que la meta 3.9 de los Objetivos de Desarrollo Sostenible de las Naciones Unidas (en lo sucesivo, «Objetivos de Desarrollo Sostenible») aspira a reducir considerablemente, para 2030, el número de muertes y enfermedades causadas por productos químicos peligrosos y por la polución y contaminación del aire, el agua y el suelo</w:t>
      </w:r>
      <w:r w:rsidRPr="009659F4">
        <w:rPr>
          <w:rStyle w:val="FootnoteReference"/>
          <w:szCs w:val="24"/>
        </w:rPr>
        <w:footnoteReference w:id="13"/>
      </w:r>
      <w:r w:rsidRPr="009659F4">
        <w:t>;</w:t>
      </w:r>
    </w:p>
    <w:p w14:paraId="4F016908" w14:textId="77777777" w:rsidR="00BC549E" w:rsidRPr="009659F4" w:rsidRDefault="00BC549E" w:rsidP="005F4965">
      <w:pPr>
        <w:pStyle w:val="NormalHanging12a"/>
        <w:widowControl/>
        <w:tabs>
          <w:tab w:val="left" w:pos="0"/>
        </w:tabs>
        <w:suppressAutoHyphens/>
        <w:rPr>
          <w:szCs w:val="24"/>
        </w:rPr>
      </w:pPr>
      <w:r w:rsidRPr="009659F4">
        <w:t>W.</w:t>
      </w:r>
      <w:r w:rsidRPr="009659F4">
        <w:tab/>
        <w:t xml:space="preserve">Considerando que el acuerdo comercial entre la UE y Mercosur incentivará las importaciones en la Unión de alimentos y piensos que contengan organismos modificados genéticamente, se compongan de ellos o se hayan producido a partir de ellos, y que Brasil y Argentina se encuentran entre los principales productores de OMG y usuarios de plaguicidas del mundo, incluidos los OMG y los plaguicidas prohibidos en la Unión por razones sanitarias o medioambientales; </w:t>
      </w:r>
    </w:p>
    <w:p w14:paraId="04273712" w14:textId="41236D14" w:rsidR="005F4965" w:rsidRPr="009659F4" w:rsidRDefault="00BC549E" w:rsidP="005F4965">
      <w:pPr>
        <w:pStyle w:val="NormalHanging12a"/>
        <w:widowControl/>
        <w:tabs>
          <w:tab w:val="left" w:pos="0"/>
        </w:tabs>
        <w:suppressAutoHyphens/>
        <w:rPr>
          <w:szCs w:val="24"/>
        </w:rPr>
      </w:pPr>
      <w:r w:rsidRPr="009659F4">
        <w:t>X</w:t>
      </w:r>
      <w:r w:rsidR="005F4965" w:rsidRPr="009659F4">
        <w:t>.</w:t>
      </w:r>
      <w:r w:rsidR="005F4965" w:rsidRPr="009659F4">
        <w:tab/>
        <w:t xml:space="preserve">Considerando que el Marco Mundial Kunming-Montreal para la Diversidad Biológica, acordado en la 15.ª Conferencia de las Partes del Convenio de las Naciones Unidas sobre la Diversidad Biológica (en lo sucesivo, «Convenio sobre la Diversidad </w:t>
      </w:r>
      <w:r w:rsidR="005F4965" w:rsidRPr="009659F4">
        <w:lastRenderedPageBreak/>
        <w:t>Biológica») en diciembre de 2022, incluye un objetivo mundial de reducir el riesgo de plaguicidas en al menos un 50 % de aquí a 2030</w:t>
      </w:r>
      <w:r w:rsidR="005F4965" w:rsidRPr="009659F4">
        <w:rPr>
          <w:vertAlign w:val="superscript"/>
        </w:rPr>
        <w:footnoteReference w:id="14"/>
      </w:r>
      <w:r w:rsidR="005F4965" w:rsidRPr="009659F4">
        <w:t>;</w:t>
      </w:r>
    </w:p>
    <w:p w14:paraId="6F7854E0" w14:textId="071C8211" w:rsidR="005F4965" w:rsidRPr="009659F4" w:rsidRDefault="00BC549E" w:rsidP="005F4965">
      <w:pPr>
        <w:pStyle w:val="NormalHanging12a"/>
        <w:widowControl/>
        <w:tabs>
          <w:tab w:val="left" w:pos="0"/>
        </w:tabs>
        <w:suppressAutoHyphens/>
        <w:rPr>
          <w:szCs w:val="24"/>
        </w:rPr>
      </w:pPr>
      <w:r w:rsidRPr="009659F4">
        <w:t>Y</w:t>
      </w:r>
      <w:r w:rsidR="005F4965" w:rsidRPr="009659F4">
        <w:t>.</w:t>
      </w:r>
      <w:r w:rsidR="005F4965" w:rsidRPr="009659F4">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estos factores legítimos deben incluir las obligaciones de la Unión en virtud de los Objetivos de Desarrollo Sostenible y del Convenio sobre la Diversidad Biológica;</w:t>
      </w:r>
    </w:p>
    <w:p w14:paraId="765CFD13" w14:textId="77777777" w:rsidR="005F4965" w:rsidRPr="009659F4" w:rsidRDefault="005F4965" w:rsidP="005F4965">
      <w:pPr>
        <w:pStyle w:val="NormalHanging12a"/>
        <w:widowControl/>
        <w:rPr>
          <w:b/>
          <w:i/>
          <w:szCs w:val="24"/>
        </w:rPr>
      </w:pPr>
      <w:r w:rsidRPr="009659F4">
        <w:rPr>
          <w:b/>
          <w:i/>
        </w:rPr>
        <w:t>Reducción de la dependencia de los piensos importados</w:t>
      </w:r>
    </w:p>
    <w:p w14:paraId="6865AABA" w14:textId="6BB68BEF" w:rsidR="005F4965" w:rsidRPr="009659F4" w:rsidRDefault="00BC549E" w:rsidP="005F4965">
      <w:pPr>
        <w:pStyle w:val="NormalHanging12a"/>
        <w:widowControl/>
        <w:tabs>
          <w:tab w:val="left" w:pos="0"/>
        </w:tabs>
        <w:suppressAutoHyphens/>
        <w:rPr>
          <w:b/>
          <w:i/>
          <w:szCs w:val="24"/>
        </w:rPr>
      </w:pPr>
      <w:r w:rsidRPr="009659F4">
        <w:t>Z</w:t>
      </w:r>
      <w:r w:rsidR="005F4965" w:rsidRPr="009659F4">
        <w:t>.</w:t>
      </w:r>
      <w:r w:rsidR="005F4965" w:rsidRPr="009659F4">
        <w:tab/>
        <w:t>Considerando que una de las lecciones extraídas de la crisis de la COVID-19 y de la guerra que aún está en curso en Ucrania es la necesidad de que la Unión ponga fin a las dependencias en relación con algunas materias primas fundamentales; que, en la carta de mandato dirigida al comisario Christophe Hansen, la presidenta de la Comisión, Ursula von der Leyen, le pide que estudie formas de reducir las importaciones de productos básicos críticos</w:t>
      </w:r>
      <w:r w:rsidR="005F4965" w:rsidRPr="009659F4">
        <w:rPr>
          <w:rStyle w:val="FootnoteReference"/>
          <w:szCs w:val="24"/>
        </w:rPr>
        <w:footnoteReference w:id="15"/>
      </w:r>
      <w:r w:rsidR="005F4965" w:rsidRPr="009659F4">
        <w:t xml:space="preserve">; </w:t>
      </w:r>
    </w:p>
    <w:p w14:paraId="1F537FE8" w14:textId="77777777" w:rsidR="005F4965" w:rsidRPr="009659F4" w:rsidRDefault="005F4965" w:rsidP="005F4965">
      <w:pPr>
        <w:pStyle w:val="NormalHanging12a"/>
        <w:widowControl/>
        <w:rPr>
          <w:b/>
          <w:i/>
          <w:szCs w:val="24"/>
        </w:rPr>
      </w:pPr>
      <w:r w:rsidRPr="009659F4">
        <w:rPr>
          <w:b/>
          <w:i/>
        </w:rPr>
        <w:t>Proceso decisorio no democrático</w:t>
      </w:r>
    </w:p>
    <w:p w14:paraId="615EB50E" w14:textId="55232DC9" w:rsidR="005F4965" w:rsidRPr="009659F4" w:rsidRDefault="00BC549E" w:rsidP="005F4965">
      <w:pPr>
        <w:pStyle w:val="NormalHanging12a"/>
        <w:widowControl/>
        <w:tabs>
          <w:tab w:val="left" w:pos="0"/>
        </w:tabs>
        <w:suppressAutoHyphens/>
        <w:rPr>
          <w:szCs w:val="24"/>
        </w:rPr>
      </w:pPr>
      <w:r w:rsidRPr="009659F4">
        <w:t>AA</w:t>
      </w:r>
      <w:r w:rsidR="005F4965" w:rsidRPr="009659F4">
        <w:t>.</w:t>
      </w:r>
      <w:r w:rsidR="005F4965" w:rsidRPr="009659F4">
        <w:tab/>
        <w:t>Considerando que, en su octava legislatura, el Parlamento Europeo aprobó un total de treinta y seis resoluciones de oposición a la comercialización de OMG como alimentos y piensos (treinta y tres resoluciones) y al cultivo de dichos organismos en la Unión (tres resoluciones); que, en su novena legislatura, el Parlamento aprobó treinta y ocho resoluciones de oposición a la comercialización de OMG y otras ocho resoluciones en las que ya se oponía a la comercialización de OMG en la décima legislatura actual;</w:t>
      </w:r>
    </w:p>
    <w:p w14:paraId="0954C8C2" w14:textId="41A04978" w:rsidR="005F4965" w:rsidRPr="009659F4" w:rsidRDefault="005F4965" w:rsidP="005F4965">
      <w:pPr>
        <w:pStyle w:val="NormalHanging12a"/>
        <w:widowControl/>
        <w:tabs>
          <w:tab w:val="left" w:pos="0"/>
        </w:tabs>
        <w:suppressAutoHyphens/>
        <w:rPr>
          <w:szCs w:val="24"/>
        </w:rPr>
      </w:pPr>
      <w:r w:rsidRPr="009659F4">
        <w:t>A</w:t>
      </w:r>
      <w:r w:rsidR="00BC549E" w:rsidRPr="009659F4">
        <w:t>B</w:t>
      </w:r>
      <w:r w:rsidRPr="009659F4">
        <w:t>.</w:t>
      </w:r>
      <w:r w:rsidRPr="009659F4">
        <w:tab/>
        <w:t>Considerando que, pese a reconocer las deficiencias democráticas, la falta de apoyo de los Estados miembros y la oposición del Parlamento, la Comisión sigue autorizando OMG;</w:t>
      </w:r>
    </w:p>
    <w:p w14:paraId="14A678D2" w14:textId="3D2F4514" w:rsidR="005F4965" w:rsidRPr="009659F4" w:rsidRDefault="005F4965" w:rsidP="005F4965">
      <w:pPr>
        <w:pStyle w:val="NormalHanging12a"/>
        <w:widowControl/>
        <w:tabs>
          <w:tab w:val="left" w:pos="0"/>
        </w:tabs>
        <w:suppressAutoHyphens/>
        <w:rPr>
          <w:szCs w:val="24"/>
        </w:rPr>
      </w:pPr>
      <w:r w:rsidRPr="009659F4">
        <w:t>A</w:t>
      </w:r>
      <w:r w:rsidR="00BC549E" w:rsidRPr="009659F4">
        <w:t>C</w:t>
      </w:r>
      <w:r w:rsidRPr="009659F4">
        <w:t>.</w:t>
      </w:r>
      <w:r w:rsidRPr="009659F4">
        <w:tab/>
        <w:t>Considerando que no es necesaria ninguna modificación legislativa para que la Comisión pueda no autorizar un OMG cuando no haya una mayoría cualificada de Estados miembros a favor en el Comité de Apelación</w:t>
      </w:r>
      <w:r w:rsidRPr="009659F4">
        <w:rPr>
          <w:rStyle w:val="FootnoteReference"/>
          <w:szCs w:val="24"/>
        </w:rPr>
        <w:footnoteReference w:id="16"/>
      </w:r>
      <w:r w:rsidRPr="009659F4">
        <w:t>;</w:t>
      </w:r>
    </w:p>
    <w:p w14:paraId="5175C88F" w14:textId="5979EADA" w:rsidR="005F4965" w:rsidRPr="009659F4" w:rsidRDefault="005F4965" w:rsidP="005F4965">
      <w:pPr>
        <w:widowControl/>
        <w:suppressAutoHyphens/>
        <w:spacing w:after="240"/>
        <w:ind w:left="567" w:hanging="567"/>
        <w:rPr>
          <w:szCs w:val="24"/>
          <w:shd w:val="clear" w:color="auto" w:fill="FFFFFF"/>
        </w:rPr>
      </w:pPr>
      <w:r w:rsidRPr="009659F4">
        <w:t>A</w:t>
      </w:r>
      <w:r w:rsidR="00BC549E" w:rsidRPr="009659F4">
        <w:t>D</w:t>
      </w:r>
      <w:r w:rsidRPr="009659F4">
        <w:t>.</w:t>
      </w:r>
      <w:r w:rsidRPr="009659F4">
        <w:tab/>
      </w:r>
      <w:r w:rsidRPr="009659F4">
        <w:rPr>
          <w:shd w:val="clear" w:color="auto" w:fill="FFFFFF"/>
        </w:rPr>
        <w:t>Considerando que en la votación del 22 de noviembre de 2024 en el Comité Permanente de Vegetales, Animales, Alimentos y Piensos a que se refiere el artículo 35 del Reglamento (CE) n.º 1829/2003 no se emitió dictamen, lo que significa que la autorización no fue apoyada por una mayoría cualificada de Estados miembros; que en la votación del 17 de diciembre de 2024 en el Comité de Apelación tampoco se emitió dictamen;</w:t>
      </w:r>
    </w:p>
    <w:p w14:paraId="2E9BFF99" w14:textId="77777777" w:rsidR="005F4965" w:rsidRPr="009659F4" w:rsidRDefault="005F4965" w:rsidP="005F4965">
      <w:pPr>
        <w:pStyle w:val="NormalHanging12a"/>
        <w:widowControl/>
        <w:rPr>
          <w:szCs w:val="24"/>
        </w:rPr>
      </w:pPr>
      <w:r w:rsidRPr="009659F4">
        <w:lastRenderedPageBreak/>
        <w:t>1.</w:t>
      </w:r>
      <w:r w:rsidRPr="009659F4">
        <w:tab/>
        <w:t>Estima que este proyecto de Decisión de Ejecución de la Comisión excede de las competencias de ejecución establecidas en el Reglamento (CE) n.º 1829/2003;</w:t>
      </w:r>
    </w:p>
    <w:p w14:paraId="31A96EC5" w14:textId="77777777" w:rsidR="005F4965" w:rsidRPr="009659F4" w:rsidRDefault="005F4965" w:rsidP="005F4965">
      <w:pPr>
        <w:pStyle w:val="NormalHanging12a"/>
        <w:widowControl/>
        <w:rPr>
          <w:szCs w:val="24"/>
        </w:rPr>
      </w:pPr>
      <w:r w:rsidRPr="009659F4">
        <w:t>2.</w:t>
      </w:r>
      <w:r w:rsidRPr="009659F4">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9659F4">
        <w:rPr>
          <w:rStyle w:val="FootnoteReference"/>
          <w:szCs w:val="24"/>
        </w:rPr>
        <w:footnoteReference w:id="17"/>
      </w:r>
      <w:r w:rsidRPr="009659F4">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14:paraId="4C0B3B68" w14:textId="77777777" w:rsidR="005F4965" w:rsidRPr="009659F4" w:rsidRDefault="005F4965" w:rsidP="005F4965">
      <w:pPr>
        <w:pStyle w:val="NormalHanging12a"/>
        <w:widowControl/>
        <w:rPr>
          <w:szCs w:val="24"/>
        </w:rPr>
      </w:pPr>
      <w:r w:rsidRPr="009659F4">
        <w:t>3.</w:t>
      </w:r>
      <w:r w:rsidRPr="009659F4">
        <w:tab/>
        <w:t>Pide a la Comisión que retire su proyecto de Decisión de Ejecución y presente un nuevo proyecto al Comité;</w:t>
      </w:r>
    </w:p>
    <w:p w14:paraId="65F2D554" w14:textId="77777777" w:rsidR="005F4965" w:rsidRPr="009659F4" w:rsidRDefault="005F4965" w:rsidP="005F4965">
      <w:pPr>
        <w:pStyle w:val="NormalHanging12a"/>
        <w:widowControl/>
        <w:rPr>
          <w:szCs w:val="24"/>
        </w:rPr>
      </w:pPr>
      <w:r w:rsidRPr="009659F4">
        <w:t>4.</w:t>
      </w:r>
      <w:r w:rsidRPr="009659F4">
        <w:tab/>
        <w:t>Pide a la Comisión que garantice la convergencia de normas entre la Unión y sus socios en las negociaciones del acuerdo de libre comercio, a fin de cumplir las normas de seguridad de la Unión;</w:t>
      </w:r>
    </w:p>
    <w:p w14:paraId="2FEEDB79" w14:textId="77777777" w:rsidR="005F4965" w:rsidRPr="009659F4" w:rsidRDefault="005F4965" w:rsidP="005F4965">
      <w:pPr>
        <w:pStyle w:val="NormalHanging12a"/>
        <w:widowControl/>
        <w:rPr>
          <w:szCs w:val="24"/>
        </w:rPr>
      </w:pPr>
      <w:r w:rsidRPr="009659F4">
        <w:t>5.</w:t>
      </w:r>
      <w:r w:rsidRPr="009659F4">
        <w:tab/>
        <w:t>Pide a la Comisión que no autorice los cultivos de maíz modificados genéticamente debido al aumento de los riesgos para la biodiversidad, la seguridad alimentaria y la salud de los trabajadores, en consonancia con el enfoque de «Una sola salud»;</w:t>
      </w:r>
    </w:p>
    <w:p w14:paraId="79667045" w14:textId="77777777" w:rsidR="005F4965" w:rsidRPr="009659F4" w:rsidRDefault="005F4965" w:rsidP="005F4965">
      <w:pPr>
        <w:pStyle w:val="NormalHanging12a"/>
        <w:widowControl/>
        <w:rPr>
          <w:szCs w:val="24"/>
        </w:rPr>
      </w:pPr>
      <w:r w:rsidRPr="009659F4">
        <w:t>6.</w:t>
      </w:r>
      <w:r w:rsidRPr="009659F4">
        <w:tab/>
        <w:t>Espera que, con carácter de urgencia, la Comisión cumpla su compromiso</w:t>
      </w:r>
      <w:r w:rsidRPr="009659F4">
        <w:rPr>
          <w:rStyle w:val="FootnoteReference"/>
          <w:szCs w:val="24"/>
        </w:rPr>
        <w:footnoteReference w:id="18"/>
      </w:r>
      <w:r w:rsidRPr="009659F4">
        <w:t xml:space="preserve"> de presentar una propuesta para garantizar que los productos químicos peligrosos prohibidos en la Unión no se produzcan para su exportación;</w:t>
      </w:r>
    </w:p>
    <w:p w14:paraId="69EDF38F" w14:textId="77777777" w:rsidR="005F4965" w:rsidRPr="009659F4" w:rsidRDefault="005F4965" w:rsidP="005F4965">
      <w:pPr>
        <w:pStyle w:val="NormalHanging12a"/>
        <w:widowControl/>
        <w:rPr>
          <w:szCs w:val="24"/>
        </w:rPr>
      </w:pPr>
      <w:r w:rsidRPr="009659F4">
        <w:t>7.</w:t>
      </w:r>
      <w:r w:rsidRPr="009659F4">
        <w:tab/>
        <w:t>Celebra que la Comisión reconociera finalmente, en una carta a los diputados de 11 de septiembre de 2020, la necesidad de tener en cuenta la sostenibilidad en las decisiones de autorización relativas a OMG</w:t>
      </w:r>
      <w:r w:rsidRPr="009659F4">
        <w:rPr>
          <w:rStyle w:val="FootnoteReference"/>
          <w:szCs w:val="24"/>
        </w:rPr>
        <w:footnoteReference w:id="19"/>
      </w:r>
      <w:r w:rsidRPr="009659F4">
        <w:t>; expresa, no obstante, su gran decepción ante el hecho de que desde entonces la Comisión haya seguido autorizando OMG para su importación a la Unión, pese a la continua oposición del Parlamento Europeo y el voto en contra de una mayoría de Estados miembros;</w:t>
      </w:r>
    </w:p>
    <w:p w14:paraId="68A5B5C0" w14:textId="77777777" w:rsidR="005F4965" w:rsidRPr="009659F4" w:rsidRDefault="005F4965" w:rsidP="005F4965">
      <w:pPr>
        <w:pStyle w:val="NormalHanging12a"/>
        <w:widowControl/>
      </w:pPr>
      <w:r w:rsidRPr="009659F4">
        <w:t>8.</w:t>
      </w:r>
      <w:r w:rsidRPr="009659F4">
        <w:tab/>
        <w:t xml:space="preserve">Insta a la Comisión, una vez más, a que tenga presentes las obligaciones que incumben a la Unión en virtud de los acuerdos internacionales, como el Acuerdo de París sobre el Cambio Climático, el Convenio sobre la Diversidad Biológica y los Objetivos de Desarrollo Sostenible; reitera su petición de que los proyectos de actos de ejecución </w:t>
      </w:r>
      <w:r w:rsidRPr="009659F4">
        <w:lastRenderedPageBreak/>
        <w:t>vayan acompañados de una exposición de motivos en la que se explique de qué manera se respeta el principio de «no ocasionar daños»</w:t>
      </w:r>
      <w:r w:rsidRPr="009659F4">
        <w:rPr>
          <w:rStyle w:val="FootnoteReference"/>
          <w:szCs w:val="24"/>
        </w:rPr>
        <w:footnoteReference w:id="20"/>
      </w:r>
      <w:r w:rsidRPr="009659F4">
        <w:t xml:space="preserve">; </w:t>
      </w:r>
    </w:p>
    <w:p w14:paraId="383A69CE" w14:textId="77777777" w:rsidR="00310C76" w:rsidRPr="009659F4" w:rsidRDefault="005F4965" w:rsidP="00310C76">
      <w:pPr>
        <w:pStyle w:val="NormalHanging12a"/>
        <w:widowControl/>
      </w:pPr>
      <w:r w:rsidRPr="009659F4">
        <w:t>9.</w:t>
      </w:r>
      <w:r w:rsidRPr="009659F4">
        <w:tab/>
        <w:t>Encarga a su presidenta que transmita la presente Resolución al Consejo y a la Comisión, así como a los Gobiernos y Parlamentos de los Estados miembros.</w:t>
      </w:r>
    </w:p>
    <w:p w14:paraId="33F9E29F" w14:textId="77777777" w:rsidR="00E365E1" w:rsidRPr="009659F4" w:rsidRDefault="00E365E1" w:rsidP="00904CE8"/>
    <w:sectPr w:rsidR="00E365E1" w:rsidRPr="009659F4" w:rsidSect="00310C7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DBB11" w14:textId="77777777" w:rsidR="00904CE8" w:rsidRPr="00310C76" w:rsidRDefault="00904CE8">
      <w:r w:rsidRPr="00310C76">
        <w:separator/>
      </w:r>
    </w:p>
  </w:endnote>
  <w:endnote w:type="continuationSeparator" w:id="0">
    <w:p w14:paraId="1F149D2E" w14:textId="77777777" w:rsidR="00904CE8" w:rsidRPr="00310C76" w:rsidRDefault="00904CE8">
      <w:r w:rsidRPr="00310C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934E5" w14:textId="77777777" w:rsidR="00064002" w:rsidRPr="00310C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7363A" w14:textId="77777777" w:rsidR="00064002" w:rsidRPr="00310C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ACE95" w14:textId="77777777" w:rsidR="00064002" w:rsidRPr="00310C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7F6033" w14:textId="77777777" w:rsidR="00904CE8" w:rsidRPr="00310C76" w:rsidRDefault="00904CE8">
      <w:r w:rsidRPr="00310C76">
        <w:separator/>
      </w:r>
    </w:p>
  </w:footnote>
  <w:footnote w:type="continuationSeparator" w:id="0">
    <w:p w14:paraId="49B012FE" w14:textId="77777777" w:rsidR="00904CE8" w:rsidRPr="00310C76" w:rsidRDefault="00904CE8">
      <w:r w:rsidRPr="00310C76">
        <w:continuationSeparator/>
      </w:r>
    </w:p>
  </w:footnote>
  <w:footnote w:id="1">
    <w:p w14:paraId="21A93A60" w14:textId="77777777" w:rsidR="005F4965" w:rsidRPr="00C46F9E" w:rsidRDefault="005F4965" w:rsidP="00310C76">
      <w:pPr>
        <w:pStyle w:val="FootnoteText"/>
        <w:ind w:left="567" w:hanging="567"/>
        <w:rPr>
          <w:color w:val="000000" w:themeColor="text1"/>
          <w:sz w:val="24"/>
          <w:lang w:val="pt-PT"/>
        </w:rPr>
      </w:pPr>
      <w:r w:rsidRPr="00310C76">
        <w:rPr>
          <w:rStyle w:val="Funotenzeichen"/>
          <w:color w:val="000000" w:themeColor="text1"/>
          <w:sz w:val="24"/>
          <w:lang w:val="es-ES_tradnl"/>
        </w:rPr>
        <w:footnoteRef/>
      </w:r>
      <w:r w:rsidR="00310C76" w:rsidRPr="00C46F9E">
        <w:rPr>
          <w:color w:val="000000" w:themeColor="text1"/>
          <w:sz w:val="24"/>
          <w:lang w:val="pt-PT"/>
        </w:rPr>
        <w:t xml:space="preserve"> </w:t>
      </w:r>
      <w:r w:rsidR="00310C76" w:rsidRPr="00C46F9E">
        <w:rPr>
          <w:color w:val="000000" w:themeColor="text1"/>
          <w:sz w:val="24"/>
          <w:lang w:val="pt-PT"/>
        </w:rPr>
        <w:tab/>
      </w:r>
      <w:r w:rsidRPr="00C46F9E">
        <w:rPr>
          <w:color w:val="000000" w:themeColor="text1"/>
          <w:sz w:val="24"/>
          <w:lang w:val="pt-PT"/>
        </w:rPr>
        <w:t>DO L 268 de 18.10.2003, p. 1, ELI: </w:t>
      </w:r>
      <w:hyperlink r:id="rId1" w:tgtFrame="Gives access to this document through its ELI URI." w:history="1">
        <w:r w:rsidRPr="00C46F9E">
          <w:rPr>
            <w:rStyle w:val="Hyperlink"/>
            <w:color w:val="000000" w:themeColor="text1"/>
            <w:sz w:val="24"/>
            <w:lang w:val="pt-PT"/>
          </w:rPr>
          <w:t>http://data.europa.eu/eli/reg/2003/1829/oj</w:t>
        </w:r>
      </w:hyperlink>
      <w:r w:rsidRPr="00C46F9E">
        <w:rPr>
          <w:color w:val="000000" w:themeColor="text1"/>
          <w:sz w:val="24"/>
          <w:lang w:val="pt-PT"/>
        </w:rPr>
        <w:t>.</w:t>
      </w:r>
    </w:p>
  </w:footnote>
  <w:footnote w:id="2">
    <w:p w14:paraId="743135FC" w14:textId="77777777" w:rsidR="005F4965" w:rsidRPr="00C46F9E" w:rsidRDefault="005F4965" w:rsidP="00310C76">
      <w:pPr>
        <w:pStyle w:val="FootnoteText"/>
        <w:ind w:left="567" w:hanging="567"/>
        <w:rPr>
          <w:color w:val="000000" w:themeColor="text1"/>
          <w:sz w:val="24"/>
          <w:lang w:val="pt-PT"/>
        </w:rPr>
      </w:pPr>
      <w:r w:rsidRPr="00310C76">
        <w:rPr>
          <w:rStyle w:val="Funotenzeichen"/>
          <w:color w:val="000000" w:themeColor="text1"/>
          <w:sz w:val="24"/>
          <w:lang w:val="es-ES_tradnl"/>
        </w:rPr>
        <w:footnoteRef/>
      </w:r>
      <w:r w:rsidR="00310C76" w:rsidRPr="00C46F9E">
        <w:rPr>
          <w:color w:val="000000" w:themeColor="text1"/>
          <w:sz w:val="24"/>
          <w:lang w:val="pt-PT"/>
        </w:rPr>
        <w:t xml:space="preserve"> </w:t>
      </w:r>
      <w:r w:rsidR="00310C76" w:rsidRPr="00C46F9E">
        <w:rPr>
          <w:color w:val="000000" w:themeColor="text1"/>
          <w:sz w:val="24"/>
          <w:lang w:val="pt-PT"/>
        </w:rPr>
        <w:tab/>
      </w:r>
      <w:r w:rsidRPr="00C46F9E">
        <w:rPr>
          <w:color w:val="000000" w:themeColor="text1"/>
          <w:sz w:val="24"/>
          <w:lang w:val="pt-PT"/>
        </w:rPr>
        <w:t>DO L 55 de 28.2.2011, p. 13, ELI: </w:t>
      </w:r>
      <w:hyperlink r:id="rId2" w:tgtFrame="Gives access to this document through its ELI URI." w:history="1">
        <w:r w:rsidRPr="00C46F9E">
          <w:rPr>
            <w:rStyle w:val="Hyperlink"/>
            <w:color w:val="000000" w:themeColor="text1"/>
            <w:sz w:val="24"/>
            <w:lang w:val="pt-PT"/>
          </w:rPr>
          <w:t>http://data.europa.eu/eli/reg/2011/182/oj</w:t>
        </w:r>
      </w:hyperlink>
      <w:r w:rsidRPr="00C46F9E">
        <w:rPr>
          <w:color w:val="000000" w:themeColor="text1"/>
          <w:sz w:val="24"/>
          <w:lang w:val="pt-PT"/>
        </w:rPr>
        <w:t>.</w:t>
      </w:r>
    </w:p>
  </w:footnote>
  <w:footnote w:id="3">
    <w:p w14:paraId="1EF0FED5"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r w:rsidRPr="00310C76">
        <w:rPr>
          <w:sz w:val="24"/>
          <w:lang w:val="es-ES_tradnl"/>
        </w:rPr>
        <w:t xml:space="preserve">Dictamen científico de la Comisión Técnica de Organismos Modificados Genéticamente de la EFSA sobre la evaluación del maíz modificado genéticamente DP910521 (solicitud GMFF-2021-2473), </w:t>
      </w:r>
      <w:r w:rsidRPr="00310C76">
        <w:rPr>
          <w:i/>
          <w:iCs/>
          <w:sz w:val="24"/>
          <w:lang w:val="es-ES_tradnl"/>
        </w:rPr>
        <w:t xml:space="preserve">EFSA </w:t>
      </w:r>
      <w:proofErr w:type="spellStart"/>
      <w:r w:rsidRPr="00310C76">
        <w:rPr>
          <w:i/>
          <w:iCs/>
          <w:sz w:val="24"/>
          <w:lang w:val="es-ES_tradnl"/>
        </w:rPr>
        <w:t>Journal</w:t>
      </w:r>
      <w:proofErr w:type="spellEnd"/>
      <w:r w:rsidRPr="00310C76">
        <w:rPr>
          <w:i/>
          <w:iCs/>
          <w:sz w:val="24"/>
          <w:lang w:val="es-ES_tradnl"/>
        </w:rPr>
        <w:t xml:space="preserve"> 2024</w:t>
      </w:r>
      <w:r w:rsidRPr="00310C76">
        <w:rPr>
          <w:sz w:val="24"/>
          <w:lang w:val="es-ES_tradnl"/>
        </w:rPr>
        <w:t xml:space="preserve">; 22(8): e8887, </w:t>
      </w:r>
      <w:hyperlink r:id="rId3" w:history="1">
        <w:r w:rsidRPr="00310C76">
          <w:rPr>
            <w:rStyle w:val="Hyperlink"/>
            <w:color w:val="000000" w:themeColor="text1"/>
            <w:sz w:val="24"/>
            <w:lang w:val="es-ES_tradnl"/>
          </w:rPr>
          <w:t>https://doi.org/10.2903/j.efsa.2024.8887</w:t>
        </w:r>
      </w:hyperlink>
      <w:r w:rsidRPr="00310C76">
        <w:rPr>
          <w:sz w:val="24"/>
          <w:lang w:val="es-ES_tradnl"/>
        </w:rPr>
        <w:t>.</w:t>
      </w:r>
      <w:r w:rsidRPr="00310C76">
        <w:rPr>
          <w:color w:val="000000" w:themeColor="text1"/>
          <w:sz w:val="24"/>
          <w:lang w:val="es-ES_tradnl"/>
        </w:rPr>
        <w:t xml:space="preserve"> </w:t>
      </w:r>
    </w:p>
  </w:footnote>
  <w:footnote w:id="4">
    <w:p w14:paraId="1E6CF5A4" w14:textId="77777777" w:rsidR="005F4965" w:rsidRPr="00310C76" w:rsidRDefault="005F4965" w:rsidP="00310C76">
      <w:pPr>
        <w:pStyle w:val="FootnoteText"/>
        <w:ind w:left="567" w:hanging="567"/>
        <w:rPr>
          <w:color w:val="000000" w:themeColor="text1"/>
          <w:sz w:val="24"/>
          <w:vertAlign w:val="superscript"/>
          <w:lang w:val="es-ES_tradnl"/>
        </w:rPr>
      </w:pPr>
      <w:r w:rsidRPr="00310C76">
        <w:rPr>
          <w:rStyle w:val="Funotenzeichen"/>
          <w:color w:val="000000" w:themeColor="text1"/>
          <w:sz w:val="24"/>
          <w:lang w:val="es-ES_tradnl"/>
        </w:rPr>
        <w:footnoteRef/>
      </w:r>
      <w:r w:rsidR="00310C76" w:rsidRPr="00310C76">
        <w:rPr>
          <w:color w:val="000000" w:themeColor="text1"/>
          <w:sz w:val="24"/>
          <w:lang w:val="es-ES_tradnl"/>
        </w:rPr>
        <w:t xml:space="preserve"> </w:t>
      </w:r>
      <w:r w:rsidR="00310C76" w:rsidRPr="00310C76">
        <w:rPr>
          <w:color w:val="000000" w:themeColor="text1"/>
          <w:sz w:val="24"/>
          <w:lang w:val="es-ES_tradnl"/>
        </w:rPr>
        <w:tab/>
      </w:r>
      <w:r w:rsidRPr="00310C76">
        <w:rPr>
          <w:color w:val="000000" w:themeColor="text1"/>
          <w:sz w:val="24"/>
          <w:lang w:val="es-ES_tradnl"/>
        </w:rPr>
        <w:t>En su octava y novena legislaturas, el Parlamento aprobó respectivamente 36 y 38 Resoluciones de oposición a la autorización de OMG. Además, en su décima legislatura, el Parlamento ha aprobado las siguientes Resoluciones:</w:t>
      </w:r>
    </w:p>
    <w:p w14:paraId="55185A43" w14:textId="77777777" w:rsidR="005F4965" w:rsidRPr="00310C76" w:rsidRDefault="00310C76" w:rsidP="00310C76">
      <w:pPr>
        <w:pStyle w:val="FootnoteText"/>
        <w:ind w:left="567" w:hanging="567"/>
        <w:rPr>
          <w:color w:val="000000" w:themeColor="text1"/>
          <w:sz w:val="24"/>
          <w:vertAlign w:val="superscript"/>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Resolución del Parlamento Europeo, de 26 de noviembre de 2024, sobre la Decisión de Ejecución de la Comisión (UE) 2024/2628 por la que se renueva la autorización de comercialización de los productos que contengan, se compongan o se hayan producido a partir del maíz modificado genéticamente MON 89034 × 1507 × NK603 con arreglo al Reglamento (CE) n.º 1829/2003 del Parlamento Europeo y del Consejo (P10_</w:t>
      </w:r>
      <w:proofErr w:type="gramStart"/>
      <w:r w:rsidR="005F4965" w:rsidRPr="00310C76">
        <w:rPr>
          <w:color w:val="000000" w:themeColor="text1"/>
          <w:sz w:val="24"/>
          <w:lang w:val="es-ES_tradnl"/>
        </w:rPr>
        <w:t>TA(</w:t>
      </w:r>
      <w:proofErr w:type="gramEnd"/>
      <w:r w:rsidR="005F4965" w:rsidRPr="00310C76">
        <w:rPr>
          <w:color w:val="000000" w:themeColor="text1"/>
          <w:sz w:val="24"/>
          <w:lang w:val="es-ES_tradnl"/>
        </w:rPr>
        <w:t>2024)0038).</w:t>
      </w:r>
    </w:p>
    <w:p w14:paraId="224B9355" w14:textId="77777777" w:rsidR="005F4965" w:rsidRPr="00310C76" w:rsidRDefault="00310C76" w:rsidP="00310C76">
      <w:pPr>
        <w:pStyle w:val="FootnoteText"/>
        <w:ind w:left="567" w:hanging="567"/>
        <w:rPr>
          <w:color w:val="000000" w:themeColor="text1"/>
          <w:sz w:val="24"/>
          <w:vertAlign w:val="superscript"/>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(P10_</w:t>
      </w:r>
      <w:proofErr w:type="gramStart"/>
      <w:r w:rsidR="005F4965" w:rsidRPr="00310C76">
        <w:rPr>
          <w:color w:val="000000" w:themeColor="text1"/>
          <w:sz w:val="24"/>
          <w:lang w:val="es-ES_tradnl"/>
        </w:rPr>
        <w:t>TA(</w:t>
      </w:r>
      <w:proofErr w:type="gramEnd"/>
      <w:r w:rsidR="005F4965" w:rsidRPr="00310C76">
        <w:rPr>
          <w:color w:val="000000" w:themeColor="text1"/>
          <w:sz w:val="24"/>
          <w:lang w:val="es-ES_tradnl"/>
        </w:rPr>
        <w:t>2024)0039).</w:t>
      </w:r>
    </w:p>
    <w:p w14:paraId="485FF94C" w14:textId="77777777" w:rsidR="005F4965" w:rsidRPr="00310C76" w:rsidRDefault="00310C76" w:rsidP="00310C76">
      <w:pPr>
        <w:pStyle w:val="FootnoteText"/>
        <w:ind w:left="567" w:hanging="567"/>
        <w:rPr>
          <w:color w:val="000000" w:themeColor="text1"/>
          <w:sz w:val="24"/>
          <w:vertAlign w:val="superscript"/>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w:t>
      </w:r>
      <w:proofErr w:type="spellStart"/>
      <w:r w:rsidR="005F4965" w:rsidRPr="00310C76">
        <w:rPr>
          <w:color w:val="000000" w:themeColor="text1"/>
          <w:sz w:val="24"/>
          <w:lang w:val="es-ES_tradnl"/>
        </w:rPr>
        <w:t>subcombinaciones</w:t>
      </w:r>
      <w:proofErr w:type="spellEnd"/>
      <w:r w:rsidR="005F4965" w:rsidRPr="00310C76">
        <w:rPr>
          <w:color w:val="000000" w:themeColor="text1"/>
          <w:sz w:val="24"/>
          <w:lang w:val="es-ES_tradnl"/>
        </w:rPr>
        <w:t>, con arreglo al Reglamento (CE) n.º 1829/2003 del Parlamento Europeo y del Consejo (P10_</w:t>
      </w:r>
      <w:proofErr w:type="gramStart"/>
      <w:r w:rsidR="005F4965" w:rsidRPr="00310C76">
        <w:rPr>
          <w:color w:val="000000" w:themeColor="text1"/>
          <w:sz w:val="24"/>
          <w:lang w:val="es-ES_tradnl"/>
        </w:rPr>
        <w:t>TA(</w:t>
      </w:r>
      <w:proofErr w:type="gramEnd"/>
      <w:r w:rsidR="005F4965" w:rsidRPr="00310C76">
        <w:rPr>
          <w:color w:val="000000" w:themeColor="text1"/>
          <w:sz w:val="24"/>
          <w:lang w:val="es-ES_tradnl"/>
        </w:rPr>
        <w:t>2024)0040).</w:t>
      </w:r>
    </w:p>
    <w:p w14:paraId="24EBB526" w14:textId="77777777" w:rsidR="005F4965" w:rsidRPr="00310C76" w:rsidRDefault="00310C76" w:rsidP="00310C76">
      <w:pPr>
        <w:pStyle w:val="FootnoteText"/>
        <w:ind w:left="567" w:hanging="567"/>
        <w:rPr>
          <w:color w:val="000000" w:themeColor="text1"/>
          <w:sz w:val="24"/>
          <w:vertAlign w:val="superscript"/>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(P10_TA(2024)0041).</w:t>
      </w:r>
    </w:p>
    <w:p w14:paraId="019132CC" w14:textId="77777777" w:rsidR="005F4965" w:rsidRPr="00310C76" w:rsidRDefault="00310C76" w:rsidP="00310C76">
      <w:pPr>
        <w:pStyle w:val="FootnoteText"/>
        <w:ind w:left="567" w:hanging="567"/>
        <w:rPr>
          <w:color w:val="000000" w:themeColor="text1"/>
          <w:sz w:val="24"/>
          <w:vertAlign w:val="superscript"/>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(P10_</w:t>
      </w:r>
      <w:proofErr w:type="gramStart"/>
      <w:r w:rsidR="005F4965" w:rsidRPr="00310C76">
        <w:rPr>
          <w:color w:val="000000" w:themeColor="text1"/>
          <w:sz w:val="24"/>
          <w:lang w:val="es-ES_tradnl"/>
        </w:rPr>
        <w:t>TA(</w:t>
      </w:r>
      <w:proofErr w:type="gramEnd"/>
      <w:r w:rsidR="005F4965" w:rsidRPr="00310C76">
        <w:rPr>
          <w:color w:val="000000" w:themeColor="text1"/>
          <w:sz w:val="24"/>
          <w:lang w:val="es-ES_tradnl"/>
        </w:rPr>
        <w:t>2024)0042).</w:t>
      </w:r>
    </w:p>
    <w:p w14:paraId="3A56743B" w14:textId="77777777" w:rsidR="005F4965" w:rsidRPr="00310C76" w:rsidRDefault="00310C76" w:rsidP="00310C76">
      <w:pPr>
        <w:pStyle w:val="FootnoteText"/>
        <w:ind w:left="567" w:hanging="567"/>
        <w:rPr>
          <w:color w:val="000000" w:themeColor="text1"/>
          <w:sz w:val="24"/>
          <w:vertAlign w:val="superscript"/>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(P10_</w:t>
      </w:r>
      <w:proofErr w:type="gramStart"/>
      <w:r w:rsidR="005F4965" w:rsidRPr="00310C76">
        <w:rPr>
          <w:color w:val="000000" w:themeColor="text1"/>
          <w:sz w:val="24"/>
          <w:lang w:val="es-ES_tradnl"/>
        </w:rPr>
        <w:t>TA(</w:t>
      </w:r>
      <w:proofErr w:type="gramEnd"/>
      <w:r w:rsidR="005F4965" w:rsidRPr="00310C76">
        <w:rPr>
          <w:color w:val="000000" w:themeColor="text1"/>
          <w:sz w:val="24"/>
          <w:lang w:val="es-ES_tradnl"/>
        </w:rPr>
        <w:t>2024)0043).</w:t>
      </w:r>
    </w:p>
    <w:p w14:paraId="21B5D726" w14:textId="77777777" w:rsidR="005F4965" w:rsidRPr="00310C76" w:rsidRDefault="00310C76" w:rsidP="00310C76">
      <w:pPr>
        <w:pStyle w:val="FootnoteText"/>
        <w:ind w:left="567" w:hanging="567"/>
        <w:rPr>
          <w:color w:val="000000" w:themeColor="text1"/>
          <w:sz w:val="24"/>
          <w:vertAlign w:val="superscript"/>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(P10_</w:t>
      </w:r>
      <w:proofErr w:type="gramStart"/>
      <w:r w:rsidR="005F4965" w:rsidRPr="00310C76">
        <w:rPr>
          <w:color w:val="000000" w:themeColor="text1"/>
          <w:sz w:val="24"/>
          <w:lang w:val="es-ES_tradnl"/>
        </w:rPr>
        <w:t>TA(</w:t>
      </w:r>
      <w:proofErr w:type="gramEnd"/>
      <w:r w:rsidR="005F4965" w:rsidRPr="00310C76">
        <w:rPr>
          <w:color w:val="000000" w:themeColor="text1"/>
          <w:sz w:val="24"/>
          <w:lang w:val="es-ES_tradnl"/>
        </w:rPr>
        <w:t>2024)0044).</w:t>
      </w:r>
    </w:p>
    <w:p w14:paraId="580B9855" w14:textId="77777777" w:rsidR="005F4965" w:rsidRPr="00310C76" w:rsidRDefault="00310C76" w:rsidP="00310C76">
      <w:pPr>
        <w:pStyle w:val="FootnoteText"/>
        <w:ind w:left="567" w:hanging="567"/>
        <w:rPr>
          <w:color w:val="000000" w:themeColor="text1"/>
          <w:sz w:val="24"/>
          <w:lang w:val="es-ES_tradnl"/>
        </w:rPr>
      </w:pPr>
      <w:r w:rsidRPr="00310C76">
        <w:rPr>
          <w:color w:val="000000" w:themeColor="text1"/>
          <w:sz w:val="24"/>
          <w:lang w:val="es-ES_tradnl"/>
        </w:rPr>
        <w:t xml:space="preserve"> </w:t>
      </w:r>
      <w:r w:rsidRPr="00310C76">
        <w:rPr>
          <w:color w:val="000000" w:themeColor="text1"/>
          <w:sz w:val="24"/>
          <w:lang w:val="es-ES_tradnl"/>
        </w:rPr>
        <w:tab/>
      </w:r>
      <w:r w:rsidR="005F4965" w:rsidRPr="00310C76">
        <w:rPr>
          <w:color w:val="000000" w:themeColor="text1"/>
          <w:sz w:val="24"/>
          <w:lang w:val="es-ES_tradnl"/>
        </w:rPr>
        <w:t>–</w:t>
      </w:r>
      <w:r w:rsidR="005F4965" w:rsidRPr="00310C76">
        <w:rPr>
          <w:color w:val="000000" w:themeColor="text1"/>
          <w:sz w:val="24"/>
          <w:lang w:val="es-ES_tradnl"/>
        </w:rPr>
        <w:tab/>
        <w:t>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(P10_</w:t>
      </w:r>
      <w:proofErr w:type="gramStart"/>
      <w:r w:rsidR="005F4965" w:rsidRPr="00310C76">
        <w:rPr>
          <w:color w:val="000000" w:themeColor="text1"/>
          <w:sz w:val="24"/>
          <w:lang w:val="es-ES_tradnl"/>
        </w:rPr>
        <w:t>TA(</w:t>
      </w:r>
      <w:proofErr w:type="gramEnd"/>
      <w:r w:rsidR="005F4965" w:rsidRPr="00310C76">
        <w:rPr>
          <w:color w:val="000000" w:themeColor="text1"/>
          <w:sz w:val="24"/>
          <w:lang w:val="es-ES_tradnl"/>
        </w:rPr>
        <w:t>2024)0045).</w:t>
      </w:r>
    </w:p>
  </w:footnote>
  <w:footnote w:id="5">
    <w:p w14:paraId="4FDFD250" w14:textId="77777777" w:rsidR="005F4965" w:rsidRPr="00310C76" w:rsidRDefault="005F4965" w:rsidP="00310C76">
      <w:pPr>
        <w:pStyle w:val="FootnoteText"/>
        <w:ind w:left="567" w:hanging="567"/>
        <w:rPr>
          <w:color w:val="000000" w:themeColor="text1"/>
          <w:sz w:val="24"/>
          <w:lang w:val="es-ES_tradnl"/>
        </w:rPr>
      </w:pPr>
      <w:r w:rsidRPr="00310C76">
        <w:rPr>
          <w:rStyle w:val="FootnoteReference"/>
          <w:color w:val="000000" w:themeColor="text1"/>
          <w:sz w:val="24"/>
          <w:lang w:val="es-ES_tradnl"/>
        </w:rPr>
        <w:footnoteRef/>
      </w:r>
      <w:r w:rsidR="00310C76" w:rsidRPr="00310C76">
        <w:rPr>
          <w:color w:val="000000" w:themeColor="text1"/>
          <w:sz w:val="24"/>
          <w:lang w:val="es-ES_tradnl"/>
        </w:rPr>
        <w:t xml:space="preserve"> </w:t>
      </w:r>
      <w:r w:rsidR="00310C76" w:rsidRPr="00310C76">
        <w:rPr>
          <w:color w:val="000000" w:themeColor="text1"/>
          <w:sz w:val="24"/>
          <w:lang w:val="es-ES_tradnl"/>
        </w:rPr>
        <w:tab/>
      </w:r>
      <w:r w:rsidRPr="00310C76">
        <w:rPr>
          <w:color w:val="000000" w:themeColor="text1"/>
          <w:sz w:val="24"/>
          <w:lang w:val="es-ES_tradnl"/>
        </w:rPr>
        <w:t xml:space="preserve">Reglamento (CE) n.º 1107/2009 del Parlamento Europeo y del Consejo, de 21 de octubre de 2009, relativo a la comercialización de productos fitosanitarios y por el que se derogan las Directivas 79/117/CEE y 91/414/CEE del Consejo (DO L 309 de 24.11.2009, p. 1, ELI: </w:t>
      </w:r>
      <w:hyperlink r:id="rId4" w:history="1">
        <w:r w:rsidRPr="00310C76">
          <w:rPr>
            <w:rStyle w:val="Hyperlink"/>
            <w:color w:val="000000" w:themeColor="text1"/>
            <w:sz w:val="24"/>
            <w:lang w:val="es-ES_tradnl"/>
          </w:rPr>
          <w:t>https://eur-lex.europa.eu/eli/reg/2009/1107/oj</w:t>
        </w:r>
      </w:hyperlink>
      <w:r w:rsidRPr="00310C76">
        <w:rPr>
          <w:rStyle w:val="Hyperlink"/>
          <w:color w:val="000000" w:themeColor="text1"/>
          <w:sz w:val="24"/>
          <w:lang w:val="es-ES_tradnl"/>
        </w:rPr>
        <w:t>).</w:t>
      </w:r>
    </w:p>
  </w:footnote>
  <w:footnote w:id="6">
    <w:p w14:paraId="5894344F"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color w:val="000000" w:themeColor="text1"/>
          <w:sz w:val="24"/>
          <w:lang w:val="es-ES_tradnl"/>
        </w:rPr>
        <w:t xml:space="preserve"> </w:t>
      </w:r>
      <w:r w:rsidR="00310C76" w:rsidRPr="00310C76">
        <w:rPr>
          <w:color w:val="000000" w:themeColor="text1"/>
          <w:sz w:val="24"/>
          <w:lang w:val="es-ES_tradnl"/>
        </w:rPr>
        <w:tab/>
      </w:r>
      <w:r w:rsidRPr="00310C76">
        <w:rPr>
          <w:color w:val="000000" w:themeColor="text1"/>
          <w:sz w:val="24"/>
          <w:lang w:val="es-ES_tradnl"/>
        </w:rPr>
        <w:t xml:space="preserve">Reglamento de Ejecución (UE) n.º 503/2013 de la Comisión, de 3 de abril de 2013, relativo a las solicitudes de autorización de alimentos y piensos modificados genéticamente de conformidad con el Reglamento (CE) n.º 1829/2003 del Parlamento Europeo y del Consejo y por el que se modifican el Reglamento (CE) n.º 641/2004 y el Reglamento (CE) n.º 1981/2006 (DO L 157 de 8.6.2013, p. 1, ELI: </w:t>
      </w:r>
      <w:hyperlink r:id="rId5" w:tgtFrame="Gives access to this document through its ELI URI." w:history="1">
        <w:r w:rsidRPr="00310C76">
          <w:rPr>
            <w:rStyle w:val="Hyperlink"/>
            <w:color w:val="000000" w:themeColor="text1"/>
            <w:sz w:val="24"/>
            <w:lang w:val="es-ES_tradnl"/>
          </w:rPr>
          <w:t>http://data.europa.eu/eli/reg_impl/2013/503/oj</w:t>
        </w:r>
      </w:hyperlink>
      <w:r w:rsidRPr="00310C76">
        <w:rPr>
          <w:color w:val="000000" w:themeColor="text1"/>
          <w:sz w:val="24"/>
          <w:lang w:val="es-ES_tradnl"/>
        </w:rPr>
        <w:t>).</w:t>
      </w:r>
    </w:p>
  </w:footnote>
  <w:footnote w:id="7">
    <w:p w14:paraId="48A78E18"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r w:rsidRPr="00310C76">
        <w:rPr>
          <w:sz w:val="24"/>
          <w:lang w:val="es-ES_tradnl"/>
        </w:rPr>
        <w:t xml:space="preserve">Véanse, por ejemplo: Schulz, R., </w:t>
      </w:r>
      <w:proofErr w:type="spellStart"/>
      <w:r w:rsidRPr="00310C76">
        <w:rPr>
          <w:sz w:val="24"/>
          <w:lang w:val="es-ES_tradnl"/>
        </w:rPr>
        <w:t>Bub</w:t>
      </w:r>
      <w:proofErr w:type="spellEnd"/>
      <w:r w:rsidRPr="00310C76">
        <w:rPr>
          <w:sz w:val="24"/>
          <w:lang w:val="es-ES_tradnl"/>
        </w:rPr>
        <w:t xml:space="preserve">, S., </w:t>
      </w:r>
      <w:proofErr w:type="spellStart"/>
      <w:r w:rsidRPr="00310C76">
        <w:rPr>
          <w:sz w:val="24"/>
          <w:lang w:val="es-ES_tradnl"/>
        </w:rPr>
        <w:t>Petschick</w:t>
      </w:r>
      <w:proofErr w:type="spellEnd"/>
      <w:r w:rsidRPr="00310C76">
        <w:rPr>
          <w:sz w:val="24"/>
          <w:lang w:val="es-ES_tradnl"/>
        </w:rPr>
        <w:t xml:space="preserve">, L. L., </w:t>
      </w:r>
      <w:proofErr w:type="spellStart"/>
      <w:r w:rsidRPr="00310C76">
        <w:rPr>
          <w:sz w:val="24"/>
          <w:lang w:val="es-ES_tradnl"/>
        </w:rPr>
        <w:t>Stehle</w:t>
      </w:r>
      <w:proofErr w:type="spellEnd"/>
      <w:r w:rsidRPr="00310C76">
        <w:rPr>
          <w:sz w:val="24"/>
          <w:lang w:val="es-ES_tradnl"/>
        </w:rPr>
        <w:t>, S., y Wolfram, J., «</w:t>
      </w:r>
      <w:proofErr w:type="spellStart"/>
      <w:r w:rsidRPr="00310C76">
        <w:rPr>
          <w:sz w:val="24"/>
          <w:lang w:val="es-ES_tradnl"/>
        </w:rPr>
        <w:t>Applied</w:t>
      </w:r>
      <w:proofErr w:type="spellEnd"/>
      <w:r w:rsidRPr="00310C76">
        <w:rPr>
          <w:sz w:val="24"/>
          <w:lang w:val="es-ES_tradnl"/>
        </w:rPr>
        <w:t xml:space="preserve"> </w:t>
      </w:r>
      <w:proofErr w:type="spellStart"/>
      <w:r w:rsidRPr="00310C76">
        <w:rPr>
          <w:sz w:val="24"/>
          <w:lang w:val="es-ES_tradnl"/>
        </w:rPr>
        <w:t>pesticide</w:t>
      </w:r>
      <w:proofErr w:type="spellEnd"/>
      <w:r w:rsidRPr="00310C76">
        <w:rPr>
          <w:sz w:val="24"/>
          <w:lang w:val="es-ES_tradnl"/>
        </w:rPr>
        <w:t xml:space="preserve"> </w:t>
      </w:r>
      <w:proofErr w:type="spellStart"/>
      <w:r w:rsidRPr="00310C76">
        <w:rPr>
          <w:sz w:val="24"/>
          <w:lang w:val="es-ES_tradnl"/>
        </w:rPr>
        <w:t>toxicity</w:t>
      </w:r>
      <w:proofErr w:type="spellEnd"/>
      <w:r w:rsidRPr="00310C76">
        <w:rPr>
          <w:sz w:val="24"/>
          <w:lang w:val="es-ES_tradnl"/>
        </w:rPr>
        <w:t xml:space="preserve"> </w:t>
      </w:r>
      <w:proofErr w:type="spellStart"/>
      <w:r w:rsidRPr="00310C76">
        <w:rPr>
          <w:sz w:val="24"/>
          <w:lang w:val="es-ES_tradnl"/>
        </w:rPr>
        <w:t>shifts</w:t>
      </w:r>
      <w:proofErr w:type="spellEnd"/>
      <w:r w:rsidRPr="00310C76">
        <w:rPr>
          <w:sz w:val="24"/>
          <w:lang w:val="es-ES_tradnl"/>
        </w:rPr>
        <w:t xml:space="preserve"> </w:t>
      </w:r>
      <w:proofErr w:type="spellStart"/>
      <w:r w:rsidRPr="00310C76">
        <w:rPr>
          <w:sz w:val="24"/>
          <w:lang w:val="es-ES_tradnl"/>
        </w:rPr>
        <w:t>toward</w:t>
      </w:r>
      <w:proofErr w:type="spellEnd"/>
      <w:r w:rsidRPr="00310C76">
        <w:rPr>
          <w:sz w:val="24"/>
          <w:lang w:val="es-ES_tradnl"/>
        </w:rPr>
        <w:t xml:space="preserve"> </w:t>
      </w:r>
      <w:proofErr w:type="spellStart"/>
      <w:r w:rsidRPr="00310C76">
        <w:rPr>
          <w:sz w:val="24"/>
          <w:lang w:val="es-ES_tradnl"/>
        </w:rPr>
        <w:t>plants</w:t>
      </w:r>
      <w:proofErr w:type="spellEnd"/>
      <w:r w:rsidRPr="00310C76">
        <w:rPr>
          <w:sz w:val="24"/>
          <w:lang w:val="es-ES_tradnl"/>
        </w:rPr>
        <w:t xml:space="preserve"> and </w:t>
      </w:r>
      <w:proofErr w:type="spellStart"/>
      <w:r w:rsidRPr="00310C76">
        <w:rPr>
          <w:sz w:val="24"/>
          <w:lang w:val="es-ES_tradnl"/>
        </w:rPr>
        <w:t>invertebrates</w:t>
      </w:r>
      <w:proofErr w:type="spellEnd"/>
      <w:r w:rsidRPr="00310C76">
        <w:rPr>
          <w:sz w:val="24"/>
          <w:lang w:val="es-ES_tradnl"/>
        </w:rPr>
        <w:t xml:space="preserve">, </w:t>
      </w:r>
      <w:proofErr w:type="spellStart"/>
      <w:r w:rsidRPr="00310C76">
        <w:rPr>
          <w:sz w:val="24"/>
          <w:lang w:val="es-ES_tradnl"/>
        </w:rPr>
        <w:t>even</w:t>
      </w:r>
      <w:proofErr w:type="spellEnd"/>
      <w:r w:rsidRPr="00310C76">
        <w:rPr>
          <w:sz w:val="24"/>
          <w:lang w:val="es-ES_tradnl"/>
        </w:rPr>
        <w:t xml:space="preserve"> in GM </w:t>
      </w:r>
      <w:proofErr w:type="spellStart"/>
      <w:r w:rsidRPr="00310C76">
        <w:rPr>
          <w:sz w:val="24"/>
          <w:lang w:val="es-ES_tradnl"/>
        </w:rPr>
        <w:t>crops</w:t>
      </w:r>
      <w:proofErr w:type="spellEnd"/>
      <w:r w:rsidRPr="00310C76">
        <w:rPr>
          <w:sz w:val="24"/>
          <w:lang w:val="es-ES_tradnl"/>
        </w:rPr>
        <w:t>» (La toxicidad de los pesticidas aplicados se desplaza hacia las plantas y los invertebrados, incluso en los cultivos modificados genéticamente),</w:t>
      </w:r>
      <w:r w:rsidRPr="00310C76">
        <w:rPr>
          <w:i/>
          <w:iCs/>
          <w:sz w:val="24"/>
          <w:lang w:val="es-ES_tradnl"/>
        </w:rPr>
        <w:t xml:space="preserve"> </w:t>
      </w:r>
      <w:proofErr w:type="spellStart"/>
      <w:r w:rsidRPr="00310C76">
        <w:rPr>
          <w:i/>
          <w:iCs/>
          <w:sz w:val="24"/>
          <w:lang w:val="es-ES_tradnl"/>
        </w:rPr>
        <w:t>Science</w:t>
      </w:r>
      <w:proofErr w:type="spellEnd"/>
      <w:r w:rsidRPr="00310C76">
        <w:rPr>
          <w:sz w:val="24"/>
          <w:lang w:val="es-ES_tradnl"/>
        </w:rPr>
        <w:t xml:space="preserve">, 2021, 372(6537), pp. 81-84, </w:t>
      </w:r>
      <w:hyperlink r:id="rId6" w:history="1">
        <w:r w:rsidRPr="00310C76">
          <w:rPr>
            <w:rStyle w:val="Hyperlink"/>
            <w:color w:val="000000" w:themeColor="text1"/>
            <w:sz w:val="24"/>
            <w:lang w:val="es-ES_tradnl"/>
          </w:rPr>
          <w:t>https://doi.org/10.1126/science.abe1148</w:t>
        </w:r>
      </w:hyperlink>
      <w:r w:rsidRPr="00310C76">
        <w:rPr>
          <w:sz w:val="24"/>
          <w:lang w:val="es-ES_tradnl"/>
        </w:rPr>
        <w:t>;</w:t>
      </w:r>
      <w:r w:rsidRPr="00310C76">
        <w:rPr>
          <w:color w:val="000000" w:themeColor="text1"/>
          <w:sz w:val="24"/>
          <w:lang w:val="es-ES_tradnl"/>
        </w:rPr>
        <w:t xml:space="preserve"> </w:t>
      </w:r>
      <w:proofErr w:type="spellStart"/>
      <w:r w:rsidRPr="00310C76">
        <w:rPr>
          <w:color w:val="000000" w:themeColor="text1"/>
          <w:sz w:val="24"/>
          <w:lang w:val="es-ES_tradnl"/>
        </w:rPr>
        <w:t>Bonny</w:t>
      </w:r>
      <w:proofErr w:type="spellEnd"/>
      <w:r w:rsidRPr="00310C76">
        <w:rPr>
          <w:color w:val="000000" w:themeColor="text1"/>
          <w:sz w:val="24"/>
          <w:lang w:val="es-ES_tradnl"/>
        </w:rPr>
        <w:t>, S., «</w:t>
      </w:r>
      <w:proofErr w:type="spellStart"/>
      <w:r w:rsidRPr="00310C76">
        <w:rPr>
          <w:color w:val="000000" w:themeColor="text1"/>
          <w:sz w:val="24"/>
          <w:lang w:val="es-ES_tradnl"/>
        </w:rPr>
        <w:t>Genetically</w:t>
      </w:r>
      <w:proofErr w:type="spellEnd"/>
      <w:r w:rsidRPr="00310C76">
        <w:rPr>
          <w:color w:val="000000" w:themeColor="text1"/>
          <w:sz w:val="24"/>
          <w:lang w:val="es-ES_tradnl"/>
        </w:rPr>
        <w:t xml:space="preserve"> </w:t>
      </w:r>
      <w:proofErr w:type="spellStart"/>
      <w:r w:rsidRPr="00310C76">
        <w:rPr>
          <w:color w:val="000000" w:themeColor="text1"/>
          <w:sz w:val="24"/>
          <w:lang w:val="es-ES_tradnl"/>
        </w:rPr>
        <w:t>Modified</w:t>
      </w:r>
      <w:proofErr w:type="spellEnd"/>
      <w:r w:rsidRPr="00310C76">
        <w:rPr>
          <w:color w:val="000000" w:themeColor="text1"/>
          <w:sz w:val="24"/>
          <w:lang w:val="es-ES_tradnl"/>
        </w:rPr>
        <w:t xml:space="preserve"> </w:t>
      </w:r>
      <w:proofErr w:type="spellStart"/>
      <w:r w:rsidRPr="00310C76">
        <w:rPr>
          <w:color w:val="000000" w:themeColor="text1"/>
          <w:sz w:val="24"/>
          <w:lang w:val="es-ES_tradnl"/>
        </w:rPr>
        <w:t>Herbicide-Tolerant</w:t>
      </w:r>
      <w:proofErr w:type="spellEnd"/>
      <w:r w:rsidRPr="00310C76">
        <w:rPr>
          <w:color w:val="000000" w:themeColor="text1"/>
          <w:sz w:val="24"/>
          <w:lang w:val="es-ES_tradnl"/>
        </w:rPr>
        <w:t xml:space="preserve"> </w:t>
      </w:r>
      <w:proofErr w:type="spellStart"/>
      <w:r w:rsidRPr="00310C76">
        <w:rPr>
          <w:color w:val="000000" w:themeColor="text1"/>
          <w:sz w:val="24"/>
          <w:lang w:val="es-ES_tradnl"/>
        </w:rPr>
        <w:t>Crops</w:t>
      </w:r>
      <w:proofErr w:type="spellEnd"/>
      <w:r w:rsidRPr="00310C76">
        <w:rPr>
          <w:color w:val="000000" w:themeColor="text1"/>
          <w:sz w:val="24"/>
          <w:lang w:val="es-ES_tradnl"/>
        </w:rPr>
        <w:t xml:space="preserve">, </w:t>
      </w:r>
      <w:proofErr w:type="spellStart"/>
      <w:r w:rsidRPr="00310C76">
        <w:rPr>
          <w:color w:val="000000" w:themeColor="text1"/>
          <w:sz w:val="24"/>
          <w:lang w:val="es-ES_tradnl"/>
        </w:rPr>
        <w:t>Weeds</w:t>
      </w:r>
      <w:proofErr w:type="spellEnd"/>
      <w:r w:rsidRPr="00310C76">
        <w:rPr>
          <w:color w:val="000000" w:themeColor="text1"/>
          <w:sz w:val="24"/>
          <w:lang w:val="es-ES_tradnl"/>
        </w:rPr>
        <w:t xml:space="preserve">, and </w:t>
      </w:r>
      <w:proofErr w:type="spellStart"/>
      <w:r w:rsidRPr="00310C76">
        <w:rPr>
          <w:color w:val="000000" w:themeColor="text1"/>
          <w:sz w:val="24"/>
          <w:lang w:val="es-ES_tradnl"/>
        </w:rPr>
        <w:t>Herbicides</w:t>
      </w:r>
      <w:proofErr w:type="spellEnd"/>
      <w:r w:rsidRPr="00310C76">
        <w:rPr>
          <w:color w:val="000000" w:themeColor="text1"/>
          <w:sz w:val="24"/>
          <w:lang w:val="es-ES_tradnl"/>
        </w:rPr>
        <w:t xml:space="preserve">: Overview and Impact» (Cultivos modificados genéticamente tolerantes a los herbicidas, malas hierbas y herbicidas: visión de conjunto e impacto), </w:t>
      </w:r>
      <w:proofErr w:type="spellStart"/>
      <w:r w:rsidRPr="00310C76">
        <w:rPr>
          <w:i/>
          <w:iCs/>
          <w:color w:val="000000" w:themeColor="text1"/>
          <w:sz w:val="24"/>
          <w:lang w:val="es-ES_tradnl"/>
        </w:rPr>
        <w:t>Environmental</w:t>
      </w:r>
      <w:proofErr w:type="spellEnd"/>
      <w:r w:rsidRPr="00310C76">
        <w:rPr>
          <w:i/>
          <w:iCs/>
          <w:color w:val="000000" w:themeColor="text1"/>
          <w:sz w:val="24"/>
          <w:lang w:val="es-ES_tradnl"/>
        </w:rPr>
        <w:t xml:space="preserve"> Management</w:t>
      </w:r>
      <w:r w:rsidRPr="00310C76">
        <w:rPr>
          <w:color w:val="000000" w:themeColor="text1"/>
          <w:sz w:val="24"/>
          <w:lang w:val="es-ES_tradnl"/>
        </w:rPr>
        <w:t xml:space="preserve">, enero de 2016, 57(1), pp. 31-48, </w:t>
      </w:r>
      <w:hyperlink r:id="rId7" w:history="1">
        <w:r w:rsidRPr="00310C76">
          <w:rPr>
            <w:rStyle w:val="Hyperlink"/>
            <w:color w:val="000000" w:themeColor="text1"/>
            <w:sz w:val="24"/>
            <w:lang w:val="es-ES_tradnl"/>
          </w:rPr>
          <w:t>https://www.ncbi.nlm.nih.gov/pubmed/26296738</w:t>
        </w:r>
      </w:hyperlink>
      <w:r w:rsidRPr="00310C76">
        <w:rPr>
          <w:sz w:val="24"/>
          <w:lang w:val="es-ES_tradnl"/>
        </w:rPr>
        <w:t>, y</w:t>
      </w:r>
      <w:r w:rsidRPr="00310C76">
        <w:rPr>
          <w:color w:val="000000" w:themeColor="text1"/>
          <w:sz w:val="24"/>
          <w:lang w:val="es-ES_tradnl"/>
        </w:rPr>
        <w:t xml:space="preserve"> </w:t>
      </w:r>
      <w:proofErr w:type="spellStart"/>
      <w:r w:rsidRPr="00310C76">
        <w:rPr>
          <w:sz w:val="24"/>
          <w:lang w:val="es-ES_tradnl"/>
        </w:rPr>
        <w:t>Benbrook</w:t>
      </w:r>
      <w:proofErr w:type="spellEnd"/>
      <w:r w:rsidRPr="00310C76">
        <w:rPr>
          <w:sz w:val="24"/>
          <w:lang w:val="es-ES_tradnl"/>
        </w:rPr>
        <w:t>, C. M., «</w:t>
      </w:r>
      <w:proofErr w:type="spellStart"/>
      <w:r w:rsidRPr="00310C76">
        <w:rPr>
          <w:sz w:val="24"/>
          <w:lang w:val="es-ES_tradnl"/>
        </w:rPr>
        <w:t>Impacts</w:t>
      </w:r>
      <w:proofErr w:type="spellEnd"/>
      <w:r w:rsidRPr="00310C76">
        <w:rPr>
          <w:sz w:val="24"/>
          <w:lang w:val="es-ES_tradnl"/>
        </w:rPr>
        <w:t xml:space="preserve"> of </w:t>
      </w:r>
      <w:proofErr w:type="spellStart"/>
      <w:r w:rsidRPr="00310C76">
        <w:rPr>
          <w:sz w:val="24"/>
          <w:lang w:val="es-ES_tradnl"/>
        </w:rPr>
        <w:t>genetically</w:t>
      </w:r>
      <w:proofErr w:type="spellEnd"/>
      <w:r w:rsidRPr="00310C76">
        <w:rPr>
          <w:sz w:val="24"/>
          <w:lang w:val="es-ES_tradnl"/>
        </w:rPr>
        <w:t xml:space="preserve"> </w:t>
      </w:r>
      <w:proofErr w:type="spellStart"/>
      <w:r w:rsidRPr="00310C76">
        <w:rPr>
          <w:sz w:val="24"/>
          <w:lang w:val="es-ES_tradnl"/>
        </w:rPr>
        <w:t>engineered</w:t>
      </w:r>
      <w:proofErr w:type="spellEnd"/>
      <w:r w:rsidRPr="00310C76">
        <w:rPr>
          <w:sz w:val="24"/>
          <w:lang w:val="es-ES_tradnl"/>
        </w:rPr>
        <w:t xml:space="preserve"> </w:t>
      </w:r>
      <w:proofErr w:type="spellStart"/>
      <w:r w:rsidRPr="00310C76">
        <w:rPr>
          <w:sz w:val="24"/>
          <w:lang w:val="es-ES_tradnl"/>
        </w:rPr>
        <w:t>crops</w:t>
      </w:r>
      <w:proofErr w:type="spellEnd"/>
      <w:r w:rsidRPr="00310C76">
        <w:rPr>
          <w:sz w:val="24"/>
          <w:lang w:val="es-ES_tradnl"/>
        </w:rPr>
        <w:t xml:space="preserve"> on </w:t>
      </w:r>
      <w:proofErr w:type="spellStart"/>
      <w:r w:rsidRPr="00310C76">
        <w:rPr>
          <w:sz w:val="24"/>
          <w:lang w:val="es-ES_tradnl"/>
        </w:rPr>
        <w:t>pesticide</w:t>
      </w:r>
      <w:proofErr w:type="spellEnd"/>
      <w:r w:rsidRPr="00310C76">
        <w:rPr>
          <w:sz w:val="24"/>
          <w:lang w:val="es-ES_tradnl"/>
        </w:rPr>
        <w:t xml:space="preserve"> use in the U.S. – the </w:t>
      </w:r>
      <w:proofErr w:type="spellStart"/>
      <w:r w:rsidRPr="00310C76">
        <w:rPr>
          <w:sz w:val="24"/>
          <w:lang w:val="es-ES_tradnl"/>
        </w:rPr>
        <w:t>first</w:t>
      </w:r>
      <w:proofErr w:type="spellEnd"/>
      <w:r w:rsidRPr="00310C76">
        <w:rPr>
          <w:sz w:val="24"/>
          <w:lang w:val="es-ES_tradnl"/>
        </w:rPr>
        <w:t xml:space="preserve"> </w:t>
      </w:r>
      <w:proofErr w:type="spellStart"/>
      <w:r w:rsidRPr="00310C76">
        <w:rPr>
          <w:sz w:val="24"/>
          <w:lang w:val="es-ES_tradnl"/>
        </w:rPr>
        <w:t>sixteen</w:t>
      </w:r>
      <w:proofErr w:type="spellEnd"/>
      <w:r w:rsidRPr="00310C76">
        <w:rPr>
          <w:sz w:val="24"/>
          <w:lang w:val="es-ES_tradnl"/>
        </w:rPr>
        <w:t xml:space="preserve"> </w:t>
      </w:r>
      <w:proofErr w:type="spellStart"/>
      <w:r w:rsidRPr="00310C76">
        <w:rPr>
          <w:sz w:val="24"/>
          <w:lang w:val="es-ES_tradnl"/>
        </w:rPr>
        <w:t>years</w:t>
      </w:r>
      <w:proofErr w:type="spellEnd"/>
      <w:r w:rsidRPr="00310C76">
        <w:rPr>
          <w:sz w:val="24"/>
          <w:lang w:val="es-ES_tradnl"/>
        </w:rPr>
        <w:t xml:space="preserve">» (Impacto de los cultivos modificados genéticamente en el uso de plaguicidas en los EE. UU.: los dieciséis primeros años), </w:t>
      </w:r>
      <w:proofErr w:type="spellStart"/>
      <w:r w:rsidRPr="00310C76">
        <w:rPr>
          <w:i/>
          <w:iCs/>
          <w:sz w:val="24"/>
          <w:lang w:val="es-ES_tradnl"/>
        </w:rPr>
        <w:t>Environmental</w:t>
      </w:r>
      <w:proofErr w:type="spellEnd"/>
      <w:r w:rsidRPr="00310C76">
        <w:rPr>
          <w:i/>
          <w:iCs/>
          <w:sz w:val="24"/>
          <w:lang w:val="es-ES_tradnl"/>
        </w:rPr>
        <w:t xml:space="preserve"> </w:t>
      </w:r>
      <w:proofErr w:type="spellStart"/>
      <w:r w:rsidRPr="00310C76">
        <w:rPr>
          <w:i/>
          <w:iCs/>
          <w:sz w:val="24"/>
          <w:lang w:val="es-ES_tradnl"/>
        </w:rPr>
        <w:t>Sciences</w:t>
      </w:r>
      <w:proofErr w:type="spellEnd"/>
      <w:r w:rsidRPr="00310C76">
        <w:rPr>
          <w:i/>
          <w:iCs/>
          <w:sz w:val="24"/>
          <w:lang w:val="es-ES_tradnl"/>
        </w:rPr>
        <w:t xml:space="preserve"> Europe</w:t>
      </w:r>
      <w:r w:rsidRPr="00310C76">
        <w:rPr>
          <w:sz w:val="24"/>
          <w:lang w:val="es-ES_tradnl"/>
        </w:rPr>
        <w:t xml:space="preserve">, 28 de septiembre de 2012, vol. 24(24), </w:t>
      </w:r>
      <w:hyperlink r:id="rId8" w:history="1">
        <w:r w:rsidRPr="00310C76">
          <w:rPr>
            <w:rStyle w:val="Hyperlink"/>
            <w:color w:val="000000" w:themeColor="text1"/>
            <w:sz w:val="24"/>
            <w:lang w:val="es-ES_tradnl"/>
          </w:rPr>
          <w:t>https://enveurope.springeropen.com/articles/10.1186/2190-4715-24-24</w:t>
        </w:r>
      </w:hyperlink>
      <w:r w:rsidRPr="00310C76">
        <w:rPr>
          <w:sz w:val="24"/>
          <w:lang w:val="es-ES_tradnl"/>
        </w:rPr>
        <w:t>.</w:t>
      </w:r>
    </w:p>
  </w:footnote>
  <w:footnote w:id="8">
    <w:p w14:paraId="5F030EED"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r w:rsidRPr="00310C76">
        <w:rPr>
          <w:sz w:val="24"/>
          <w:lang w:val="es-ES_tradnl"/>
        </w:rPr>
        <w:t xml:space="preserve">Rubio-Infante, N., y Moreno-Fierros, L., «An </w:t>
      </w:r>
      <w:proofErr w:type="spellStart"/>
      <w:r w:rsidRPr="00310C76">
        <w:rPr>
          <w:sz w:val="24"/>
          <w:lang w:val="es-ES_tradnl"/>
        </w:rPr>
        <w:t>overview</w:t>
      </w:r>
      <w:proofErr w:type="spellEnd"/>
      <w:r w:rsidRPr="00310C76">
        <w:rPr>
          <w:sz w:val="24"/>
          <w:lang w:val="es-ES_tradnl"/>
        </w:rPr>
        <w:t xml:space="preserve"> of the safety and </w:t>
      </w:r>
      <w:proofErr w:type="spellStart"/>
      <w:r w:rsidRPr="00310C76">
        <w:rPr>
          <w:sz w:val="24"/>
          <w:lang w:val="es-ES_tradnl"/>
        </w:rPr>
        <w:t>biological</w:t>
      </w:r>
      <w:proofErr w:type="spellEnd"/>
      <w:r w:rsidRPr="00310C76">
        <w:rPr>
          <w:sz w:val="24"/>
          <w:lang w:val="es-ES_tradnl"/>
        </w:rPr>
        <w:t xml:space="preserve"> </w:t>
      </w:r>
      <w:proofErr w:type="spellStart"/>
      <w:r w:rsidRPr="00310C76">
        <w:rPr>
          <w:sz w:val="24"/>
          <w:lang w:val="es-ES_tradnl"/>
        </w:rPr>
        <w:t>effects</w:t>
      </w:r>
      <w:proofErr w:type="spellEnd"/>
      <w:r w:rsidRPr="00310C76">
        <w:rPr>
          <w:sz w:val="24"/>
          <w:lang w:val="es-ES_tradnl"/>
        </w:rPr>
        <w:t xml:space="preserve"> of </w:t>
      </w:r>
      <w:proofErr w:type="spellStart"/>
      <w:r w:rsidRPr="00310C76">
        <w:rPr>
          <w:i/>
          <w:iCs/>
          <w:sz w:val="24"/>
          <w:lang w:val="es-ES_tradnl"/>
        </w:rPr>
        <w:t>Bacillus</w:t>
      </w:r>
      <w:proofErr w:type="spellEnd"/>
      <w:r w:rsidRPr="00310C76">
        <w:rPr>
          <w:i/>
          <w:iCs/>
          <w:sz w:val="24"/>
          <w:lang w:val="es-ES_tradnl"/>
        </w:rPr>
        <w:t xml:space="preserve"> </w:t>
      </w:r>
      <w:proofErr w:type="spellStart"/>
      <w:r w:rsidRPr="00310C76">
        <w:rPr>
          <w:i/>
          <w:iCs/>
          <w:sz w:val="24"/>
          <w:lang w:val="es-ES_tradnl"/>
        </w:rPr>
        <w:t>thuringiensis</w:t>
      </w:r>
      <w:proofErr w:type="spellEnd"/>
      <w:r w:rsidRPr="00310C76">
        <w:rPr>
          <w:sz w:val="24"/>
          <w:lang w:val="es-ES_tradnl"/>
        </w:rPr>
        <w:t xml:space="preserve"> </w:t>
      </w:r>
      <w:proofErr w:type="spellStart"/>
      <w:r w:rsidRPr="00310C76">
        <w:rPr>
          <w:sz w:val="24"/>
          <w:lang w:val="es-ES_tradnl"/>
        </w:rPr>
        <w:t>Cry</w:t>
      </w:r>
      <w:proofErr w:type="spellEnd"/>
      <w:r w:rsidRPr="00310C76">
        <w:rPr>
          <w:sz w:val="24"/>
          <w:lang w:val="es-ES_tradnl"/>
        </w:rPr>
        <w:t xml:space="preserve"> </w:t>
      </w:r>
      <w:proofErr w:type="spellStart"/>
      <w:r w:rsidRPr="00310C76">
        <w:rPr>
          <w:sz w:val="24"/>
          <w:lang w:val="es-ES_tradnl"/>
        </w:rPr>
        <w:t>toxins</w:t>
      </w:r>
      <w:proofErr w:type="spellEnd"/>
      <w:r w:rsidRPr="00310C76">
        <w:rPr>
          <w:sz w:val="24"/>
          <w:lang w:val="es-ES_tradnl"/>
        </w:rPr>
        <w:t xml:space="preserve"> in </w:t>
      </w:r>
      <w:proofErr w:type="spellStart"/>
      <w:r w:rsidRPr="00310C76">
        <w:rPr>
          <w:sz w:val="24"/>
          <w:lang w:val="es-ES_tradnl"/>
        </w:rPr>
        <w:t>mammals</w:t>
      </w:r>
      <w:proofErr w:type="spellEnd"/>
      <w:r w:rsidRPr="00310C76">
        <w:rPr>
          <w:sz w:val="24"/>
          <w:lang w:val="es-ES_tradnl"/>
        </w:rPr>
        <w:t xml:space="preserve">» (Una visión general de la seguridad y los efectos biológicos de las toxinas </w:t>
      </w:r>
      <w:proofErr w:type="spellStart"/>
      <w:r w:rsidRPr="00310C76">
        <w:rPr>
          <w:sz w:val="24"/>
          <w:lang w:val="es-ES_tradnl"/>
        </w:rPr>
        <w:t>Cry</w:t>
      </w:r>
      <w:proofErr w:type="spellEnd"/>
      <w:r w:rsidRPr="00310C76">
        <w:rPr>
          <w:sz w:val="24"/>
          <w:lang w:val="es-ES_tradnl"/>
        </w:rPr>
        <w:t xml:space="preserve"> del </w:t>
      </w:r>
      <w:proofErr w:type="spellStart"/>
      <w:r w:rsidRPr="00310C76">
        <w:rPr>
          <w:i/>
          <w:iCs/>
          <w:sz w:val="24"/>
          <w:lang w:val="es-ES_tradnl"/>
        </w:rPr>
        <w:t>Bacillus</w:t>
      </w:r>
      <w:proofErr w:type="spellEnd"/>
      <w:r w:rsidRPr="00310C76">
        <w:rPr>
          <w:i/>
          <w:iCs/>
          <w:sz w:val="24"/>
          <w:lang w:val="es-ES_tradnl"/>
        </w:rPr>
        <w:t xml:space="preserve"> </w:t>
      </w:r>
      <w:proofErr w:type="spellStart"/>
      <w:r w:rsidRPr="00310C76">
        <w:rPr>
          <w:i/>
          <w:iCs/>
          <w:sz w:val="24"/>
          <w:lang w:val="es-ES_tradnl"/>
        </w:rPr>
        <w:t>thuringiensis</w:t>
      </w:r>
      <w:proofErr w:type="spellEnd"/>
      <w:r w:rsidRPr="00310C76">
        <w:rPr>
          <w:sz w:val="24"/>
          <w:lang w:val="es-ES_tradnl"/>
        </w:rPr>
        <w:t xml:space="preserve"> en los mamíferos), </w:t>
      </w:r>
      <w:proofErr w:type="spellStart"/>
      <w:r w:rsidRPr="00310C76">
        <w:rPr>
          <w:i/>
          <w:iCs/>
          <w:sz w:val="24"/>
          <w:lang w:val="es-ES_tradnl"/>
        </w:rPr>
        <w:t>Journal</w:t>
      </w:r>
      <w:proofErr w:type="spellEnd"/>
      <w:r w:rsidRPr="00310C76">
        <w:rPr>
          <w:i/>
          <w:iCs/>
          <w:sz w:val="24"/>
          <w:lang w:val="es-ES_tradnl"/>
        </w:rPr>
        <w:t xml:space="preserve"> of </w:t>
      </w:r>
      <w:proofErr w:type="spellStart"/>
      <w:r w:rsidRPr="00310C76">
        <w:rPr>
          <w:i/>
          <w:iCs/>
          <w:sz w:val="24"/>
          <w:lang w:val="es-ES_tradnl"/>
        </w:rPr>
        <w:t>Applied</w:t>
      </w:r>
      <w:proofErr w:type="spellEnd"/>
      <w:r w:rsidRPr="00310C76">
        <w:rPr>
          <w:i/>
          <w:iCs/>
          <w:sz w:val="24"/>
          <w:lang w:val="es-ES_tradnl"/>
        </w:rPr>
        <w:t xml:space="preserve"> </w:t>
      </w:r>
      <w:proofErr w:type="spellStart"/>
      <w:r w:rsidRPr="00310C76">
        <w:rPr>
          <w:i/>
          <w:iCs/>
          <w:sz w:val="24"/>
          <w:lang w:val="es-ES_tradnl"/>
        </w:rPr>
        <w:t>Toxicology</w:t>
      </w:r>
      <w:proofErr w:type="spellEnd"/>
      <w:r w:rsidRPr="00310C76">
        <w:rPr>
          <w:sz w:val="24"/>
          <w:lang w:val="es-ES_tradnl"/>
        </w:rPr>
        <w:t xml:space="preserve">, mayo de 2016, 36(5), pp. 630-648, </w:t>
      </w:r>
      <w:hyperlink r:id="rId9" w:history="1">
        <w:r w:rsidRPr="00310C76">
          <w:rPr>
            <w:rStyle w:val="Hyperlink"/>
            <w:color w:val="000000" w:themeColor="text1"/>
            <w:sz w:val="24"/>
            <w:lang w:val="es-ES_tradnl"/>
          </w:rPr>
          <w:t>https://onlinelibrary.wiley.com/doi/full/10.1002/jat.3252</w:t>
        </w:r>
      </w:hyperlink>
      <w:r w:rsidRPr="00310C76">
        <w:rPr>
          <w:sz w:val="24"/>
          <w:lang w:val="es-ES_tradnl"/>
        </w:rPr>
        <w:t>.</w:t>
      </w:r>
    </w:p>
  </w:footnote>
  <w:footnote w:id="9">
    <w:p w14:paraId="13607CA2"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proofErr w:type="spellStart"/>
      <w:r w:rsidRPr="00310C76">
        <w:rPr>
          <w:sz w:val="24"/>
          <w:lang w:val="es-ES_tradnl"/>
        </w:rPr>
        <w:t>Bøhn</w:t>
      </w:r>
      <w:proofErr w:type="spellEnd"/>
      <w:r w:rsidRPr="00310C76">
        <w:rPr>
          <w:sz w:val="24"/>
          <w:lang w:val="es-ES_tradnl"/>
        </w:rPr>
        <w:t xml:space="preserve">, T., </w:t>
      </w:r>
      <w:proofErr w:type="spellStart"/>
      <w:r w:rsidRPr="00310C76">
        <w:rPr>
          <w:sz w:val="24"/>
          <w:lang w:val="es-ES_tradnl"/>
        </w:rPr>
        <w:t>Macagnan</w:t>
      </w:r>
      <w:proofErr w:type="spellEnd"/>
      <w:r w:rsidRPr="00310C76">
        <w:rPr>
          <w:sz w:val="24"/>
          <w:lang w:val="es-ES_tradnl"/>
        </w:rPr>
        <w:t xml:space="preserve"> </w:t>
      </w:r>
      <w:proofErr w:type="spellStart"/>
      <w:r w:rsidRPr="00310C76">
        <w:rPr>
          <w:sz w:val="24"/>
          <w:lang w:val="es-ES_tradnl"/>
        </w:rPr>
        <w:t>Rover</w:t>
      </w:r>
      <w:proofErr w:type="spellEnd"/>
      <w:r w:rsidRPr="00310C76">
        <w:rPr>
          <w:sz w:val="24"/>
          <w:lang w:val="es-ES_tradnl"/>
        </w:rPr>
        <w:t xml:space="preserve">, C., y </w:t>
      </w:r>
      <w:proofErr w:type="spellStart"/>
      <w:r w:rsidRPr="00310C76">
        <w:rPr>
          <w:sz w:val="24"/>
          <w:lang w:val="es-ES_tradnl"/>
        </w:rPr>
        <w:t>Semenchuk</w:t>
      </w:r>
      <w:proofErr w:type="spellEnd"/>
      <w:r w:rsidRPr="00310C76">
        <w:rPr>
          <w:sz w:val="24"/>
          <w:lang w:val="es-ES_tradnl"/>
        </w:rPr>
        <w:t>, P. R., «</w:t>
      </w:r>
      <w:proofErr w:type="spellStart"/>
      <w:r w:rsidRPr="00310C76">
        <w:rPr>
          <w:i/>
          <w:sz w:val="24"/>
          <w:lang w:val="es-ES_tradnl"/>
        </w:rPr>
        <w:t>Daphnia</w:t>
      </w:r>
      <w:proofErr w:type="spellEnd"/>
      <w:r w:rsidRPr="00310C76">
        <w:rPr>
          <w:i/>
          <w:sz w:val="24"/>
          <w:lang w:val="es-ES_tradnl"/>
        </w:rPr>
        <w:t xml:space="preserve"> magna</w:t>
      </w:r>
      <w:r w:rsidRPr="00310C76">
        <w:rPr>
          <w:sz w:val="24"/>
          <w:lang w:val="es-ES_tradnl"/>
        </w:rPr>
        <w:t xml:space="preserve"> </w:t>
      </w:r>
      <w:proofErr w:type="spellStart"/>
      <w:r w:rsidRPr="00310C76">
        <w:rPr>
          <w:sz w:val="24"/>
          <w:lang w:val="es-ES_tradnl"/>
        </w:rPr>
        <w:t>negatively</w:t>
      </w:r>
      <w:proofErr w:type="spellEnd"/>
      <w:r w:rsidRPr="00310C76">
        <w:rPr>
          <w:sz w:val="24"/>
          <w:lang w:val="es-ES_tradnl"/>
        </w:rPr>
        <w:t xml:space="preserve"> </w:t>
      </w:r>
      <w:proofErr w:type="spellStart"/>
      <w:r w:rsidRPr="00310C76">
        <w:rPr>
          <w:sz w:val="24"/>
          <w:lang w:val="es-ES_tradnl"/>
        </w:rPr>
        <w:t>affected</w:t>
      </w:r>
      <w:proofErr w:type="spellEnd"/>
      <w:r w:rsidRPr="00310C76">
        <w:rPr>
          <w:sz w:val="24"/>
          <w:lang w:val="es-ES_tradnl"/>
        </w:rPr>
        <w:t xml:space="preserve"> by </w:t>
      </w:r>
      <w:proofErr w:type="spellStart"/>
      <w:r w:rsidRPr="00310C76">
        <w:rPr>
          <w:sz w:val="24"/>
          <w:lang w:val="es-ES_tradnl"/>
        </w:rPr>
        <w:t>chronic</w:t>
      </w:r>
      <w:proofErr w:type="spellEnd"/>
      <w:r w:rsidRPr="00310C76">
        <w:rPr>
          <w:sz w:val="24"/>
          <w:lang w:val="es-ES_tradnl"/>
        </w:rPr>
        <w:t xml:space="preserve"> </w:t>
      </w:r>
      <w:proofErr w:type="spellStart"/>
      <w:r w:rsidRPr="00310C76">
        <w:rPr>
          <w:sz w:val="24"/>
          <w:lang w:val="es-ES_tradnl"/>
        </w:rPr>
        <w:t>exposure</w:t>
      </w:r>
      <w:proofErr w:type="spellEnd"/>
      <w:r w:rsidRPr="00310C76">
        <w:rPr>
          <w:sz w:val="24"/>
          <w:lang w:val="es-ES_tradnl"/>
        </w:rPr>
        <w:t xml:space="preserve"> to </w:t>
      </w:r>
      <w:proofErr w:type="spellStart"/>
      <w:r w:rsidRPr="00310C76">
        <w:rPr>
          <w:sz w:val="24"/>
          <w:lang w:val="es-ES_tradnl"/>
        </w:rPr>
        <w:t>purified</w:t>
      </w:r>
      <w:proofErr w:type="spellEnd"/>
      <w:r w:rsidRPr="00310C76">
        <w:rPr>
          <w:sz w:val="24"/>
          <w:lang w:val="es-ES_tradnl"/>
        </w:rPr>
        <w:t xml:space="preserve"> </w:t>
      </w:r>
      <w:proofErr w:type="spellStart"/>
      <w:r w:rsidRPr="00310C76">
        <w:rPr>
          <w:sz w:val="24"/>
          <w:lang w:val="es-ES_tradnl"/>
        </w:rPr>
        <w:t>Cry-toxins</w:t>
      </w:r>
      <w:proofErr w:type="spellEnd"/>
      <w:r w:rsidRPr="00310C76">
        <w:rPr>
          <w:sz w:val="24"/>
          <w:lang w:val="es-ES_tradnl"/>
        </w:rPr>
        <w:t>» (</w:t>
      </w:r>
      <w:proofErr w:type="spellStart"/>
      <w:r w:rsidRPr="00310C76">
        <w:rPr>
          <w:i/>
          <w:iCs/>
          <w:sz w:val="24"/>
          <w:lang w:val="es-ES_tradnl"/>
        </w:rPr>
        <w:t>Daphnia</w:t>
      </w:r>
      <w:proofErr w:type="spellEnd"/>
      <w:r w:rsidRPr="00310C76">
        <w:rPr>
          <w:i/>
          <w:iCs/>
          <w:sz w:val="24"/>
          <w:lang w:val="es-ES_tradnl"/>
        </w:rPr>
        <w:t xml:space="preserve"> magna</w:t>
      </w:r>
      <w:r w:rsidRPr="00310C76">
        <w:rPr>
          <w:sz w:val="24"/>
          <w:lang w:val="es-ES_tradnl"/>
        </w:rPr>
        <w:t xml:space="preserve"> afectada negativamente por la exposición crónica a </w:t>
      </w:r>
      <w:proofErr w:type="spellStart"/>
      <w:r w:rsidRPr="00310C76">
        <w:rPr>
          <w:sz w:val="24"/>
          <w:lang w:val="es-ES_tradnl"/>
        </w:rPr>
        <w:t>tóxinas</w:t>
      </w:r>
      <w:proofErr w:type="spellEnd"/>
      <w:r w:rsidRPr="00310C76">
        <w:rPr>
          <w:sz w:val="24"/>
          <w:lang w:val="es-ES_tradnl"/>
        </w:rPr>
        <w:t xml:space="preserve"> </w:t>
      </w:r>
      <w:proofErr w:type="spellStart"/>
      <w:r w:rsidRPr="00310C76">
        <w:rPr>
          <w:sz w:val="24"/>
          <w:lang w:val="es-ES_tradnl"/>
        </w:rPr>
        <w:t>Cry</w:t>
      </w:r>
      <w:proofErr w:type="spellEnd"/>
      <w:r w:rsidRPr="00310C76">
        <w:rPr>
          <w:sz w:val="24"/>
          <w:lang w:val="es-ES_tradnl"/>
        </w:rPr>
        <w:t xml:space="preserve"> purificadas), </w:t>
      </w:r>
      <w:proofErr w:type="spellStart"/>
      <w:r w:rsidRPr="00310C76">
        <w:rPr>
          <w:i/>
          <w:iCs/>
          <w:sz w:val="24"/>
          <w:lang w:val="es-ES_tradnl"/>
        </w:rPr>
        <w:t>Food</w:t>
      </w:r>
      <w:proofErr w:type="spellEnd"/>
      <w:r w:rsidRPr="00310C76">
        <w:rPr>
          <w:i/>
          <w:iCs/>
          <w:sz w:val="24"/>
          <w:lang w:val="es-ES_tradnl"/>
        </w:rPr>
        <w:t xml:space="preserve"> and </w:t>
      </w:r>
      <w:proofErr w:type="spellStart"/>
      <w:r w:rsidRPr="00310C76">
        <w:rPr>
          <w:i/>
          <w:iCs/>
          <w:sz w:val="24"/>
          <w:lang w:val="es-ES_tradnl"/>
        </w:rPr>
        <w:t>Chemical</w:t>
      </w:r>
      <w:proofErr w:type="spellEnd"/>
      <w:r w:rsidRPr="00310C76">
        <w:rPr>
          <w:i/>
          <w:iCs/>
          <w:sz w:val="24"/>
          <w:lang w:val="es-ES_tradnl"/>
        </w:rPr>
        <w:t xml:space="preserve"> </w:t>
      </w:r>
      <w:proofErr w:type="spellStart"/>
      <w:r w:rsidRPr="00310C76">
        <w:rPr>
          <w:i/>
          <w:iCs/>
          <w:sz w:val="24"/>
          <w:lang w:val="es-ES_tradnl"/>
        </w:rPr>
        <w:t>Toxicology</w:t>
      </w:r>
      <w:proofErr w:type="spellEnd"/>
      <w:r w:rsidRPr="00310C76">
        <w:rPr>
          <w:sz w:val="24"/>
          <w:lang w:val="es-ES_tradnl"/>
        </w:rPr>
        <w:t xml:space="preserve">, mayo de 2016, vol. 91, pp. 130-140, </w:t>
      </w:r>
      <w:hyperlink r:id="rId10" w:history="1">
        <w:r w:rsidRPr="00310C76">
          <w:rPr>
            <w:rStyle w:val="Hyperlink"/>
            <w:color w:val="000000" w:themeColor="text1"/>
            <w:sz w:val="24"/>
            <w:lang w:val="es-ES_tradnl"/>
          </w:rPr>
          <w:t>https://www.sciencedirect.com/science/article/pii/S0278691516300722</w:t>
        </w:r>
      </w:hyperlink>
      <w:r w:rsidRPr="00310C76">
        <w:rPr>
          <w:sz w:val="24"/>
          <w:lang w:val="es-ES_tradnl"/>
        </w:rPr>
        <w:t>.</w:t>
      </w:r>
    </w:p>
  </w:footnote>
  <w:footnote w:id="10">
    <w:p w14:paraId="779A00DB"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hyperlink r:id="rId11" w:history="1">
        <w:r w:rsidRPr="00310C76">
          <w:rPr>
            <w:rStyle w:val="Hyperlink"/>
            <w:color w:val="000000" w:themeColor="text1"/>
            <w:sz w:val="24"/>
            <w:lang w:val="es-ES_tradnl"/>
          </w:rPr>
          <w:t>https://efsa.onlinelibrary.wiley.com/action/downloadSupplement?doi=10.2903%2Fj.‌efsa.2024.8716&amp;file=efs28716-sup-0012-Annex8.pdf</w:t>
        </w:r>
      </w:hyperlink>
      <w:r w:rsidRPr="00310C76">
        <w:rPr>
          <w:rStyle w:val="Hyperlink"/>
          <w:color w:val="000000" w:themeColor="text1"/>
          <w:sz w:val="24"/>
          <w:lang w:val="es-ES_tradnl"/>
        </w:rPr>
        <w:t>.</w:t>
      </w:r>
    </w:p>
  </w:footnote>
  <w:footnote w:id="11">
    <w:p w14:paraId="6A1FBFA0"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r w:rsidRPr="00310C76">
        <w:rPr>
          <w:sz w:val="24"/>
          <w:lang w:val="es-ES_tradnl"/>
        </w:rPr>
        <w:t xml:space="preserve">Strategic Dialogue on the </w:t>
      </w:r>
      <w:proofErr w:type="spellStart"/>
      <w:r w:rsidRPr="00310C76">
        <w:rPr>
          <w:sz w:val="24"/>
          <w:lang w:val="es-ES_tradnl"/>
        </w:rPr>
        <w:t>Future</w:t>
      </w:r>
      <w:proofErr w:type="spellEnd"/>
      <w:r w:rsidRPr="00310C76">
        <w:rPr>
          <w:sz w:val="24"/>
          <w:lang w:val="es-ES_tradnl"/>
        </w:rPr>
        <w:t xml:space="preserve"> of EU </w:t>
      </w:r>
      <w:proofErr w:type="spellStart"/>
      <w:r w:rsidRPr="00310C76">
        <w:rPr>
          <w:sz w:val="24"/>
          <w:lang w:val="es-ES_tradnl"/>
        </w:rPr>
        <w:t>Agriculture</w:t>
      </w:r>
      <w:proofErr w:type="spellEnd"/>
      <w:r w:rsidRPr="00310C76">
        <w:rPr>
          <w:sz w:val="24"/>
          <w:lang w:val="es-ES_tradnl"/>
        </w:rPr>
        <w:t xml:space="preserve"> — A </w:t>
      </w:r>
      <w:proofErr w:type="spellStart"/>
      <w:r w:rsidRPr="00310C76">
        <w:rPr>
          <w:sz w:val="24"/>
          <w:lang w:val="es-ES_tradnl"/>
        </w:rPr>
        <w:t>shared</w:t>
      </w:r>
      <w:proofErr w:type="spellEnd"/>
      <w:r w:rsidRPr="00310C76">
        <w:rPr>
          <w:sz w:val="24"/>
          <w:lang w:val="es-ES_tradnl"/>
        </w:rPr>
        <w:t xml:space="preserve"> </w:t>
      </w:r>
      <w:proofErr w:type="spellStart"/>
      <w:r w:rsidRPr="00310C76">
        <w:rPr>
          <w:sz w:val="24"/>
          <w:lang w:val="es-ES_tradnl"/>
        </w:rPr>
        <w:t>perspective</w:t>
      </w:r>
      <w:proofErr w:type="spellEnd"/>
      <w:r w:rsidRPr="00310C76">
        <w:rPr>
          <w:sz w:val="24"/>
          <w:lang w:val="es-ES_tradnl"/>
        </w:rPr>
        <w:t xml:space="preserve"> for </w:t>
      </w:r>
      <w:proofErr w:type="spellStart"/>
      <w:r w:rsidRPr="00310C76">
        <w:rPr>
          <w:sz w:val="24"/>
          <w:lang w:val="es-ES_tradnl"/>
        </w:rPr>
        <w:t>farming</w:t>
      </w:r>
      <w:proofErr w:type="spellEnd"/>
      <w:r w:rsidRPr="00310C76">
        <w:rPr>
          <w:sz w:val="24"/>
          <w:lang w:val="es-ES_tradnl"/>
        </w:rPr>
        <w:t xml:space="preserve"> and </w:t>
      </w:r>
      <w:proofErr w:type="spellStart"/>
      <w:r w:rsidRPr="00310C76">
        <w:rPr>
          <w:sz w:val="24"/>
          <w:lang w:val="es-ES_tradnl"/>
        </w:rPr>
        <w:t>food</w:t>
      </w:r>
      <w:proofErr w:type="spellEnd"/>
      <w:r w:rsidRPr="00310C76">
        <w:rPr>
          <w:sz w:val="24"/>
          <w:lang w:val="es-ES_tradnl"/>
        </w:rPr>
        <w:t xml:space="preserve"> in Europe (Diálogo estratégico sobre el futuro de la agricultura en la UE: una perspectiva compartida para la agricultura y la alimentación en Europa), septiembre de 2024, </w:t>
      </w:r>
      <w:hyperlink r:id="rId12" w:history="1">
        <w:r w:rsidRPr="00310C76">
          <w:rPr>
            <w:rStyle w:val="Hyperlink"/>
            <w:color w:val="000000" w:themeColor="text1"/>
            <w:sz w:val="24"/>
            <w:lang w:val="es-ES_tradnl"/>
          </w:rPr>
          <w:t>https://agriculture.ec.europa.eu/document/download/171329ff-0f50-4fa5-946f-aea11032172e_en?filename=strategic-dialogue-report-2024_en.pdf</w:t>
        </w:r>
      </w:hyperlink>
      <w:r w:rsidRPr="00310C76">
        <w:rPr>
          <w:sz w:val="24"/>
          <w:lang w:val="es-ES_tradnl"/>
        </w:rPr>
        <w:t>.</w:t>
      </w:r>
    </w:p>
  </w:footnote>
  <w:footnote w:id="12">
    <w:p w14:paraId="5F0756E2"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hyperlink r:id="rId13" w:history="1">
        <w:r w:rsidRPr="00310C76">
          <w:rPr>
            <w:rStyle w:val="Hyperlink"/>
            <w:color w:val="000000" w:themeColor="text1"/>
            <w:sz w:val="24"/>
            <w:lang w:val="es-ES_tradnl"/>
          </w:rPr>
          <w:t>https://documents.un.org/doc/undoc/gen/g17/017/90/pdf/g1701790.pdf</w:t>
        </w:r>
      </w:hyperlink>
      <w:r w:rsidRPr="00310C76">
        <w:rPr>
          <w:sz w:val="24"/>
          <w:lang w:val="es-ES_tradnl"/>
        </w:rPr>
        <w:t>.</w:t>
      </w:r>
    </w:p>
  </w:footnote>
  <w:footnote w:id="13">
    <w:p w14:paraId="379CFC4F" w14:textId="77777777" w:rsidR="005F4965" w:rsidRPr="00310C76" w:rsidRDefault="005F4965" w:rsidP="00310C76">
      <w:pPr>
        <w:pStyle w:val="FootnoteText"/>
        <w:ind w:left="567" w:hanging="567"/>
        <w:rPr>
          <w:sz w:val="24"/>
          <w:lang w:val="es-ES_tradnl"/>
        </w:rPr>
      </w:pPr>
      <w:r w:rsidRPr="00310C76">
        <w:rPr>
          <w:rStyle w:val="FootnoteReference"/>
          <w:sz w:val="24"/>
          <w:lang w:val="es-ES_tradnl"/>
        </w:rPr>
        <w:footnoteRef/>
      </w:r>
      <w:r w:rsidR="00310C76" w:rsidRPr="00310C76">
        <w:rPr>
          <w:sz w:val="24"/>
          <w:lang w:val="es-ES_tradnl"/>
        </w:rPr>
        <w:t xml:space="preserve"> </w:t>
      </w:r>
      <w:r w:rsidR="00310C76" w:rsidRPr="00310C76">
        <w:rPr>
          <w:sz w:val="24"/>
          <w:lang w:val="es-ES_tradnl"/>
        </w:rPr>
        <w:tab/>
      </w:r>
      <w:hyperlink r:id="rId14" w:history="1">
        <w:r w:rsidRPr="00310C76">
          <w:rPr>
            <w:rStyle w:val="Hyperlink"/>
            <w:sz w:val="24"/>
            <w:lang w:val="es-ES_tradnl"/>
          </w:rPr>
          <w:t>https://indicators.report/targets/3-9/</w:t>
        </w:r>
      </w:hyperlink>
      <w:r w:rsidRPr="00310C76">
        <w:rPr>
          <w:sz w:val="24"/>
          <w:lang w:val="es-ES_tradnl"/>
        </w:rPr>
        <w:t>.</w:t>
      </w:r>
    </w:p>
  </w:footnote>
  <w:footnote w:id="14">
    <w:p w14:paraId="1C88453B"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hyperlink r:id="rId15" w:history="1">
        <w:r w:rsidRPr="00310C76">
          <w:rPr>
            <w:rStyle w:val="Hyperlink"/>
            <w:sz w:val="24"/>
            <w:lang w:val="es-ES_tradnl"/>
          </w:rPr>
          <w:t>https://ec.europa.eu/commission/presscorner/detail/es/ip_22_7834</w:t>
        </w:r>
      </w:hyperlink>
      <w:r w:rsidRPr="00310C76">
        <w:rPr>
          <w:sz w:val="24"/>
          <w:lang w:val="es-ES_tradnl"/>
        </w:rPr>
        <w:t>.</w:t>
      </w:r>
    </w:p>
  </w:footnote>
  <w:footnote w:id="15">
    <w:p w14:paraId="32D4BCCE"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hyperlink r:id="rId16" w:history="1">
        <w:r w:rsidRPr="00310C76">
          <w:rPr>
            <w:rStyle w:val="Hyperlink"/>
            <w:color w:val="000000" w:themeColor="text1"/>
            <w:sz w:val="24"/>
            <w:lang w:val="es-ES_tradnl"/>
          </w:rPr>
          <w:t>https://commission.europa.eu/document/2c64e540-c07a-4376-a1da-368d289f4afe_en</w:t>
        </w:r>
      </w:hyperlink>
      <w:r w:rsidRPr="00310C76">
        <w:rPr>
          <w:sz w:val="24"/>
          <w:lang w:val="es-ES_tradnl"/>
        </w:rPr>
        <w:t>.</w:t>
      </w:r>
    </w:p>
  </w:footnote>
  <w:footnote w:id="16">
    <w:p w14:paraId="265BF28B"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color w:val="000000" w:themeColor="text1"/>
          <w:sz w:val="24"/>
          <w:lang w:val="es-ES_tradnl"/>
        </w:rPr>
        <w:t xml:space="preserve"> </w:t>
      </w:r>
      <w:r w:rsidR="00310C76" w:rsidRPr="00310C76">
        <w:rPr>
          <w:color w:val="000000" w:themeColor="text1"/>
          <w:sz w:val="24"/>
          <w:lang w:val="es-ES_tradnl"/>
        </w:rPr>
        <w:tab/>
      </w:r>
      <w:r w:rsidRPr="00310C76">
        <w:rPr>
          <w:color w:val="000000" w:themeColor="text1"/>
          <w:sz w:val="24"/>
          <w:lang w:val="es-ES_tradnl"/>
        </w:rPr>
        <w:t>De conformidad con artículo 6, apartado 3, del Reglamento (UE) n.º 182/2011, la Comisión no «adoptará», sino que «podrá adoptar» una autorización si no existe una mayoría cualificada de Estados miembros a favor en el Comité de Apelación.</w:t>
      </w:r>
    </w:p>
  </w:footnote>
  <w:footnote w:id="17">
    <w:p w14:paraId="307491D1"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color w:val="000000" w:themeColor="text1"/>
          <w:sz w:val="24"/>
          <w:lang w:val="es-ES_tradnl"/>
        </w:rPr>
        <w:t xml:space="preserve"> </w:t>
      </w:r>
      <w:r w:rsidR="00310C76" w:rsidRPr="00310C76">
        <w:rPr>
          <w:color w:val="000000" w:themeColor="text1"/>
          <w:sz w:val="24"/>
          <w:lang w:val="es-ES_tradnl"/>
        </w:rPr>
        <w:tab/>
      </w:r>
      <w:r w:rsidRPr="00310C76">
        <w:rPr>
          <w:color w:val="000000" w:themeColor="text1"/>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 </w:t>
      </w:r>
      <w:hyperlink r:id="rId17" w:tgtFrame="Gives access to this document through its ELI URI." w:history="1">
        <w:r w:rsidRPr="00310C76">
          <w:rPr>
            <w:rStyle w:val="Hyperlink"/>
            <w:color w:val="000000" w:themeColor="text1"/>
            <w:sz w:val="24"/>
            <w:lang w:val="es-ES_tradnl"/>
          </w:rPr>
          <w:t>http://data.europa.eu/eli/reg/2002/178/oj</w:t>
        </w:r>
      </w:hyperlink>
      <w:r w:rsidRPr="00310C76">
        <w:rPr>
          <w:color w:val="000000" w:themeColor="text1"/>
          <w:sz w:val="24"/>
          <w:lang w:val="es-ES_tradnl"/>
        </w:rPr>
        <w:t>).</w:t>
      </w:r>
    </w:p>
  </w:footnote>
  <w:footnote w:id="18">
    <w:p w14:paraId="030AD82B" w14:textId="45D3E161" w:rsidR="005F4965" w:rsidRPr="00310C76" w:rsidRDefault="005F4965" w:rsidP="00310C76">
      <w:pPr>
        <w:pStyle w:val="FootnoteText"/>
        <w:ind w:left="567" w:hanging="567"/>
        <w:rPr>
          <w:color w:val="000000" w:themeColor="text1"/>
          <w:sz w:val="24"/>
          <w:lang w:val="es-ES_tradnl"/>
        </w:rPr>
      </w:pPr>
      <w:r w:rsidRPr="00310C76">
        <w:rPr>
          <w:rStyle w:val="FootnoteReference"/>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r w:rsidRPr="00310C76">
        <w:rPr>
          <w:sz w:val="24"/>
          <w:lang w:val="es-ES_tradnl"/>
        </w:rPr>
        <w:t>Como se indica en el anexo de la Comunicación de la Comisión, de 14 de octubre de 2020, titulada «Estrategia de sostenibilidad para las sustancias químicas. Hacia un entorno sin sustancias tóxicas», C</w:t>
      </w:r>
      <w:r w:rsidR="00A84E43">
        <w:rPr>
          <w:sz w:val="24"/>
          <w:lang w:val="es-ES_tradnl"/>
        </w:rPr>
        <w:t>OM</w:t>
      </w:r>
      <w:r w:rsidRPr="00310C76">
        <w:rPr>
          <w:sz w:val="24"/>
          <w:lang w:val="es-ES_tradnl"/>
        </w:rPr>
        <w:t>(2</w:t>
      </w:r>
      <w:bookmarkStart w:id="8" w:name="_GoBack"/>
      <w:bookmarkEnd w:id="8"/>
      <w:r w:rsidRPr="00310C76">
        <w:rPr>
          <w:sz w:val="24"/>
          <w:lang w:val="es-ES_tradnl"/>
        </w:rPr>
        <w:t xml:space="preserve">020)0667, </w:t>
      </w:r>
      <w:hyperlink r:id="rId18" w:anchor="document2" w:history="1">
        <w:r w:rsidRPr="00310C76">
          <w:rPr>
            <w:rStyle w:val="Hyperlink"/>
            <w:color w:val="000000" w:themeColor="text1"/>
            <w:sz w:val="24"/>
            <w:lang w:val="es-ES_tradnl"/>
          </w:rPr>
          <w:t>https://eur-lex.europa.eu/legal-content/ES/TXT/?uri=CELEX:52020DC0667</w:t>
        </w:r>
      </w:hyperlink>
      <w:r w:rsidRPr="00310C76">
        <w:rPr>
          <w:sz w:val="24"/>
          <w:lang w:val="es-ES_tradnl"/>
        </w:rPr>
        <w:t>.</w:t>
      </w:r>
      <w:r w:rsidRPr="00310C76">
        <w:rPr>
          <w:color w:val="000000" w:themeColor="text1"/>
          <w:sz w:val="24"/>
          <w:lang w:val="es-ES_tradnl"/>
        </w:rPr>
        <w:t xml:space="preserve"> </w:t>
      </w:r>
    </w:p>
  </w:footnote>
  <w:footnote w:id="19">
    <w:p w14:paraId="5213A9E9"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sz w:val="24"/>
          <w:lang w:val="es-ES_tradnl"/>
        </w:rPr>
        <w:t xml:space="preserve"> </w:t>
      </w:r>
      <w:r w:rsidR="00310C76" w:rsidRPr="00310C76">
        <w:rPr>
          <w:sz w:val="24"/>
          <w:lang w:val="es-ES_tradnl"/>
        </w:rPr>
        <w:tab/>
      </w:r>
      <w:hyperlink r:id="rId19" w:history="1">
        <w:r w:rsidRPr="00310C76">
          <w:rPr>
            <w:rStyle w:val="Hyperlink"/>
            <w:color w:val="000000" w:themeColor="text1"/>
            <w:sz w:val="24"/>
            <w:lang w:val="es-ES_tradnl"/>
          </w:rPr>
          <w:t>https://tillymetz.lu/wp-content/uploads/2020/09/Co-signed-letter-MEP-Metz.pdf</w:t>
        </w:r>
      </w:hyperlink>
      <w:r w:rsidRPr="00310C76">
        <w:rPr>
          <w:sz w:val="24"/>
          <w:lang w:val="es-ES_tradnl"/>
        </w:rPr>
        <w:t>.</w:t>
      </w:r>
    </w:p>
  </w:footnote>
  <w:footnote w:id="20">
    <w:p w14:paraId="576A23A4" w14:textId="77777777" w:rsidR="005F4965" w:rsidRPr="00310C76" w:rsidRDefault="005F4965" w:rsidP="00310C76">
      <w:pPr>
        <w:pStyle w:val="FootnoteText"/>
        <w:ind w:left="567" w:hanging="567"/>
        <w:rPr>
          <w:color w:val="000000" w:themeColor="text1"/>
          <w:sz w:val="24"/>
          <w:lang w:val="es-ES_tradnl"/>
        </w:rPr>
      </w:pPr>
      <w:r w:rsidRPr="00310C76">
        <w:rPr>
          <w:rStyle w:val="Funotenzeichen"/>
          <w:color w:val="000000" w:themeColor="text1"/>
          <w:sz w:val="24"/>
          <w:lang w:val="es-ES_tradnl"/>
        </w:rPr>
        <w:footnoteRef/>
      </w:r>
      <w:r w:rsidR="00310C76" w:rsidRPr="00310C76">
        <w:rPr>
          <w:color w:val="000000" w:themeColor="text1"/>
          <w:sz w:val="24"/>
          <w:lang w:val="es-ES_tradnl"/>
        </w:rPr>
        <w:t xml:space="preserve"> </w:t>
      </w:r>
      <w:r w:rsidR="00310C76" w:rsidRPr="00310C76">
        <w:rPr>
          <w:color w:val="000000" w:themeColor="text1"/>
          <w:sz w:val="24"/>
          <w:lang w:val="es-ES_tradnl"/>
        </w:rPr>
        <w:tab/>
      </w:r>
      <w:r w:rsidRPr="00310C76">
        <w:rPr>
          <w:color w:val="000000" w:themeColor="text1"/>
          <w:sz w:val="24"/>
          <w:lang w:val="es-ES_tradnl"/>
        </w:rPr>
        <w:t>Resolución del Parlamento Europeo, de 15 de enero de 2020, sobre el Pacto Verde Europeo (DO C 270 de 7.7.2021, p. 2), apartado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36A71" w14:textId="77777777" w:rsidR="00064002" w:rsidRPr="00310C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CC58E" w14:textId="77777777" w:rsidR="00064002" w:rsidRPr="00310C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886B3" w14:textId="77777777" w:rsidR="00064002" w:rsidRPr="00310C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ES"/>
    <w:docVar w:name="dvnumam" w:val="0"/>
    <w:docVar w:name="dvpe" w:val="766.932"/>
    <w:docVar w:name="dvtitre" w:val="Resolución del Parlamento Europeo, de x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D102174/03 – 2024/3010(RSP))"/>
  </w:docVars>
  <w:rsids>
    <w:rsidRoot w:val="00904CE8"/>
    <w:rsid w:val="00002272"/>
    <w:rsid w:val="00064002"/>
    <w:rsid w:val="000677B9"/>
    <w:rsid w:val="000831BA"/>
    <w:rsid w:val="000A42CC"/>
    <w:rsid w:val="000E7DD9"/>
    <w:rsid w:val="0010095E"/>
    <w:rsid w:val="00125B37"/>
    <w:rsid w:val="00187494"/>
    <w:rsid w:val="001F32AE"/>
    <w:rsid w:val="002767FF"/>
    <w:rsid w:val="002B18FE"/>
    <w:rsid w:val="002B5493"/>
    <w:rsid w:val="00310C76"/>
    <w:rsid w:val="003426A0"/>
    <w:rsid w:val="00343214"/>
    <w:rsid w:val="00361C00"/>
    <w:rsid w:val="00395FA1"/>
    <w:rsid w:val="003E15D4"/>
    <w:rsid w:val="00411CCE"/>
    <w:rsid w:val="0041666E"/>
    <w:rsid w:val="00421060"/>
    <w:rsid w:val="00462997"/>
    <w:rsid w:val="00471C19"/>
    <w:rsid w:val="004867E3"/>
    <w:rsid w:val="00494A28"/>
    <w:rsid w:val="004C0004"/>
    <w:rsid w:val="004C5D52"/>
    <w:rsid w:val="0050519A"/>
    <w:rsid w:val="005072A1"/>
    <w:rsid w:val="00514517"/>
    <w:rsid w:val="00545827"/>
    <w:rsid w:val="00560270"/>
    <w:rsid w:val="005C2568"/>
    <w:rsid w:val="005F1B17"/>
    <w:rsid w:val="005F4965"/>
    <w:rsid w:val="006037C0"/>
    <w:rsid w:val="006631B6"/>
    <w:rsid w:val="00680577"/>
    <w:rsid w:val="006F74FA"/>
    <w:rsid w:val="00731ADD"/>
    <w:rsid w:val="00734777"/>
    <w:rsid w:val="00747932"/>
    <w:rsid w:val="00751A4A"/>
    <w:rsid w:val="00756632"/>
    <w:rsid w:val="00762C74"/>
    <w:rsid w:val="00773AFF"/>
    <w:rsid w:val="00786EC0"/>
    <w:rsid w:val="007D1690"/>
    <w:rsid w:val="007E22AD"/>
    <w:rsid w:val="00817416"/>
    <w:rsid w:val="00842779"/>
    <w:rsid w:val="00865F67"/>
    <w:rsid w:val="00881A7B"/>
    <w:rsid w:val="008840E5"/>
    <w:rsid w:val="00887B3E"/>
    <w:rsid w:val="008C2AC6"/>
    <w:rsid w:val="00904CE8"/>
    <w:rsid w:val="00930C23"/>
    <w:rsid w:val="0093193B"/>
    <w:rsid w:val="009509D8"/>
    <w:rsid w:val="00950B64"/>
    <w:rsid w:val="009659F4"/>
    <w:rsid w:val="00981893"/>
    <w:rsid w:val="00A1687D"/>
    <w:rsid w:val="00A43E52"/>
    <w:rsid w:val="00A4678D"/>
    <w:rsid w:val="00A778C7"/>
    <w:rsid w:val="00A84E43"/>
    <w:rsid w:val="00AB441E"/>
    <w:rsid w:val="00AB6293"/>
    <w:rsid w:val="00AE0928"/>
    <w:rsid w:val="00AF3B82"/>
    <w:rsid w:val="00B12E95"/>
    <w:rsid w:val="00B22876"/>
    <w:rsid w:val="00B558F0"/>
    <w:rsid w:val="00BC549E"/>
    <w:rsid w:val="00BD48FE"/>
    <w:rsid w:val="00BD7BD8"/>
    <w:rsid w:val="00BE6ADC"/>
    <w:rsid w:val="00C05BFE"/>
    <w:rsid w:val="00C23CD4"/>
    <w:rsid w:val="00C46F9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D77A4"/>
  <w15:chartTrackingRefBased/>
  <w15:docId w15:val="{A02B2CE0-AFEA-475B-A5E0-5048DA189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5F4965"/>
    <w:pPr>
      <w:spacing w:before="480" w:after="240"/>
    </w:pPr>
  </w:style>
  <w:style w:type="paragraph" w:customStyle="1" w:styleId="NormalHanging12a">
    <w:name w:val="NormalHanging12a"/>
    <w:basedOn w:val="Normal"/>
    <w:qFormat/>
    <w:rsid w:val="005F4965"/>
    <w:pPr>
      <w:spacing w:after="240"/>
      <w:ind w:left="567" w:hanging="567"/>
    </w:pPr>
  </w:style>
  <w:style w:type="character" w:styleId="Hyperlink">
    <w:name w:val="Hyperlink"/>
    <w:basedOn w:val="DefaultParagraphFont"/>
    <w:uiPriority w:val="99"/>
    <w:rsid w:val="005F4965"/>
    <w:rPr>
      <w:color w:val="0563C1" w:themeColor="hyperlink"/>
      <w:u w:val="single"/>
    </w:rPr>
  </w:style>
  <w:style w:type="character" w:customStyle="1" w:styleId="Funotenzeichen">
    <w:name w:val="Fußnotenzeichen"/>
    <w:qFormat/>
    <w:rsid w:val="005F4965"/>
    <w:rPr>
      <w:vertAlign w:val="superscript"/>
    </w:rPr>
  </w:style>
  <w:style w:type="paragraph" w:styleId="BalloonText">
    <w:name w:val="Balloon Text"/>
    <w:basedOn w:val="Normal"/>
    <w:link w:val="BalloonTextChar"/>
    <w:rsid w:val="003426A0"/>
    <w:rPr>
      <w:rFonts w:ascii="Segoe UI" w:hAnsi="Segoe UI" w:cs="Segoe UI"/>
      <w:sz w:val="18"/>
      <w:szCs w:val="18"/>
    </w:rPr>
  </w:style>
  <w:style w:type="character" w:customStyle="1" w:styleId="BalloonTextChar">
    <w:name w:val="Balloon Text Char"/>
    <w:basedOn w:val="DefaultParagraphFont"/>
    <w:link w:val="BalloonText"/>
    <w:rsid w:val="003426A0"/>
    <w:rPr>
      <w:rFonts w:ascii="Segoe UI" w:hAnsi="Segoe UI" w:cs="Segoe UI"/>
      <w:sz w:val="18"/>
      <w:szCs w:val="18"/>
      <w:lang w:val="es-ES_tradnl"/>
    </w:rPr>
  </w:style>
  <w:style w:type="character" w:styleId="CommentReference">
    <w:name w:val="annotation reference"/>
    <w:basedOn w:val="DefaultParagraphFont"/>
    <w:rsid w:val="00BC549E"/>
    <w:rPr>
      <w:sz w:val="16"/>
      <w:szCs w:val="16"/>
    </w:rPr>
  </w:style>
  <w:style w:type="paragraph" w:styleId="CommentText">
    <w:name w:val="annotation text"/>
    <w:basedOn w:val="Normal"/>
    <w:link w:val="CommentTextChar"/>
    <w:rsid w:val="00BC549E"/>
    <w:rPr>
      <w:sz w:val="20"/>
    </w:rPr>
  </w:style>
  <w:style w:type="character" w:customStyle="1" w:styleId="CommentTextChar">
    <w:name w:val="Comment Text Char"/>
    <w:basedOn w:val="DefaultParagraphFont"/>
    <w:link w:val="CommentText"/>
    <w:rsid w:val="00BC549E"/>
    <w:rPr>
      <w:lang w:val="es-ES_tradnl"/>
    </w:rPr>
  </w:style>
  <w:style w:type="paragraph" w:styleId="CommentSubject">
    <w:name w:val="annotation subject"/>
    <w:basedOn w:val="CommentText"/>
    <w:next w:val="CommentText"/>
    <w:link w:val="CommentSubjectChar"/>
    <w:rsid w:val="00BC549E"/>
    <w:rPr>
      <w:b/>
      <w:bCs/>
    </w:rPr>
  </w:style>
  <w:style w:type="character" w:customStyle="1" w:styleId="CommentSubjectChar">
    <w:name w:val="Comment Subject Char"/>
    <w:basedOn w:val="CommentTextChar"/>
    <w:link w:val="CommentSubject"/>
    <w:rsid w:val="00BC549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documents.un.org/doc/undoc/gen/g17/017/90/pdf/g1701790.pdf" TargetMode="External"/><Relationship Id="rId18" Type="http://schemas.openxmlformats.org/officeDocument/2006/relationships/hyperlink" Target="https://eur-lex.europa.eu/legal-content/ES/TXT/?uri=CELEX:52020DC0667"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es/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5F6BD-2FD4-4AD2-AEEC-5C961B8A2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2663</Words>
  <Characters>14120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ÁLVAREZ PENA Ana</cp:lastModifiedBy>
  <cp:revision>2</cp:revision>
  <cp:lastPrinted>2004-11-19T15:42:00Z</cp:lastPrinted>
  <dcterms:created xsi:type="dcterms:W3CDTF">2025-03-11T09:34:00Z</dcterms:created>
  <dcterms:modified xsi:type="dcterms:W3CDTF">2025-03-11T09:34:00Z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B10-0061/2025</vt:lpwstr>
  </property>
  <property fmtid="{D5CDD505-2E9C-101B-9397-08002B2CF9AE}" pid="4" name="&lt;Type&gt;">
    <vt:lpwstr>RR</vt:lpwstr>
  </property>
</Properties>
</file>