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1025" w:rsidTr="0010095E">
        <w:trPr>
          <w:trHeight w:hRule="exact" w:val="1418"/>
        </w:trPr>
        <w:tc>
          <w:tcPr>
            <w:tcW w:w="6804" w:type="dxa"/>
            <w:shd w:val="clear" w:color="auto" w:fill="auto"/>
            <w:vAlign w:val="center"/>
          </w:tcPr>
          <w:p w:rsidR="00751A4A" w:rsidRPr="00621025" w:rsidRDefault="006C31F4" w:rsidP="0010095E">
            <w:pPr>
              <w:pStyle w:val="EPName"/>
            </w:pPr>
            <w:r w:rsidRPr="00621025">
              <w:t>Euroopa Parlament</w:t>
            </w:r>
          </w:p>
          <w:p w:rsidR="00751A4A" w:rsidRPr="00621025" w:rsidRDefault="005F1B17" w:rsidP="005F1B17">
            <w:pPr>
              <w:pStyle w:val="EPTerm"/>
              <w:rPr>
                <w:rStyle w:val="HideTWBExt"/>
                <w:noProof w:val="0"/>
                <w:vanish w:val="0"/>
                <w:color w:val="auto"/>
              </w:rPr>
            </w:pPr>
            <w:r w:rsidRPr="00621025">
              <w:t>2024</w:t>
            </w:r>
            <w:r w:rsidR="00817416" w:rsidRPr="00621025">
              <w:t>-202</w:t>
            </w:r>
            <w:r w:rsidRPr="00621025">
              <w:t>9</w:t>
            </w:r>
          </w:p>
        </w:tc>
        <w:tc>
          <w:tcPr>
            <w:tcW w:w="2268" w:type="dxa"/>
            <w:shd w:val="clear" w:color="auto" w:fill="auto"/>
          </w:tcPr>
          <w:p w:rsidR="00751A4A" w:rsidRPr="00621025" w:rsidRDefault="00187494" w:rsidP="0010095E">
            <w:pPr>
              <w:pStyle w:val="EPLogo"/>
            </w:pPr>
            <w:r w:rsidRPr="0062102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1025" w:rsidRDefault="00D058B8" w:rsidP="004C5D52">
      <w:pPr>
        <w:pStyle w:val="LineTop"/>
      </w:pPr>
    </w:p>
    <w:p w:rsidR="00680577" w:rsidRPr="00621025" w:rsidRDefault="006C31F4" w:rsidP="00680577">
      <w:pPr>
        <w:pStyle w:val="EPBodyTA1"/>
      </w:pPr>
      <w:r w:rsidRPr="00621025">
        <w:t>VASTUVÕETUD TEKSTID</w:t>
      </w:r>
    </w:p>
    <w:p w:rsidR="00D058B8" w:rsidRPr="00621025" w:rsidRDefault="00D058B8" w:rsidP="00D058B8">
      <w:pPr>
        <w:pStyle w:val="LineBottom"/>
      </w:pPr>
    </w:p>
    <w:p w:rsidR="006C31F4" w:rsidRPr="00621025" w:rsidRDefault="006C31F4" w:rsidP="006C31F4">
      <w:pPr>
        <w:pStyle w:val="ATHeading1"/>
      </w:pPr>
      <w:bookmarkStart w:id="0" w:name="TANumber"/>
      <w:r w:rsidRPr="00621025">
        <w:t>P10_TA(2025)00</w:t>
      </w:r>
      <w:bookmarkEnd w:id="0"/>
      <w:r w:rsidR="007B3730">
        <w:t>14</w:t>
      </w:r>
    </w:p>
    <w:p w:rsidR="006C31F4" w:rsidRPr="00621025" w:rsidRDefault="008622C5" w:rsidP="006C31F4">
      <w:pPr>
        <w:pStyle w:val="ATHeading2"/>
      </w:pPr>
      <w:bookmarkStart w:id="1" w:name="title"/>
      <w:r w:rsidRPr="00621025">
        <w:t>G</w:t>
      </w:r>
      <w:r w:rsidR="006C31F4" w:rsidRPr="00621025">
        <w:t>eneetiliselt muundatud mais DP910521</w:t>
      </w:r>
      <w:bookmarkEnd w:id="1"/>
    </w:p>
    <w:p w:rsidR="006C31F4" w:rsidRPr="00621025" w:rsidRDefault="006C31F4" w:rsidP="006C31F4">
      <w:pPr>
        <w:rPr>
          <w:i/>
          <w:vanish/>
        </w:rPr>
      </w:pPr>
      <w:r w:rsidRPr="00621025">
        <w:rPr>
          <w:i/>
        </w:rPr>
        <w:fldChar w:fldCharType="begin"/>
      </w:r>
      <w:r w:rsidRPr="00621025">
        <w:rPr>
          <w:i/>
        </w:rPr>
        <w:instrText xml:space="preserve"> TC"(</w:instrText>
      </w:r>
      <w:bookmarkStart w:id="2" w:name="DocNumber"/>
      <w:r w:rsidRPr="00621025">
        <w:rPr>
          <w:i/>
        </w:rPr>
        <w:instrText>B10-0061/2025</w:instrText>
      </w:r>
      <w:bookmarkEnd w:id="2"/>
      <w:r w:rsidRPr="00621025">
        <w:rPr>
          <w:i/>
        </w:rPr>
        <w:instrText xml:space="preserve">)"\l3 \n&gt; \* MERGEFORMAT </w:instrText>
      </w:r>
      <w:r w:rsidRPr="00621025">
        <w:rPr>
          <w:i/>
        </w:rPr>
        <w:fldChar w:fldCharType="end"/>
      </w:r>
    </w:p>
    <w:p w:rsidR="006C31F4" w:rsidRPr="00621025" w:rsidRDefault="006C31F4" w:rsidP="006C31F4">
      <w:pPr>
        <w:rPr>
          <w:vanish/>
        </w:rPr>
      </w:pPr>
      <w:bookmarkStart w:id="3" w:name="PE"/>
      <w:r w:rsidRPr="00621025">
        <w:rPr>
          <w:vanish/>
        </w:rPr>
        <w:t>PE766.932</w:t>
      </w:r>
      <w:bookmarkEnd w:id="3"/>
    </w:p>
    <w:p w:rsidR="006C31F4" w:rsidRPr="00621025" w:rsidRDefault="008622C5" w:rsidP="008622C5">
      <w:pPr>
        <w:pStyle w:val="ATHeading3"/>
      </w:pPr>
      <w:bookmarkStart w:id="4" w:name="Sujet"/>
      <w:r w:rsidRPr="00621025">
        <w:t>Euroopa Parlamendi 12</w:t>
      </w:r>
      <w:r w:rsidR="006C31F4" w:rsidRPr="00621025">
        <w:t>.</w:t>
      </w:r>
      <w:r w:rsidRPr="00621025">
        <w:t> veebruari 2025. </w:t>
      </w:r>
      <w:r w:rsidR="006C31F4" w:rsidRPr="00621025">
        <w:t>aasta resolutsioon komisjoni rakendusotsuse eelnõu kohta, millega lubatakse viia turule geneetiliselt muundatud maisi DP910521 sisaldavaid, sellest koosnevaid või sellest toodetud tooteid vastavalt Euroopa Parlamendi ja nõukog</w:t>
      </w:r>
      <w:r w:rsidRPr="00621025">
        <w:t>u määrusele (EÜ) nr </w:t>
      </w:r>
      <w:r w:rsidR="006C31F4" w:rsidRPr="00621025">
        <w:t>1829/2003</w:t>
      </w:r>
      <w:bookmarkEnd w:id="4"/>
      <w:r w:rsidR="006C31F4" w:rsidRPr="00621025">
        <w:t xml:space="preserve"> </w:t>
      </w:r>
      <w:bookmarkStart w:id="5" w:name="References"/>
      <w:r w:rsidR="006C31F4" w:rsidRPr="00621025">
        <w:t>(D102174/03 – 2024/3010(RSP))</w:t>
      </w:r>
      <w:bookmarkEnd w:id="5"/>
    </w:p>
    <w:p w:rsidR="00751AF6" w:rsidRPr="00621025" w:rsidRDefault="00751AF6" w:rsidP="00751AF6">
      <w:pPr>
        <w:pStyle w:val="EPComma"/>
      </w:pPr>
      <w:bookmarkStart w:id="6" w:name="TextBodyBegin"/>
      <w:bookmarkEnd w:id="6"/>
      <w:r w:rsidRPr="00621025">
        <w:rPr>
          <w:i/>
        </w:rPr>
        <w:t>Euroopa Parlament</w:t>
      </w:r>
      <w:r w:rsidRPr="00621025">
        <w:t>,</w:t>
      </w:r>
    </w:p>
    <w:p w:rsidR="00751AF6" w:rsidRPr="00621025" w:rsidRDefault="00751AF6" w:rsidP="00751AF6">
      <w:pPr>
        <w:pStyle w:val="NormalHanging12a"/>
      </w:pPr>
      <w:r w:rsidRPr="00621025">
        <w:t>–</w:t>
      </w:r>
      <w:r w:rsidRPr="00621025">
        <w:tab/>
        <w:t>võttes arvesse komisjoni rakendusotsuse eelnõu, millega lubatakse viia turule geneetiliselt muundatud maisi DP910521 sisaldavaid, sellest koosnevaid või sellest toodetud tooteid vastavalt Euroopa Parla</w:t>
      </w:r>
      <w:r w:rsidR="008622C5" w:rsidRPr="00621025">
        <w:t>mendi ja nõukogu määrusele (EÜ) </w:t>
      </w:r>
      <w:r w:rsidRPr="00621025">
        <w:t>nr 1829/2003 (D102174/03),</w:t>
      </w:r>
    </w:p>
    <w:p w:rsidR="00751AF6" w:rsidRPr="00621025" w:rsidRDefault="00751AF6" w:rsidP="00751AF6">
      <w:pPr>
        <w:pStyle w:val="NormalHanging12a"/>
        <w:rPr>
          <w:szCs w:val="24"/>
        </w:rPr>
      </w:pPr>
      <w:r w:rsidRPr="00621025">
        <w:t>–</w:t>
      </w:r>
      <w:r w:rsidRPr="00621025">
        <w:tab/>
        <w:t>võttes arvesse Euroopa Parlamendi ja nõukogu 22. sep</w:t>
      </w:r>
      <w:r w:rsidR="008622C5" w:rsidRPr="00621025">
        <w:t>tembri 2003. aasta määrust (EÜ) </w:t>
      </w:r>
      <w:r w:rsidRPr="00621025">
        <w:t>nr 1829/2003 geneetiliselt muundatud toidu ja sööda kohta</w:t>
      </w:r>
      <w:r w:rsidRPr="00621025">
        <w:rPr>
          <w:rStyle w:val="FootnoteReference"/>
          <w:szCs w:val="24"/>
        </w:rPr>
        <w:footnoteReference w:id="1"/>
      </w:r>
      <w:r w:rsidRPr="00621025">
        <w:t>, eriti selle artikli 7 lõiget 3 ja artikli 19 lõiget 3,</w:t>
      </w:r>
    </w:p>
    <w:p w:rsidR="00751AF6" w:rsidRPr="00621025" w:rsidRDefault="00751AF6" w:rsidP="00751AF6">
      <w:pPr>
        <w:pStyle w:val="NormalHanging12a"/>
        <w:rPr>
          <w:szCs w:val="24"/>
        </w:rPr>
      </w:pPr>
      <w:r w:rsidRPr="00621025">
        <w:t>–</w:t>
      </w:r>
      <w:r w:rsidRPr="00621025">
        <w:tab/>
      </w:r>
      <w:r w:rsidR="008622C5" w:rsidRPr="00621025">
        <w:rPr>
          <w:shd w:val="clear" w:color="auto" w:fill="FFFFFF"/>
        </w:rPr>
        <w:t>võttes arvesse määruse (EÜ) </w:t>
      </w:r>
      <w:r w:rsidRPr="00621025">
        <w:rPr>
          <w:shd w:val="clear" w:color="auto" w:fill="FFFFFF"/>
        </w:rPr>
        <w:t>nr 1829/2003 artiklis 35 osutatud alalises taime-, loom</w:t>
      </w:r>
      <w:r w:rsidR="008622C5" w:rsidRPr="00621025">
        <w:rPr>
          <w:shd w:val="clear" w:color="auto" w:fill="FFFFFF"/>
        </w:rPr>
        <w:t>a-, toidu- ja söödakomitees 22. </w:t>
      </w:r>
      <w:r w:rsidRPr="00621025">
        <w:rPr>
          <w:shd w:val="clear" w:color="auto" w:fill="FFFFFF"/>
        </w:rPr>
        <w:t>novembril 2024 toimunud hääletust, mille tulemusel</w:t>
      </w:r>
      <w:r w:rsidR="008622C5" w:rsidRPr="00621025">
        <w:rPr>
          <w:shd w:val="clear" w:color="auto" w:fill="FFFFFF"/>
        </w:rPr>
        <w:t xml:space="preserve"> arvamust ei esitatud, ning 17. </w:t>
      </w:r>
      <w:r w:rsidRPr="00621025">
        <w:rPr>
          <w:shd w:val="clear" w:color="auto" w:fill="FFFFFF"/>
        </w:rPr>
        <w:t>detsembril 2024 apellatsioonikomitees toimunud hääletust, mille tulemusel samuti arvamust ei esitatud,</w:t>
      </w:r>
    </w:p>
    <w:p w:rsidR="00751AF6" w:rsidRPr="00621025" w:rsidRDefault="00751AF6" w:rsidP="00751AF6">
      <w:pPr>
        <w:pStyle w:val="NormalHanging12a"/>
        <w:rPr>
          <w:szCs w:val="24"/>
        </w:rPr>
      </w:pPr>
      <w:r w:rsidRPr="00621025">
        <w:t>–</w:t>
      </w:r>
      <w:r w:rsidRPr="00621025">
        <w:tab/>
        <w:t>võttes arvesse Eu</w:t>
      </w:r>
      <w:r w:rsidR="008622C5" w:rsidRPr="00621025">
        <w:t>roopa Parlamendi ja nõukogu 16. </w:t>
      </w:r>
      <w:r w:rsidRPr="00621025">
        <w:t>vee</w:t>
      </w:r>
      <w:r w:rsidR="008622C5" w:rsidRPr="00621025">
        <w:t>bruari 2011. aasta määruse (EL) nr </w:t>
      </w:r>
      <w:r w:rsidRPr="00621025">
        <w:t>182/2011</w:t>
      </w:r>
      <w:r w:rsidRPr="00621025">
        <w:rPr>
          <w:rStyle w:val="FootnoteReference"/>
          <w:szCs w:val="24"/>
        </w:rPr>
        <w:footnoteReference w:id="2"/>
      </w:r>
      <w:r w:rsidR="00AB4A5D" w:rsidRPr="00621025">
        <w:t>,</w:t>
      </w:r>
      <w:r w:rsidRPr="00621025">
        <w:t xml:space="preserve"> millega kehtestatakse eeskirjad ja üldpõhimõtted, mis käsitlevad liikmesriikide läbiviidava kontrolli mehhanisme, mida kohaldatakse komisjoni rakendamisvolitu</w:t>
      </w:r>
      <w:r w:rsidR="008622C5" w:rsidRPr="00621025">
        <w:t>ste teostamise suhtes</w:t>
      </w:r>
      <w:r w:rsidR="00AB4A5D" w:rsidRPr="00621025">
        <w:t>,</w:t>
      </w:r>
      <w:r w:rsidR="008622C5" w:rsidRPr="00621025">
        <w:t xml:space="preserve"> artiklit </w:t>
      </w:r>
      <w:r w:rsidRPr="00621025">
        <w:t>11,</w:t>
      </w:r>
    </w:p>
    <w:p w:rsidR="00751AF6" w:rsidRPr="00621025" w:rsidRDefault="00751AF6" w:rsidP="00751AF6">
      <w:pPr>
        <w:pStyle w:val="NormalHanging12a"/>
        <w:rPr>
          <w:szCs w:val="24"/>
        </w:rPr>
      </w:pPr>
      <w:r w:rsidRPr="00621025">
        <w:t>–</w:t>
      </w:r>
      <w:r w:rsidRPr="00621025">
        <w:tab/>
        <w:t>võttes arvesse Euro</w:t>
      </w:r>
      <w:r w:rsidR="008622C5" w:rsidRPr="00621025">
        <w:t>opa Toiduohutusameti (EFSA) 19. juunil </w:t>
      </w:r>
      <w:r w:rsidRPr="00621025">
        <w:t>2024 vastu võetud ja 1.</w:t>
      </w:r>
      <w:r w:rsidR="008622C5" w:rsidRPr="00621025">
        <w:t> augustil </w:t>
      </w:r>
      <w:r w:rsidRPr="00621025">
        <w:t>2024 avaldatud arvamust</w:t>
      </w:r>
      <w:r w:rsidRPr="00621025">
        <w:rPr>
          <w:rStyle w:val="FootnoteReference"/>
          <w:szCs w:val="24"/>
        </w:rPr>
        <w:footnoteReference w:id="3"/>
      </w:r>
      <w:r w:rsidRPr="00621025">
        <w:t>,</w:t>
      </w:r>
    </w:p>
    <w:p w:rsidR="00751AF6" w:rsidRPr="00621025" w:rsidRDefault="00751AF6" w:rsidP="00751AF6">
      <w:pPr>
        <w:pStyle w:val="NormalHanging12a"/>
        <w:rPr>
          <w:szCs w:val="24"/>
        </w:rPr>
      </w:pPr>
      <w:r w:rsidRPr="00621025">
        <w:t>–</w:t>
      </w:r>
      <w:r w:rsidRPr="00621025">
        <w:tab/>
      </w:r>
      <w:r w:rsidRPr="00621025">
        <w:rPr>
          <w:shd w:val="clear" w:color="auto" w:fill="FFFFFF"/>
        </w:rPr>
        <w:t xml:space="preserve">võttes arvesse oma varasemaid resolutsioone, milles esitatakse vastuväiteid geneetiliselt </w:t>
      </w:r>
      <w:r w:rsidRPr="00621025">
        <w:rPr>
          <w:shd w:val="clear" w:color="auto" w:fill="FFFFFF"/>
        </w:rPr>
        <w:lastRenderedPageBreak/>
        <w:t>muundatud organismide (GMOd) kasutamiseks lubade andmisele</w:t>
      </w:r>
      <w:r w:rsidRPr="00621025">
        <w:rPr>
          <w:rStyle w:val="FootnoteReference"/>
          <w:szCs w:val="24"/>
          <w:shd w:val="clear" w:color="auto" w:fill="FFFFFF"/>
        </w:rPr>
        <w:footnoteReference w:id="4"/>
      </w:r>
      <w:r w:rsidRPr="00621025">
        <w:rPr>
          <w:shd w:val="clear" w:color="auto" w:fill="FFFFFF"/>
        </w:rPr>
        <w:t>,</w:t>
      </w:r>
    </w:p>
    <w:p w:rsidR="00751AF6" w:rsidRPr="00621025" w:rsidRDefault="00751AF6" w:rsidP="00751AF6">
      <w:pPr>
        <w:pStyle w:val="NormalHanging12a"/>
        <w:rPr>
          <w:szCs w:val="24"/>
        </w:rPr>
      </w:pPr>
      <w:r w:rsidRPr="00621025">
        <w:t>–</w:t>
      </w:r>
      <w:r w:rsidRPr="00621025">
        <w:tab/>
        <w:t>võttes arvesse kodukorra artikl</w:t>
      </w:r>
      <w:r w:rsidR="008622C5" w:rsidRPr="00621025">
        <w:t>i 115 lõikeid 2 ja </w:t>
      </w:r>
      <w:r w:rsidRPr="00621025">
        <w:t>3,</w:t>
      </w:r>
    </w:p>
    <w:p w:rsidR="00751AF6" w:rsidRPr="00621025" w:rsidRDefault="00751AF6" w:rsidP="00751AF6">
      <w:pPr>
        <w:pStyle w:val="NormalHanging12a"/>
        <w:rPr>
          <w:szCs w:val="24"/>
        </w:rPr>
      </w:pPr>
      <w:r w:rsidRPr="00621025">
        <w:t>–</w:t>
      </w:r>
      <w:r w:rsidRPr="00621025">
        <w:tab/>
        <w:t xml:space="preserve">võttes arvesse keskkonna-, </w:t>
      </w:r>
      <w:r w:rsidR="008622C5" w:rsidRPr="00621025">
        <w:t xml:space="preserve">kliima- </w:t>
      </w:r>
      <w:r w:rsidRPr="00621025">
        <w:t>ja toiduohutuse komisjoni resolutsiooni ettepanekut,</w:t>
      </w:r>
    </w:p>
    <w:p w:rsidR="00751AF6" w:rsidRPr="00621025" w:rsidRDefault="008622C5" w:rsidP="00751AF6">
      <w:pPr>
        <w:pStyle w:val="NormalHanging12a"/>
        <w:rPr>
          <w:szCs w:val="24"/>
        </w:rPr>
      </w:pPr>
      <w:r w:rsidRPr="00621025">
        <w:t>A.</w:t>
      </w:r>
      <w:r w:rsidRPr="00621025">
        <w:tab/>
        <w:t>arvestades, et 27. juunil </w:t>
      </w:r>
      <w:r w:rsidR="00751AF6" w:rsidRPr="00621025">
        <w:t>2022 esitas Belgias asuv äriühing Corteva Agriscience Belgium B.V. Ameerika Ühendriikides asuva äriühingu Corteva Agriscience LLC nimel Madalmaade pädevale asutusele taotluse geneetiliselt muundatud maisi DP910521 (edaspidi „geneetiliselt muundatud mais“) sisaldavate, sellest koosnevate või sellest toodetud toidu, toidu koostisosade ja sööda turule laskmiseks;</w:t>
      </w:r>
    </w:p>
    <w:p w:rsidR="00751AF6" w:rsidRPr="00621025" w:rsidRDefault="00751AF6" w:rsidP="00751AF6">
      <w:pPr>
        <w:pStyle w:val="NormalHanging12a"/>
        <w:rPr>
          <w:szCs w:val="24"/>
        </w:rPr>
      </w:pPr>
      <w:r w:rsidRPr="00621025">
        <w:t>B.</w:t>
      </w:r>
      <w:r w:rsidRPr="00621025">
        <w:tab/>
        <w:t xml:space="preserve">arvestades, et geneetiliselt muundatud mais toodab toksiini Cry1B.34 ja on resistentne </w:t>
      </w:r>
      <w:r w:rsidRPr="00621025">
        <w:lastRenderedPageBreak/>
        <w:t>herbitsiid glufosinaadi suhtes;</w:t>
      </w:r>
    </w:p>
    <w:p w:rsidR="00751AF6" w:rsidRPr="00621025" w:rsidRDefault="00751AF6" w:rsidP="00751AF6">
      <w:pPr>
        <w:pStyle w:val="NormalHanging12a"/>
        <w:tabs>
          <w:tab w:val="left" w:pos="0"/>
        </w:tabs>
        <w:suppressAutoHyphens/>
        <w:rPr>
          <w:szCs w:val="24"/>
        </w:rPr>
      </w:pPr>
      <w:r w:rsidRPr="00621025">
        <w:t>C.</w:t>
      </w:r>
      <w:r w:rsidRPr="00621025">
        <w:tab/>
        <w:t>arvestades, et glufosinaat on klassifitseeritud kategooria 1B reproduktiivtoksiliseks aineks ning seetõttu kehtivad selle suhtes Euroopa Parl</w:t>
      </w:r>
      <w:r w:rsidR="008622C5" w:rsidRPr="00621025">
        <w:t>amendi ja nõukogu määruses (EÜ) </w:t>
      </w:r>
      <w:r w:rsidRPr="00621025">
        <w:t>nr 1107/2009</w:t>
      </w:r>
      <w:r w:rsidRPr="00621025">
        <w:rPr>
          <w:rStyle w:val="FootnoteReference"/>
          <w:szCs w:val="24"/>
        </w:rPr>
        <w:footnoteReference w:id="5"/>
      </w:r>
      <w:r w:rsidRPr="00621025">
        <w:t xml:space="preserve"> sätestatud piirkriteeriumid; arvestades, et glufosinaat oli liidus kasutamiseks heaks kiidetud ajavahemikuks, mis lõppes 31. juulil 2018;</w:t>
      </w:r>
    </w:p>
    <w:p w:rsidR="00751AF6" w:rsidRPr="00621025" w:rsidRDefault="00751AF6" w:rsidP="00751AF6">
      <w:pPr>
        <w:pStyle w:val="NormalHanging12a"/>
        <w:tabs>
          <w:tab w:val="left" w:pos="0"/>
        </w:tabs>
        <w:suppressAutoHyphens/>
        <w:rPr>
          <w:szCs w:val="24"/>
        </w:rPr>
      </w:pPr>
      <w:r w:rsidRPr="00621025">
        <w:t>D.</w:t>
      </w:r>
      <w:r w:rsidRPr="00621025">
        <w:tab/>
        <w:t>arvestades, et Cry1B.34 on sünteetiline liitvalk, milles on ühendatud Cry1B, Cry1Ca1 ja Cry9Db1 ning mis on kavandatud resistentsuse saavutamiseks liblikaliste kahjurite vastu, ilma tõendatud selektiivsuseta sihtliikide suhtes;</w:t>
      </w:r>
    </w:p>
    <w:p w:rsidR="00751AF6" w:rsidRPr="00621025" w:rsidRDefault="00751AF6" w:rsidP="00751AF6">
      <w:pPr>
        <w:pStyle w:val="NormalHanging12a"/>
        <w:tabs>
          <w:tab w:val="left" w:pos="0"/>
        </w:tabs>
        <w:suppressAutoHyphens/>
        <w:rPr>
          <w:szCs w:val="24"/>
        </w:rPr>
      </w:pPr>
      <w:r w:rsidRPr="00621025">
        <w:t>E.</w:t>
      </w:r>
      <w:r w:rsidRPr="00621025">
        <w:tab/>
        <w:t>arvestades, et geneetiline muundamine hõlmab kaheastmelist protsessi, mille puhul luuakse CRISPR/Cas9 abil n</w:t>
      </w:r>
      <w:r w:rsidR="00553627" w:rsidRPr="00621025">
        <w:t>-</w:t>
      </w:r>
      <w:r w:rsidRPr="00621025">
        <w:t>ö maandumispind, millele järgneb mikroraketiga pommitamine geeni avaldumise kasseti sisseviimiseks;</w:t>
      </w:r>
    </w:p>
    <w:p w:rsidR="00751AF6" w:rsidRPr="00621025" w:rsidRDefault="00751AF6" w:rsidP="00751AF6">
      <w:pPr>
        <w:pStyle w:val="NormalHanging12a"/>
        <w:rPr>
          <w:b/>
          <w:i/>
          <w:szCs w:val="24"/>
        </w:rPr>
      </w:pPr>
      <w:r w:rsidRPr="00621025">
        <w:rPr>
          <w:b/>
          <w:i/>
        </w:rPr>
        <w:t>Lisaherbitsiidi käsitleva hinnangu puudumine</w:t>
      </w:r>
    </w:p>
    <w:p w:rsidR="00751AF6" w:rsidRPr="00621025" w:rsidRDefault="00751AF6" w:rsidP="00751AF6">
      <w:pPr>
        <w:pStyle w:val="NormalHanging12a"/>
        <w:tabs>
          <w:tab w:val="left" w:pos="0"/>
        </w:tabs>
        <w:suppressAutoHyphens/>
        <w:rPr>
          <w:szCs w:val="24"/>
        </w:rPr>
      </w:pPr>
      <w:r w:rsidRPr="00621025">
        <w:t>F.</w:t>
      </w:r>
      <w:r w:rsidRPr="00621025">
        <w:tab/>
        <w:t>arvestades, et</w:t>
      </w:r>
      <w:r w:rsidR="008622C5" w:rsidRPr="00621025">
        <w:t xml:space="preserve"> komisjoni rakendusmääruse (EL) </w:t>
      </w:r>
      <w:r w:rsidRPr="00621025">
        <w:t>nr 503/2013</w:t>
      </w:r>
      <w:r w:rsidRPr="00621025">
        <w:rPr>
          <w:rStyle w:val="FootnoteReference"/>
          <w:szCs w:val="24"/>
        </w:rPr>
        <w:footnoteReference w:id="6"/>
      </w:r>
      <w:r w:rsidRPr="00621025">
        <w:t xml:space="preserve"> kohaselt tuleb hinnata, kas eeldatavad põllumajandustavad mõjutavad uuritud lõpp-produktide tulemust; arvestades, et rakendusmääruse kohaselt on see eriti oluline herbitsiiditolerantsete taimede puhul;</w:t>
      </w:r>
    </w:p>
    <w:p w:rsidR="00751AF6" w:rsidRPr="00621025" w:rsidRDefault="00751AF6" w:rsidP="00751AF6">
      <w:pPr>
        <w:pStyle w:val="NormalHanging12a"/>
        <w:tabs>
          <w:tab w:val="left" w:pos="0"/>
        </w:tabs>
        <w:suppressAutoHyphens/>
        <w:rPr>
          <w:szCs w:val="24"/>
        </w:rPr>
      </w:pPr>
      <w:r w:rsidRPr="00621025">
        <w:t>G.</w:t>
      </w:r>
      <w:r w:rsidRPr="00621025">
        <w:tab/>
        <w:t>arvestades, et valdavat osa geneetiliselt muundatud kultuuridest on geneetiliselt muundatud nii, et need on tolerantsed vähemalt veel ühe herbitsiidi suhtes, mida saab kasutada kogu geneetiliselt muundatud kultuuri kasvatamise ajal, ilma et taimed sureks, nagu juhtuks herbitsiidide suhtes mittetolerantsete kultuuride puhul; arvestades, et mitu uuringut näitab, et herbitsiiditolerantsete geneetiliselt muundatud kultuuride kasvatamise tõttu hakatakse rohkem kasutama lisaherbitsiide, seda peamiselt herbitsiiditolerantse umbrohu tekke tõttu</w:t>
      </w:r>
      <w:r w:rsidRPr="00621025">
        <w:rPr>
          <w:rStyle w:val="FootnoteReference"/>
          <w:szCs w:val="24"/>
        </w:rPr>
        <w:footnoteReference w:id="7"/>
      </w:r>
      <w:r w:rsidRPr="00621025">
        <w:t>;</w:t>
      </w:r>
    </w:p>
    <w:p w:rsidR="00751AF6" w:rsidRPr="00621025" w:rsidRDefault="00751AF6" w:rsidP="00751AF6">
      <w:pPr>
        <w:pStyle w:val="NormalHanging12a"/>
        <w:tabs>
          <w:tab w:val="left" w:pos="0"/>
        </w:tabs>
        <w:suppressAutoHyphens/>
        <w:rPr>
          <w:szCs w:val="24"/>
        </w:rPr>
      </w:pPr>
      <w:r w:rsidRPr="00621025">
        <w:t>H.</w:t>
      </w:r>
      <w:r w:rsidRPr="00621025">
        <w:tab/>
        <w:t xml:space="preserve">arvestades, et herbitsiiditolerantsete geneetiliselt muundatud kultuuride puhul sõltuvad põllumajandustootjad umbrohutõrjesüsteemist, mis põhineb suures osas või täielikult herbitsiididel, nõudes neilt geneetiliselt muundatud seemnete eest lisatasu, mis on </w:t>
      </w:r>
      <w:r w:rsidRPr="00621025">
        <w:lastRenderedPageBreak/>
        <w:t>õigustatud ainult siis, kui selliseid seemneid ostvad põllumajandustootjad kasutavad ka lisaherbitsiide; arvestades, et geneetiliselt muundatud kultuure kasvatavate põllumajandusettevõtjate suurem sõltuvus lisaherbitsiididest kiirendab nende herbitsiidide suhtes resistentse umbrohu teket ja levikut ning suurendab seega veelgi vajadust herbitsiidide kasutamise järele, tekitades nõiaringi, kus nendest loobuda on keeruline;</w:t>
      </w:r>
    </w:p>
    <w:p w:rsidR="00751AF6" w:rsidRPr="00621025" w:rsidRDefault="00751AF6" w:rsidP="00751AF6">
      <w:pPr>
        <w:pStyle w:val="NormalHanging12a"/>
        <w:tabs>
          <w:tab w:val="left" w:pos="0"/>
        </w:tabs>
        <w:suppressAutoHyphens/>
        <w:rPr>
          <w:szCs w:val="24"/>
        </w:rPr>
      </w:pPr>
      <w:r w:rsidRPr="00621025">
        <w:t>I.</w:t>
      </w:r>
      <w:r w:rsidRPr="00621025">
        <w:tab/>
        <w:t>arvestades, et seega suureneb herbitsiidide liigsest kasutamisest tingitud kahjulik mõju mulla seisundile, vee kvaliteedile ning maapealsele ja -alusele elurikkusele, samuti suureneb inimeste ja loomade kokkupuude nendega, võimalik et ka toidus ja söödas leiduvate herbitsiidijääkide suurenemise tõttu;</w:t>
      </w:r>
    </w:p>
    <w:p w:rsidR="00751AF6" w:rsidRPr="00621025" w:rsidRDefault="00751AF6" w:rsidP="00751AF6">
      <w:pPr>
        <w:pStyle w:val="NormalHanging12a"/>
        <w:tabs>
          <w:tab w:val="left" w:pos="0"/>
        </w:tabs>
        <w:suppressAutoHyphens/>
        <w:rPr>
          <w:szCs w:val="24"/>
        </w:rPr>
      </w:pPr>
      <w:r w:rsidRPr="00621025">
        <w:t>J.</w:t>
      </w:r>
      <w:r w:rsidRPr="00621025">
        <w:tab/>
        <w:t>arvestades, et geneetiliselt muundatud taimede herbitsiidijääkide ja neis leitud metaboliitide hindamist ei loeta EFSA geneetiliselt muundatud organismide komisjoni (edaspidi „EFSA GMO komisjon“) pädevusse kuuluvaks ning seetõttu ei ole seda GMOde loamenetluse osana ette võetud;</w:t>
      </w:r>
    </w:p>
    <w:p w:rsidR="00751AF6" w:rsidRPr="00621025" w:rsidRDefault="00751AF6" w:rsidP="00751AF6">
      <w:pPr>
        <w:pStyle w:val="NormalHanging12a"/>
        <w:rPr>
          <w:b/>
          <w:i/>
          <w:szCs w:val="24"/>
        </w:rPr>
      </w:pPr>
      <w:r w:rsidRPr="00621025">
        <w:rPr>
          <w:b/>
          <w:i/>
        </w:rPr>
        <w:t>Bt-toksiinidega seotud lahendamata küsimused</w:t>
      </w:r>
    </w:p>
    <w:p w:rsidR="00751AF6" w:rsidRPr="00621025" w:rsidRDefault="00751AF6" w:rsidP="00751AF6">
      <w:pPr>
        <w:pStyle w:val="NormalHanging12a"/>
        <w:tabs>
          <w:tab w:val="left" w:pos="0"/>
        </w:tabs>
        <w:suppressAutoHyphens/>
        <w:rPr>
          <w:szCs w:val="24"/>
        </w:rPr>
      </w:pPr>
      <w:r w:rsidRPr="00621025">
        <w:t>K.</w:t>
      </w:r>
      <w:r w:rsidRPr="00621025">
        <w:tab/>
        <w:t>arvestades, et mitmes uuringus on täheldatud, et kokkupuude Bt-toksiinidega on põhjustanud kõrvaltoimeid, mis võivad mõjutada immuunsüsteemi, ja et mõnel Bt-toksiinil võivad olla adjuvandi omadused</w:t>
      </w:r>
      <w:r w:rsidRPr="00621025">
        <w:rPr>
          <w:rStyle w:val="FootnoteReference"/>
          <w:szCs w:val="24"/>
        </w:rPr>
        <w:footnoteReference w:id="8"/>
      </w:r>
      <w:r w:rsidRPr="00621025">
        <w:t>, mis tähendab, et need võivad suurendada teiste valkude allergeensust, millega nad kokku puutuvad;</w:t>
      </w:r>
    </w:p>
    <w:p w:rsidR="00751AF6" w:rsidRPr="00621025" w:rsidRDefault="00751AF6" w:rsidP="00751AF6">
      <w:pPr>
        <w:pStyle w:val="NormalHanging12a"/>
        <w:tabs>
          <w:tab w:val="left" w:pos="0"/>
        </w:tabs>
        <w:suppressAutoHyphens/>
        <w:rPr>
          <w:szCs w:val="24"/>
        </w:rPr>
      </w:pPr>
      <w:r w:rsidRPr="00621025">
        <w:t>L.</w:t>
      </w:r>
      <w:r w:rsidRPr="00621025">
        <w:tab/>
        <w:t>arvestades, et ühes teadusuuringus leiti, et Bt-toksiinide toksilisust võib suurendada ka koostoime herbitsiidide pihustamise jääkidega ning et on vaja lisauuringuid nn mitmekordse transformatsiooni kombineeritud mõju kohta (geneetiliselt muundatud põllukultuurid, mis on muudetud herbitsiiditaluvaks ja Bt-toksiinide näol insektitsiide tekitavaks)</w:t>
      </w:r>
      <w:r w:rsidRPr="00621025">
        <w:rPr>
          <w:rStyle w:val="FootnoteReference"/>
          <w:szCs w:val="24"/>
        </w:rPr>
        <w:footnoteReference w:id="9"/>
      </w:r>
      <w:r w:rsidRPr="00621025">
        <w:t>; arvestades, et herbitsiidijääkide ja nende metaboliitide ning Bt-toksiinide võimaliku koostoime hindamist ei peeta siiski EFSA GMO-komisjoni pädevusse kuuluvaks ning seetõttu seda riskihindamise raames ei hinnata;</w:t>
      </w:r>
    </w:p>
    <w:p w:rsidR="00751AF6" w:rsidRPr="00621025" w:rsidRDefault="00751AF6" w:rsidP="00751AF6">
      <w:pPr>
        <w:pStyle w:val="NormalHanging12a"/>
        <w:rPr>
          <w:b/>
          <w:i/>
          <w:szCs w:val="24"/>
        </w:rPr>
      </w:pPr>
      <w:r w:rsidRPr="00621025">
        <w:rPr>
          <w:b/>
          <w:i/>
        </w:rPr>
        <w:t>Bt-kultuurid: mõju mittesihtorganismidele</w:t>
      </w:r>
    </w:p>
    <w:p w:rsidR="00751AF6" w:rsidRPr="00621025" w:rsidRDefault="00751AF6" w:rsidP="00751AF6">
      <w:pPr>
        <w:pStyle w:val="NormalHanging12a"/>
        <w:tabs>
          <w:tab w:val="left" w:pos="0"/>
        </w:tabs>
        <w:suppressAutoHyphens/>
        <w:rPr>
          <w:szCs w:val="24"/>
        </w:rPr>
      </w:pPr>
      <w:r w:rsidRPr="00621025">
        <w:t>M.</w:t>
      </w:r>
      <w:r w:rsidRPr="00621025">
        <w:tab/>
        <w:t xml:space="preserve">arvestades, et erinevalt insektitsiidide kasutusest, mille puhul kokkupuude toimub pihustamise ajal ja piiratud aja jooksul pärast seda, </w:t>
      </w:r>
      <w:r w:rsidR="008622C5" w:rsidRPr="00621025">
        <w:t>toob geneetiliselt muundatud Bt</w:t>
      </w:r>
      <w:r w:rsidR="008622C5" w:rsidRPr="00621025">
        <w:noBreakHyphen/>
      </w:r>
      <w:r w:rsidRPr="00621025">
        <w:t>kultuuride kasutamine kaasa sihtorganismide ja muude kui sihtorganismide pideva kokkupuute Bt-toksiinidega;</w:t>
      </w:r>
    </w:p>
    <w:p w:rsidR="00751AF6" w:rsidRPr="00621025" w:rsidRDefault="00751AF6" w:rsidP="00751AF6">
      <w:pPr>
        <w:pStyle w:val="NormalHanging12a"/>
        <w:tabs>
          <w:tab w:val="left" w:pos="0"/>
        </w:tabs>
        <w:suppressAutoHyphens/>
        <w:rPr>
          <w:szCs w:val="24"/>
        </w:rPr>
      </w:pPr>
      <w:r w:rsidRPr="00621025">
        <w:t>N.</w:t>
      </w:r>
      <w:r w:rsidRPr="00621025">
        <w:tab/>
        <w:t xml:space="preserve">arvestades, et eeldust, et Bt-toksiinidel on ainult ühe sihtmärgiga toimeviis, ei saa enam tõeseks pidada ja mõju sihtrühma mittekuuluvatele organismidele ei saa välistada; arvestades, et teadete kohaselt on järjest rohkem sihtrühma mittekuuluvaid organisme </w:t>
      </w:r>
      <w:r w:rsidRPr="00621025">
        <w:lastRenderedPageBreak/>
        <w:t>mitmel viisil mõjutatud;</w:t>
      </w:r>
    </w:p>
    <w:p w:rsidR="00751AF6" w:rsidRPr="00621025" w:rsidRDefault="00751AF6" w:rsidP="00751AF6">
      <w:pPr>
        <w:pStyle w:val="NormalHanging12a"/>
        <w:rPr>
          <w:b/>
          <w:i/>
          <w:szCs w:val="24"/>
        </w:rPr>
      </w:pPr>
      <w:r w:rsidRPr="00621025">
        <w:rPr>
          <w:b/>
          <w:i/>
        </w:rPr>
        <w:t>Liikmesriikide ja sidusrühmade kommentaarid</w:t>
      </w:r>
    </w:p>
    <w:p w:rsidR="00751AF6" w:rsidRPr="00621025" w:rsidRDefault="00751AF6" w:rsidP="00751AF6">
      <w:pPr>
        <w:pStyle w:val="NormalHanging12a"/>
        <w:tabs>
          <w:tab w:val="left" w:pos="0"/>
        </w:tabs>
        <w:suppressAutoHyphens/>
        <w:rPr>
          <w:szCs w:val="24"/>
        </w:rPr>
      </w:pPr>
      <w:r w:rsidRPr="00621025">
        <w:t>O.</w:t>
      </w:r>
      <w:r w:rsidRPr="00621025">
        <w:tab/>
        <w:t>arvestades, et liikmesriigid esitasid EFSA-le kolmekuulise konsultatsiooniperioodi</w:t>
      </w:r>
      <w:r w:rsidRPr="00621025">
        <w:rPr>
          <w:rStyle w:val="FootnoteReference"/>
          <w:szCs w:val="24"/>
        </w:rPr>
        <w:footnoteReference w:id="10"/>
      </w:r>
      <w:r w:rsidRPr="00621025">
        <w:t xml:space="preserve"> jooksul palju kriitilisi märkusi, sealhulgas kritiseeriti asjaolu, et taotleja esitatud kirjanduse ülevaates sisalduvas asjakohaste uuringute loetelus ei olnud uuringuid selle kohta, mis Bt-valkudega keskkonnas toimub, ega Bt-kultuuride jääkide võimaliku mõju kohta mittesihtorganismidele, kui</w:t>
      </w:r>
      <w:r w:rsidR="008622C5" w:rsidRPr="00621025">
        <w:t>gi sellised uuringud on olemas;</w:t>
      </w:r>
    </w:p>
    <w:p w:rsidR="00751AF6" w:rsidRPr="00621025" w:rsidRDefault="00751AF6" w:rsidP="00751AF6">
      <w:pPr>
        <w:pStyle w:val="NormalHanging12a"/>
        <w:tabs>
          <w:tab w:val="left" w:pos="0"/>
        </w:tabs>
        <w:suppressAutoHyphens/>
        <w:rPr>
          <w:szCs w:val="24"/>
        </w:rPr>
      </w:pPr>
      <w:bookmarkStart w:id="7" w:name="_GoBack_Copy_1"/>
      <w:bookmarkEnd w:id="7"/>
      <w:r w:rsidRPr="00621025">
        <w:t>P.</w:t>
      </w:r>
      <w:r w:rsidRPr="00621025">
        <w:tab/>
        <w:t>arvestades, et geneetiliselt muundatud maisi koostise ja fenotüübilise analüüsi välikatsetes ei võetud arvesse erinevaid keskkonnatingimusi ja geneetilist tausta, mis on olulised selle kasvatamiseks, eelkõige sellistes riikides nagu Brasiilia;</w:t>
      </w:r>
    </w:p>
    <w:p w:rsidR="00751AF6" w:rsidRPr="00621025" w:rsidRDefault="00751AF6" w:rsidP="00751AF6">
      <w:pPr>
        <w:pStyle w:val="NormalHanging12a"/>
        <w:tabs>
          <w:tab w:val="left" w:pos="0"/>
        </w:tabs>
        <w:suppressAutoHyphens/>
        <w:rPr>
          <w:szCs w:val="24"/>
        </w:rPr>
      </w:pPr>
      <w:r w:rsidRPr="00621025">
        <w:t>Q.</w:t>
      </w:r>
      <w:r w:rsidRPr="00621025">
        <w:tab/>
        <w:t>arvestades, et Cry1B.34 toksilisuse hindamisel ei võeta arvesse koosmõju taimekomponentide või herbitsiidide jääkidega;</w:t>
      </w:r>
    </w:p>
    <w:p w:rsidR="00751AF6" w:rsidRPr="00621025" w:rsidRDefault="00751AF6" w:rsidP="00751AF6">
      <w:pPr>
        <w:pStyle w:val="NormalHanging12a"/>
        <w:tabs>
          <w:tab w:val="left" w:pos="0"/>
        </w:tabs>
        <w:suppressAutoHyphens/>
        <w:rPr>
          <w:szCs w:val="24"/>
        </w:rPr>
      </w:pPr>
      <w:r w:rsidRPr="00621025">
        <w:t>R.</w:t>
      </w:r>
      <w:r w:rsidRPr="00621025">
        <w:tab/>
        <w:t>arvestades, et lisaherbitsiid glufosinaati seostatakse märkimisväärsete ohtudega bioloogilisele mitmekesisusele, mulla ja vee kvaliteedile ning ökosüsteemi pikaajalisele tervisele;</w:t>
      </w:r>
    </w:p>
    <w:p w:rsidR="00751AF6" w:rsidRPr="00621025" w:rsidRDefault="00751AF6" w:rsidP="00751AF6">
      <w:pPr>
        <w:pStyle w:val="NormalHanging12a"/>
        <w:tabs>
          <w:tab w:val="left" w:pos="0"/>
        </w:tabs>
        <w:suppressAutoHyphens/>
        <w:rPr>
          <w:szCs w:val="24"/>
        </w:rPr>
      </w:pPr>
      <w:r w:rsidRPr="00621025">
        <w:t>S.</w:t>
      </w:r>
      <w:r w:rsidRPr="00621025">
        <w:tab/>
        <w:t>arvestades, et Hispaanias ja Prantsusmaal teatatud geenivoolu oht looduslikele sugulastele, nagu teosinte, tekitab muret transgeeni püsivuse ja keskkonnamõju pärast;</w:t>
      </w:r>
    </w:p>
    <w:p w:rsidR="00751AF6" w:rsidRPr="00621025" w:rsidRDefault="00751AF6" w:rsidP="00751AF6">
      <w:pPr>
        <w:pStyle w:val="NormalHanging12a"/>
        <w:tabs>
          <w:tab w:val="left" w:pos="0"/>
        </w:tabs>
        <w:suppressAutoHyphens/>
        <w:rPr>
          <w:szCs w:val="24"/>
        </w:rPr>
      </w:pPr>
      <w:r w:rsidRPr="00621025">
        <w:t>T.</w:t>
      </w:r>
      <w:r w:rsidRPr="00621025">
        <w:tab/>
        <w:t>arves</w:t>
      </w:r>
      <w:r w:rsidR="008622C5" w:rsidRPr="00621025">
        <w:t>tades, et rakendusmääruses (EL) nr </w:t>
      </w:r>
      <w:r w:rsidRPr="00621025">
        <w:t>503/2013 sätestatud seirenõudeid ei ole piisavalt käsitletud ja esitatud andmeid ei ole sõltumatult kontrollitud;</w:t>
      </w:r>
    </w:p>
    <w:p w:rsidR="00751AF6" w:rsidRPr="00621025" w:rsidRDefault="00751AF6" w:rsidP="00751AF6">
      <w:pPr>
        <w:pStyle w:val="NormalHanging12a"/>
        <w:rPr>
          <w:b/>
          <w:i/>
          <w:szCs w:val="24"/>
        </w:rPr>
      </w:pPr>
      <w:r w:rsidRPr="00621025">
        <w:rPr>
          <w:b/>
          <w:i/>
        </w:rPr>
        <w:t>Võrdsete võimaluste tagamine kogu maailmas ja liidu rahvusvaheliste kohustuste täitmine</w:t>
      </w:r>
    </w:p>
    <w:p w:rsidR="00751AF6" w:rsidRPr="00621025" w:rsidRDefault="00751AF6" w:rsidP="00751AF6">
      <w:pPr>
        <w:pStyle w:val="NormalHanging12a"/>
        <w:tabs>
          <w:tab w:val="left" w:pos="0"/>
        </w:tabs>
        <w:suppressAutoHyphens/>
        <w:rPr>
          <w:szCs w:val="24"/>
        </w:rPr>
      </w:pPr>
      <w:r w:rsidRPr="00621025">
        <w:t>U.</w:t>
      </w:r>
      <w:r w:rsidRPr="00621025">
        <w:tab/>
        <w:t>arvestades, et ELi põllumajanduse tulevikku käsitleva strateegilise dialoogi</w:t>
      </w:r>
      <w:r w:rsidRPr="00621025">
        <w:rPr>
          <w:vertAlign w:val="superscript"/>
        </w:rPr>
        <w:footnoteReference w:id="11"/>
      </w:r>
      <w:r w:rsidRPr="00621025">
        <w:t xml:space="preserve"> järeldustes kutsutakse komisjoni üles uuesti hindama oma lähenemisviisi põllumajanduslike toiduainete impordi ja ekspordi turulepääsule, võttes arvesse liidu ja selle kaubanduspartnerite lahknevate standardite probleemi; arvestades, et ülemaailmselt õiglasemad kaubandussuhted, mis on kooskõlas tervisliku kes</w:t>
      </w:r>
      <w:r w:rsidR="008622C5" w:rsidRPr="00621025">
        <w:t>kkonna eesmärkidega, olid 2023. </w:t>
      </w:r>
      <w:r w:rsidRPr="00621025">
        <w:t>ja 2024</w:t>
      </w:r>
      <w:r w:rsidR="008622C5" w:rsidRPr="00621025">
        <w:t>. </w:t>
      </w:r>
      <w:r w:rsidRPr="00621025">
        <w:t>aasta meeleavaldustel üks põllumajandustootjate peamisi nõudmisi;</w:t>
      </w:r>
    </w:p>
    <w:p w:rsidR="00751AF6" w:rsidRPr="00621025" w:rsidRDefault="00751AF6" w:rsidP="00751AF6">
      <w:pPr>
        <w:pStyle w:val="NormalHanging12a"/>
        <w:tabs>
          <w:tab w:val="left" w:pos="0"/>
        </w:tabs>
        <w:suppressAutoHyphens/>
      </w:pPr>
      <w:r w:rsidRPr="00621025">
        <w:t>V.</w:t>
      </w:r>
      <w:r w:rsidRPr="00621025">
        <w:tab/>
        <w:t>arvestades, et Ühinenud Rahvaste Organisatsiooni (ÜRO) õigusega toidule tegeleva eriraportööri 2017. aasta aruandes leiti, et eelkõige arengumaades on ohtlikel pestitsiididel tervisele laastav mõju</w:t>
      </w:r>
      <w:r w:rsidRPr="00621025">
        <w:rPr>
          <w:vertAlign w:val="superscript"/>
        </w:rPr>
        <w:footnoteReference w:id="12"/>
      </w:r>
      <w:r w:rsidRPr="00621025">
        <w:t>; arvestades, et ÜRO kestliku arengu eesmärgi 3.9 abil soovitakse 2030. aastaks oluliselt vähendada surmade ja haiguste arvu, mille on põhjustanud ohtlikud kemikaalid ning õhu, vee ja pinnase reostus ja saastumine</w:t>
      </w:r>
      <w:r w:rsidRPr="00621025">
        <w:rPr>
          <w:rStyle w:val="FootnoteReference"/>
          <w:szCs w:val="24"/>
        </w:rPr>
        <w:footnoteReference w:id="13"/>
      </w:r>
      <w:r w:rsidRPr="00621025">
        <w:t>;</w:t>
      </w:r>
    </w:p>
    <w:p w:rsidR="00E20520" w:rsidRPr="00621025" w:rsidRDefault="006A1F02" w:rsidP="00751AF6">
      <w:pPr>
        <w:pStyle w:val="NormalHanging12a"/>
        <w:tabs>
          <w:tab w:val="left" w:pos="0"/>
        </w:tabs>
        <w:suppressAutoHyphens/>
        <w:rPr>
          <w:szCs w:val="24"/>
        </w:rPr>
      </w:pPr>
      <w:r w:rsidRPr="00621025">
        <w:lastRenderedPageBreak/>
        <w:t>W.</w:t>
      </w:r>
      <w:r w:rsidRPr="00621025">
        <w:tab/>
        <w:t>arvestades, et ELi ja Mercosuri vaheline kaubandusleping loob stiimuleid geneetiliselt muundatud organisme sisaldava, neist koosneva või neist toodetud toidu ja loomasööda importimiseks liitu</w:t>
      </w:r>
      <w:r w:rsidR="00A42B9F" w:rsidRPr="00621025">
        <w:t>;</w:t>
      </w:r>
      <w:r w:rsidRPr="00621025">
        <w:t xml:space="preserve"> arvestades, et Brasiilia ja Argentina on maailma suurimaid GMOde tootjaid ja pestitsiidide kasutajaid, sealhulgas toodetakse neis riikides selliseid GMOsid ja pestitsiide, mis on liidus tervise või keskkonnaga seotud põhjustel keelatud;</w:t>
      </w:r>
    </w:p>
    <w:p w:rsidR="00751AF6" w:rsidRPr="00621025" w:rsidRDefault="006A1F02" w:rsidP="00751AF6">
      <w:pPr>
        <w:pStyle w:val="NormalHanging12a"/>
        <w:tabs>
          <w:tab w:val="left" w:pos="0"/>
        </w:tabs>
        <w:suppressAutoHyphens/>
        <w:rPr>
          <w:szCs w:val="24"/>
        </w:rPr>
      </w:pPr>
      <w:r w:rsidRPr="00621025">
        <w:t>X</w:t>
      </w:r>
      <w:r w:rsidR="00751AF6" w:rsidRPr="00621025">
        <w:t>.</w:t>
      </w:r>
      <w:r w:rsidR="00751AF6" w:rsidRPr="00621025">
        <w:tab/>
        <w:t>arvestades, et 2022. aasta detsembris lepiti ÜRO bioloogilise mitmekesisuse konventsiooni osaliste konverentsi 15. istungjärgul kokku Kunmingi-Montreali üleilmses elurikkuse raamistikus, mis sisaldab üleilmset eesmärki vähendada taimekaitsevahenditest tulenevaid ohte 2030. aastak</w:t>
      </w:r>
      <w:r w:rsidR="008622C5" w:rsidRPr="00621025">
        <w:t>s vähemalt 50 </w:t>
      </w:r>
      <w:r w:rsidR="00751AF6" w:rsidRPr="00621025">
        <w:t>%</w:t>
      </w:r>
      <w:r w:rsidR="00751AF6" w:rsidRPr="00621025">
        <w:rPr>
          <w:vertAlign w:val="superscript"/>
        </w:rPr>
        <w:footnoteReference w:id="14"/>
      </w:r>
      <w:r w:rsidR="00751AF6" w:rsidRPr="00621025">
        <w:t>;</w:t>
      </w:r>
    </w:p>
    <w:p w:rsidR="00751AF6" w:rsidRPr="00621025" w:rsidRDefault="006A1F02" w:rsidP="00751AF6">
      <w:pPr>
        <w:pStyle w:val="NormalHanging12a"/>
        <w:tabs>
          <w:tab w:val="left" w:pos="0"/>
        </w:tabs>
        <w:suppressAutoHyphens/>
        <w:rPr>
          <w:szCs w:val="24"/>
        </w:rPr>
      </w:pPr>
      <w:r w:rsidRPr="00621025">
        <w:t>Y</w:t>
      </w:r>
      <w:r w:rsidR="008622C5" w:rsidRPr="00621025">
        <w:t>.</w:t>
      </w:r>
      <w:r w:rsidR="008622C5" w:rsidRPr="00621025">
        <w:tab/>
        <w:t>arvestades, et määruses (EÜ) </w:t>
      </w:r>
      <w:r w:rsidR="00751AF6" w:rsidRPr="00621025">
        <w:t>nr 1829/2003 on sätestatud, et geneetiliselt muundatud toit ega sööt ei tohi avaldada kahjulikku mõju inimeste või loomade tervisele ega keskkonnale, ning nõutakse, et komisjon võtaks oma otsuse koostamisel arvesse kõiki liidu õigusaktide asjakohaseid sätteid ning teisi kõnealuse küsimusega seotud õiguspäraseid tegureid; arvestades, et sellised õiguspärased tegurid peaksid hõlmama liidu kohustusi, mis tulenevad ÜRO kestliku arengu eesmärkidest ja ÜRO bioloogilise mitmekesisuse konventsioonist;</w:t>
      </w:r>
    </w:p>
    <w:p w:rsidR="00751AF6" w:rsidRPr="00621025" w:rsidRDefault="00751AF6" w:rsidP="00751AF6">
      <w:pPr>
        <w:pStyle w:val="NormalHanging12a"/>
        <w:rPr>
          <w:b/>
          <w:i/>
          <w:szCs w:val="24"/>
        </w:rPr>
      </w:pPr>
      <w:r w:rsidRPr="00621025">
        <w:rPr>
          <w:b/>
          <w:i/>
        </w:rPr>
        <w:t>Imporditud söödast sõltuvuse vähendamine</w:t>
      </w:r>
    </w:p>
    <w:p w:rsidR="00751AF6" w:rsidRPr="00621025" w:rsidRDefault="006A1F02" w:rsidP="00751AF6">
      <w:pPr>
        <w:pStyle w:val="NormalHanging12a"/>
        <w:tabs>
          <w:tab w:val="left" w:pos="0"/>
        </w:tabs>
        <w:suppressAutoHyphens/>
        <w:rPr>
          <w:b/>
          <w:i/>
          <w:szCs w:val="24"/>
        </w:rPr>
      </w:pPr>
      <w:r w:rsidRPr="00621025">
        <w:t>Z</w:t>
      </w:r>
      <w:r w:rsidR="00751AF6" w:rsidRPr="00621025">
        <w:t>.</w:t>
      </w:r>
      <w:r w:rsidR="00751AF6" w:rsidRPr="00621025">
        <w:tab/>
        <w:t>arvestades, et COVID-19 kriisist ja Ukrainas ikka veel jätkuvast sõjast saadud õppetund on, et liit peab lõpetama sõltuvuse mõnest kriitilise tähtsusega materjalist; arvestades, et missioonikirjas volinikukandidaadile Christophe Hansenile palub komisjoni president Ursula von der Leyen tal uurida võimalusi kriitilise tähtsusega kaupade impordi vähendamiseks</w:t>
      </w:r>
      <w:r w:rsidR="00751AF6" w:rsidRPr="00621025">
        <w:rPr>
          <w:rStyle w:val="FootnoteReference"/>
          <w:szCs w:val="24"/>
        </w:rPr>
        <w:footnoteReference w:id="15"/>
      </w:r>
      <w:r w:rsidR="008622C5" w:rsidRPr="00621025">
        <w:t>;</w:t>
      </w:r>
    </w:p>
    <w:p w:rsidR="00751AF6" w:rsidRPr="00621025" w:rsidRDefault="00751AF6" w:rsidP="00751AF6">
      <w:pPr>
        <w:pStyle w:val="NormalHanging12a"/>
        <w:rPr>
          <w:b/>
          <w:i/>
          <w:szCs w:val="24"/>
        </w:rPr>
      </w:pPr>
      <w:r w:rsidRPr="00621025">
        <w:rPr>
          <w:b/>
          <w:i/>
        </w:rPr>
        <w:t>Ebademokraatlik otsustamine</w:t>
      </w:r>
    </w:p>
    <w:p w:rsidR="00751AF6" w:rsidRPr="00621025" w:rsidRDefault="006A1F02" w:rsidP="00751AF6">
      <w:pPr>
        <w:pStyle w:val="NormalHanging12a"/>
        <w:tabs>
          <w:tab w:val="left" w:pos="0"/>
        </w:tabs>
        <w:suppressAutoHyphens/>
        <w:rPr>
          <w:szCs w:val="24"/>
        </w:rPr>
      </w:pPr>
      <w:r w:rsidRPr="00621025">
        <w:t>AA</w:t>
      </w:r>
      <w:r w:rsidR="00751AF6" w:rsidRPr="00621025">
        <w:t>.</w:t>
      </w:r>
      <w:r w:rsidR="00751AF6" w:rsidRPr="00621025">
        <w:tab/>
        <w:t xml:space="preserve">arvestades, et Euroopa Parlament võttis oma kaheksandal ametiajal vastu 36 resolutsiooni, milles väljendatakse vastuseisu toiduks ja söödaks mõeldud GMOde turule laskmisele (33 resolutsiooni) ning GMOde kasvatamisele liidus (kolm resolutsiooni); arvestades, et üheksandal ametiajal võttis Euroopa Parlament vastu 38 resolutsiooni GMOde turuleviimise vastu ning oma praegusel, kümnendal ametiajal on ta </w:t>
      </w:r>
      <w:r w:rsidR="00BE1A1A" w:rsidRPr="00621025">
        <w:t xml:space="preserve">juba </w:t>
      </w:r>
      <w:r w:rsidR="00751AF6" w:rsidRPr="00621025">
        <w:t xml:space="preserve">võtnud </w:t>
      </w:r>
      <w:r w:rsidR="00BE1A1A" w:rsidRPr="00621025">
        <w:t xml:space="preserve">vastu </w:t>
      </w:r>
      <w:r w:rsidR="00751AF6" w:rsidRPr="00621025">
        <w:t>kaheksa resolutsiooni, milles väljendatakse vastuseisu GMOde turuleviimisele;</w:t>
      </w:r>
    </w:p>
    <w:p w:rsidR="00751AF6" w:rsidRPr="00621025" w:rsidRDefault="00751AF6" w:rsidP="00751AF6">
      <w:pPr>
        <w:pStyle w:val="NormalHanging12a"/>
        <w:tabs>
          <w:tab w:val="left" w:pos="0"/>
        </w:tabs>
        <w:suppressAutoHyphens/>
        <w:rPr>
          <w:szCs w:val="24"/>
        </w:rPr>
      </w:pPr>
      <w:r w:rsidRPr="00621025">
        <w:t>A</w:t>
      </w:r>
      <w:r w:rsidR="006A1F02" w:rsidRPr="00621025">
        <w:t>B</w:t>
      </w:r>
      <w:r w:rsidRPr="00621025">
        <w:t>.</w:t>
      </w:r>
      <w:r w:rsidRPr="00621025">
        <w:tab/>
        <w:t>arvestades, et kuigi komisjon tunnistab puudujääke demokraatlikus protsessis, liikmesriikide toetuse puudumist ja Euroopa Parlamendi vastuväiteid, jätkab ta siiski GMOdele lubade andmist;</w:t>
      </w:r>
    </w:p>
    <w:p w:rsidR="00751AF6" w:rsidRPr="00621025" w:rsidRDefault="00751AF6" w:rsidP="00751AF6">
      <w:pPr>
        <w:pStyle w:val="NormalHanging12a"/>
        <w:tabs>
          <w:tab w:val="left" w:pos="0"/>
        </w:tabs>
        <w:suppressAutoHyphens/>
        <w:rPr>
          <w:szCs w:val="24"/>
        </w:rPr>
      </w:pPr>
      <w:r w:rsidRPr="00621025">
        <w:t>A</w:t>
      </w:r>
      <w:r w:rsidR="006A1F02" w:rsidRPr="00621025">
        <w:t>C</w:t>
      </w:r>
      <w:r w:rsidRPr="00621025">
        <w:t>.</w:t>
      </w:r>
      <w:r w:rsidRPr="00621025">
        <w:tab/>
        <w:t>arvestades, et selleks, et komisjon saaks keelduda GMOdele loa andmisest, kui apellatsioonikomitees ei ole saavutatud selle toetuseks liikmesriikide kvalifitseeritud häälteenamust, ei ole vaja õigusakte muuta</w:t>
      </w:r>
      <w:r w:rsidRPr="00621025">
        <w:rPr>
          <w:rStyle w:val="FootnoteReference"/>
          <w:szCs w:val="24"/>
        </w:rPr>
        <w:footnoteReference w:id="16"/>
      </w:r>
      <w:r w:rsidRPr="00621025">
        <w:t>;</w:t>
      </w:r>
    </w:p>
    <w:p w:rsidR="00751AF6" w:rsidRPr="00621025" w:rsidRDefault="00751AF6" w:rsidP="00751AF6">
      <w:pPr>
        <w:suppressAutoHyphens/>
        <w:spacing w:after="240"/>
        <w:ind w:left="567" w:hanging="567"/>
        <w:rPr>
          <w:szCs w:val="24"/>
          <w:shd w:val="clear" w:color="auto" w:fill="FFFFFF"/>
        </w:rPr>
      </w:pPr>
      <w:r w:rsidRPr="00621025">
        <w:t>A</w:t>
      </w:r>
      <w:r w:rsidR="006A1F02" w:rsidRPr="00621025">
        <w:t>D</w:t>
      </w:r>
      <w:r w:rsidRPr="00621025">
        <w:t>.</w:t>
      </w:r>
      <w:r w:rsidRPr="00621025">
        <w:tab/>
      </w:r>
      <w:r w:rsidR="008622C5" w:rsidRPr="00621025">
        <w:rPr>
          <w:shd w:val="clear" w:color="auto" w:fill="FFFFFF"/>
        </w:rPr>
        <w:t>arvestades, et määruse (EÜ) </w:t>
      </w:r>
      <w:r w:rsidRPr="00621025">
        <w:rPr>
          <w:shd w:val="clear" w:color="auto" w:fill="FFFFFF"/>
        </w:rPr>
        <w:t xml:space="preserve">nr 1829/2003 artiklis 35 osutatud alalises taime-, looma-, </w:t>
      </w:r>
      <w:r w:rsidRPr="00621025">
        <w:rPr>
          <w:shd w:val="clear" w:color="auto" w:fill="FFFFFF"/>
        </w:rPr>
        <w:lastRenderedPageBreak/>
        <w:t>toidu- ja söödakomitees 22. novembril 2024 toimunud hääletuse tulemusel arvamust ei esitatud, mis tähendab, et loa andmise ettepanek ei saanud liikmesriikide kvalifitseeritud häälteenamust; arvestades,</w:t>
      </w:r>
      <w:r w:rsidR="008622C5" w:rsidRPr="00621025">
        <w:rPr>
          <w:shd w:val="clear" w:color="auto" w:fill="FFFFFF"/>
        </w:rPr>
        <w:t xml:space="preserve"> et arvamust ei esitatud ka 17. </w:t>
      </w:r>
      <w:r w:rsidRPr="00621025">
        <w:rPr>
          <w:shd w:val="clear" w:color="auto" w:fill="FFFFFF"/>
        </w:rPr>
        <w:t>detsembril 2024 apellatsioonikomitees toimunud hääletuse tulemusel;</w:t>
      </w:r>
    </w:p>
    <w:p w:rsidR="00751AF6" w:rsidRPr="00621025" w:rsidRDefault="00751AF6" w:rsidP="00751AF6">
      <w:pPr>
        <w:pStyle w:val="NormalHanging12a"/>
        <w:rPr>
          <w:szCs w:val="24"/>
        </w:rPr>
      </w:pPr>
      <w:r w:rsidRPr="00621025">
        <w:t>1.</w:t>
      </w:r>
      <w:r w:rsidRPr="00621025">
        <w:tab/>
        <w:t>on seisukohal, et komisjoni rakendusots</w:t>
      </w:r>
      <w:r w:rsidR="008622C5" w:rsidRPr="00621025">
        <w:t>use eelnõu ületab määruses (EÜ) </w:t>
      </w:r>
      <w:r w:rsidRPr="00621025">
        <w:t>nr 1829/2003 sätestatud rakendamisvolitusi;</w:t>
      </w:r>
    </w:p>
    <w:p w:rsidR="00751AF6" w:rsidRPr="00621025" w:rsidRDefault="00751AF6" w:rsidP="00751AF6">
      <w:pPr>
        <w:pStyle w:val="NormalHanging12a"/>
        <w:rPr>
          <w:szCs w:val="24"/>
        </w:rPr>
      </w:pPr>
      <w:r w:rsidRPr="00621025">
        <w:t>2.</w:t>
      </w:r>
      <w:r w:rsidRPr="00621025">
        <w:tab/>
        <w:t>on seisukohal, et komisjoni rakendusotsuse eelnõu on vastuolus liidu õigusega, sest se</w:t>
      </w:r>
      <w:r w:rsidR="008622C5" w:rsidRPr="00621025">
        <w:t>e ei ole kooskõlas määruse (EÜ) </w:t>
      </w:r>
      <w:r w:rsidRPr="00621025">
        <w:t>nr 1829/2003 eesmärgiga, milleks Euroopa Parl</w:t>
      </w:r>
      <w:r w:rsidR="008622C5" w:rsidRPr="00621025">
        <w:t>amendi ja nõukogu määruses (EÜ) </w:t>
      </w:r>
      <w:r w:rsidRPr="00621025">
        <w:t>nr 178/2002</w:t>
      </w:r>
      <w:r w:rsidRPr="00621025">
        <w:rPr>
          <w:rStyle w:val="FootnoteReference"/>
          <w:szCs w:val="24"/>
        </w:rPr>
        <w:footnoteReference w:id="17"/>
      </w:r>
      <w:r w:rsidRPr="00621025">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tulemuslik toimimine;</w:t>
      </w:r>
    </w:p>
    <w:p w:rsidR="00751AF6" w:rsidRPr="00621025" w:rsidRDefault="00751AF6" w:rsidP="00751AF6">
      <w:pPr>
        <w:pStyle w:val="NormalHanging12a"/>
        <w:rPr>
          <w:szCs w:val="24"/>
        </w:rPr>
      </w:pPr>
      <w:r w:rsidRPr="00621025">
        <w:t>3.</w:t>
      </w:r>
      <w:r w:rsidRPr="00621025">
        <w:tab/>
        <w:t>palub komisjonil oma rakendusotsuse eelnõu tagasi võtta ja esitada komiteele uus eelnõu;</w:t>
      </w:r>
    </w:p>
    <w:p w:rsidR="00751AF6" w:rsidRPr="00621025" w:rsidRDefault="00751AF6" w:rsidP="00751AF6">
      <w:pPr>
        <w:pStyle w:val="NormalHanging12a"/>
        <w:rPr>
          <w:szCs w:val="24"/>
        </w:rPr>
      </w:pPr>
      <w:r w:rsidRPr="00621025">
        <w:t>4.</w:t>
      </w:r>
      <w:r w:rsidRPr="00621025">
        <w:tab/>
        <w:t>kutsub komisjoni üles tagama vabakaubanduslepingute üle peetavatel läbirääkimistel liidu ja tema partnerite standardite lähendamise, et järgida liidu ohutusstandardeid;</w:t>
      </w:r>
    </w:p>
    <w:p w:rsidR="00751AF6" w:rsidRPr="00621025" w:rsidRDefault="00751AF6" w:rsidP="00751AF6">
      <w:pPr>
        <w:pStyle w:val="NormalHanging12a"/>
        <w:rPr>
          <w:szCs w:val="24"/>
        </w:rPr>
      </w:pPr>
      <w:r w:rsidRPr="00621025">
        <w:t>5.</w:t>
      </w:r>
      <w:r w:rsidRPr="00621025">
        <w:tab/>
        <w:t>kutsub komisjoni üles terviseühtsuse põhimõtte kohaselt keelduma geneetiliselt muundatud maisile luba andmast, kuna see suurendab ohtu bioloogilisele mitmekesisusele, toiduohutusele ja töötajate tervisele;</w:t>
      </w:r>
    </w:p>
    <w:p w:rsidR="00751AF6" w:rsidRPr="00621025" w:rsidRDefault="00751AF6" w:rsidP="00751AF6">
      <w:pPr>
        <w:pStyle w:val="NormalHanging12a"/>
        <w:rPr>
          <w:szCs w:val="24"/>
        </w:rPr>
      </w:pPr>
      <w:r w:rsidRPr="00621025">
        <w:t>6.</w:t>
      </w:r>
      <w:r w:rsidRPr="00621025">
        <w:tab/>
        <w:t>eeldab, et komisjon täidab kiiremas korras oma kohustuse</w:t>
      </w:r>
      <w:r w:rsidRPr="00621025">
        <w:rPr>
          <w:rStyle w:val="FootnoteReference"/>
          <w:szCs w:val="24"/>
        </w:rPr>
        <w:footnoteReference w:id="18"/>
      </w:r>
      <w:r w:rsidRPr="00621025">
        <w:t xml:space="preserve"> esitada ettepanek tagamaks, et liidus keelatud ohtlikke kemikaale ei toodeta ekspordiks;</w:t>
      </w:r>
    </w:p>
    <w:p w:rsidR="00751AF6" w:rsidRPr="00621025" w:rsidRDefault="00751AF6" w:rsidP="00751AF6">
      <w:pPr>
        <w:pStyle w:val="NormalHanging12a"/>
        <w:rPr>
          <w:szCs w:val="24"/>
        </w:rPr>
      </w:pPr>
      <w:r w:rsidRPr="00621025">
        <w:t>7.</w:t>
      </w:r>
      <w:r w:rsidRPr="00621025">
        <w:tab/>
        <w:t>väljendab heameelt selle üle, et komisjon tunnistas lõpuks oma 11. septembri 2020. aasta kirjas parlamendiliikmetele, et GMOde lubamise otsuste tegemisel on vaja arvesse võtta kestlikkust</w:t>
      </w:r>
      <w:r w:rsidRPr="00621025">
        <w:rPr>
          <w:rStyle w:val="FootnoteReference"/>
          <w:szCs w:val="24"/>
        </w:rPr>
        <w:footnoteReference w:id="19"/>
      </w:r>
      <w:r w:rsidRPr="00621025">
        <w:t xml:space="preserve"> väljendab siiski sügavat pettumust, et komisjon on pärast seda jätkanud GMOde liitu importimiseks lubade andmist, hoolimata Euroopa Parlamendi püsivast vastuseisust ja asjaolust, et enamik liikmesriike hääletab selle vastu;</w:t>
      </w:r>
    </w:p>
    <w:p w:rsidR="00751AF6" w:rsidRPr="00621025" w:rsidRDefault="00751AF6" w:rsidP="00751AF6">
      <w:pPr>
        <w:pStyle w:val="NormalHanging12a"/>
      </w:pPr>
      <w:r w:rsidRPr="00621025">
        <w:t>8.</w:t>
      </w:r>
      <w:r w:rsidRPr="00621025">
        <w:tab/>
        <w:t xml:space="preserve">nõuab veel kord tungivalt, et komisjon võtaks arvesse liidu kohustusi, mis tulenevad sellistest rahvusvahelistest kokkulepetest nagu Pariisi kliimakokkulepe, ÜRO bioloogilise mitmekesisuse konventsioon ja ÜRO kestliku arengu eesmärgid; kordab oma nõudmist lisada rakendusaktide eelnõudele seletuskiri, milles selgitatakse, kuidas </w:t>
      </w:r>
      <w:r w:rsidRPr="00621025">
        <w:lastRenderedPageBreak/>
        <w:t>nendega järgitakse kahju mittetekitamise põhimõtet</w:t>
      </w:r>
      <w:r w:rsidRPr="00621025">
        <w:rPr>
          <w:rStyle w:val="FootnoteReference"/>
          <w:szCs w:val="24"/>
        </w:rPr>
        <w:footnoteReference w:id="20"/>
      </w:r>
      <w:r w:rsidR="008622C5" w:rsidRPr="00621025">
        <w:t>;</w:t>
      </w:r>
    </w:p>
    <w:p w:rsidR="00E365E1" w:rsidRPr="00621025" w:rsidRDefault="00751AF6" w:rsidP="008622C5">
      <w:pPr>
        <w:pStyle w:val="NormalHanging12a"/>
      </w:pPr>
      <w:r w:rsidRPr="00621025">
        <w:t>9.</w:t>
      </w:r>
      <w:r w:rsidRPr="00621025">
        <w:tab/>
        <w:t>teeb presidendile ülesandeks edastada käesolev resolutsioon nõukogule ja komisjonile ning liikmesriikide valitsustele ja parlamentidele.</w:t>
      </w:r>
    </w:p>
    <w:sectPr w:rsidR="00E365E1" w:rsidRPr="00621025" w:rsidSect="009329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1F4" w:rsidRPr="00932959" w:rsidRDefault="006C31F4">
      <w:r w:rsidRPr="00932959">
        <w:separator/>
      </w:r>
    </w:p>
  </w:endnote>
  <w:endnote w:type="continuationSeparator" w:id="0">
    <w:p w:rsidR="006C31F4" w:rsidRPr="00932959" w:rsidRDefault="006C31F4">
      <w:r w:rsidRPr="009329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Ÿà–¾’©"/>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5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5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1F4" w:rsidRPr="00932959" w:rsidRDefault="006C31F4">
      <w:r w:rsidRPr="00932959">
        <w:separator/>
      </w:r>
    </w:p>
  </w:footnote>
  <w:footnote w:type="continuationSeparator" w:id="0">
    <w:p w:rsidR="006C31F4" w:rsidRPr="00932959" w:rsidRDefault="006C31F4">
      <w:r w:rsidRPr="00932959">
        <w:continuationSeparator/>
      </w:r>
    </w:p>
  </w:footnote>
  <w:footnote w:id="1">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008622C5">
        <w:rPr>
          <w:color w:val="000000" w:themeColor="text1"/>
          <w:sz w:val="24"/>
          <w:lang w:val="et-EE"/>
        </w:rPr>
        <w:t>ELT L 268, 18.10.2003, lk </w:t>
      </w:r>
      <w:r w:rsidRPr="00932959">
        <w:rPr>
          <w:color w:val="000000" w:themeColor="text1"/>
          <w:sz w:val="24"/>
          <w:lang w:val="et-EE"/>
        </w:rPr>
        <w:t>1, ELI: </w:t>
      </w:r>
      <w:r w:rsidRPr="008622C5">
        <w:rPr>
          <w:sz w:val="24"/>
          <w:lang w:val="et-EE"/>
        </w:rPr>
        <w:t>http://data.europa.eu/eli/reg/2003/1829/oj</w:t>
      </w:r>
      <w:r w:rsidRPr="00932959">
        <w:rPr>
          <w:color w:val="000000" w:themeColor="text1"/>
          <w:sz w:val="24"/>
          <w:lang w:val="et-EE"/>
        </w:rPr>
        <w:t>.</w:t>
      </w:r>
    </w:p>
  </w:footnote>
  <w:footnote w:id="2">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008622C5">
        <w:rPr>
          <w:color w:val="000000" w:themeColor="text1"/>
          <w:sz w:val="24"/>
          <w:lang w:val="et-EE"/>
        </w:rPr>
        <w:t>ELT L 55, 28.2.2011, lk </w:t>
      </w:r>
      <w:r w:rsidRPr="00932959">
        <w:rPr>
          <w:color w:val="000000" w:themeColor="text1"/>
          <w:sz w:val="24"/>
          <w:lang w:val="et-EE"/>
        </w:rPr>
        <w:t>13, ELI: </w:t>
      </w:r>
      <w:r w:rsidRPr="008622C5">
        <w:rPr>
          <w:sz w:val="24"/>
          <w:lang w:val="et-EE"/>
        </w:rPr>
        <w:t>http://data.europa.eu/eli/reg/2011/182/oj</w:t>
      </w:r>
      <w:r w:rsidRPr="00932959">
        <w:rPr>
          <w:color w:val="000000" w:themeColor="text1"/>
          <w:sz w:val="24"/>
          <w:lang w:val="et-EE"/>
        </w:rPr>
        <w:t>.</w:t>
      </w:r>
    </w:p>
  </w:footnote>
  <w:footnote w:id="3">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 xml:space="preserve">EFSA geneetiliselt muundatud organismide komisjoni teaduslik arvamus geneetiliselt muundatud maisi DP910521 hindamise kohta (taotlus GMFF-2021-2473), EFSA Journal 2024;22(8):e8887, </w:t>
      </w:r>
      <w:hyperlink r:id="rId1" w:history="1">
        <w:r w:rsidRPr="00932959">
          <w:rPr>
            <w:rStyle w:val="Hyperlink"/>
            <w:color w:val="000000" w:themeColor="text1"/>
            <w:sz w:val="24"/>
            <w:lang w:val="et-EE"/>
          </w:rPr>
          <w:t>https://doi.org/10.2903/j.efsa.2024.8887</w:t>
        </w:r>
      </w:hyperlink>
      <w:r w:rsidR="008622C5">
        <w:rPr>
          <w:color w:val="000000" w:themeColor="text1"/>
          <w:sz w:val="24"/>
          <w:lang w:val="et-EE"/>
        </w:rPr>
        <w:t>.</w:t>
      </w:r>
    </w:p>
  </w:footnote>
  <w:footnote w:id="4">
    <w:p w:rsidR="00751AF6" w:rsidRPr="00932959" w:rsidRDefault="00751AF6" w:rsidP="00932959">
      <w:pPr>
        <w:pStyle w:val="FootnoteText"/>
        <w:ind w:left="567" w:hanging="567"/>
        <w:rPr>
          <w:color w:val="000000" w:themeColor="text1"/>
          <w:sz w:val="24"/>
          <w:vertAlign w:val="superscript"/>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Parlament võttis kaheksandal ametiajal vastu 36 resolutsiooni ja üheksandal ametiajal 38 resolutsiooni, milles vaidlustati GMOde lubamine. Lisaks sellele on parlament kümnendal ametiajal vastu võtnud järgmised resolutsioonid:</w:t>
      </w:r>
    </w:p>
    <w:p w:rsidR="00751AF6" w:rsidRPr="00932959" w:rsidRDefault="00932959" w:rsidP="00932959">
      <w:pPr>
        <w:pStyle w:val="FootnoteText"/>
        <w:ind w:left="567" w:hanging="567"/>
        <w:rPr>
          <w:color w:val="000000" w:themeColor="text1"/>
          <w:sz w:val="24"/>
          <w:vertAlign w:val="superscript"/>
          <w:lang w:val="et-EE"/>
        </w:rPr>
      </w:pPr>
      <w:r w:rsidRPr="00932959">
        <w:rPr>
          <w:color w:val="000000" w:themeColor="text1"/>
          <w:sz w:val="24"/>
          <w:lang w:val="et-EE"/>
        </w:rPr>
        <w:tab/>
      </w:r>
      <w:r w:rsidR="00751AF6" w:rsidRPr="00932959">
        <w:rPr>
          <w:color w:val="000000" w:themeColor="text1"/>
          <w:sz w:val="24"/>
          <w:lang w:val="et-EE"/>
        </w:rPr>
        <w:t>–</w:t>
      </w:r>
      <w:r w:rsidR="00751AF6" w:rsidRPr="00932959">
        <w:rPr>
          <w:color w:val="000000" w:themeColor="text1"/>
          <w:sz w:val="24"/>
          <w:lang w:val="et-EE"/>
        </w:rPr>
        <w:tab/>
        <w:t>Euroopa Parlamendi 26. novembri 2024. aasta resolutsioon komisjoni rakendusotsuse (EL) 2024/2628 kohta, millega pikendatakse geneetiliselt muundatud maisi MON 89034 × 1507 × NK603 sisaldavate, sellest koosnevate või sellest valmistatud toodete turule laskmise loa kehtivust vastavalt Euroopa Parla</w:t>
      </w:r>
      <w:r w:rsidR="008622C5">
        <w:rPr>
          <w:color w:val="000000" w:themeColor="text1"/>
          <w:sz w:val="24"/>
          <w:lang w:val="et-EE"/>
        </w:rPr>
        <w:t>mendi ja nõukogu määrusele (EÜ) nr </w:t>
      </w:r>
      <w:r w:rsidR="00751AF6" w:rsidRPr="00932959">
        <w:rPr>
          <w:color w:val="000000" w:themeColor="text1"/>
          <w:sz w:val="24"/>
          <w:lang w:val="et-EE"/>
        </w:rPr>
        <w:t>1829/2003 (P10_TA(2024)0038).</w:t>
      </w:r>
    </w:p>
    <w:p w:rsidR="00751AF6" w:rsidRPr="00932959" w:rsidRDefault="00932959" w:rsidP="00932959">
      <w:pPr>
        <w:pStyle w:val="FootnoteText"/>
        <w:ind w:left="567" w:hanging="567"/>
        <w:rPr>
          <w:color w:val="000000" w:themeColor="text1"/>
          <w:sz w:val="24"/>
          <w:vertAlign w:val="superscript"/>
          <w:lang w:val="et-EE"/>
        </w:rPr>
      </w:pPr>
      <w:r w:rsidRPr="00932959">
        <w:rPr>
          <w:color w:val="000000" w:themeColor="text1"/>
          <w:sz w:val="24"/>
          <w:lang w:val="et-EE"/>
        </w:rPr>
        <w:tab/>
      </w:r>
      <w:r w:rsidR="00751AF6" w:rsidRPr="00932959">
        <w:rPr>
          <w:color w:val="000000" w:themeColor="text1"/>
          <w:sz w:val="24"/>
          <w:lang w:val="et-EE"/>
        </w:rPr>
        <w:t>–</w:t>
      </w:r>
      <w:r w:rsidR="00751AF6" w:rsidRPr="00932959">
        <w:rPr>
          <w:color w:val="000000" w:themeColor="text1"/>
          <w:sz w:val="24"/>
          <w:lang w:val="et-EE"/>
        </w:rPr>
        <w:tab/>
        <w:t>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(P10_TA(2024)0039).</w:t>
      </w:r>
    </w:p>
    <w:p w:rsidR="00751AF6" w:rsidRPr="00932959" w:rsidRDefault="00932959" w:rsidP="00932959">
      <w:pPr>
        <w:pStyle w:val="FootnoteText"/>
        <w:ind w:left="567" w:hanging="567"/>
        <w:rPr>
          <w:color w:val="000000" w:themeColor="text1"/>
          <w:sz w:val="24"/>
          <w:vertAlign w:val="superscript"/>
          <w:lang w:val="et-EE"/>
        </w:rPr>
      </w:pPr>
      <w:r w:rsidRPr="00932959">
        <w:rPr>
          <w:color w:val="000000" w:themeColor="text1"/>
          <w:sz w:val="24"/>
          <w:lang w:val="et-EE"/>
        </w:rPr>
        <w:tab/>
      </w:r>
      <w:r w:rsidR="00751AF6" w:rsidRPr="00932959">
        <w:rPr>
          <w:color w:val="000000" w:themeColor="text1"/>
          <w:sz w:val="24"/>
          <w:lang w:val="et-EE"/>
        </w:rPr>
        <w:t>–</w:t>
      </w:r>
      <w:r w:rsidR="00751AF6" w:rsidRPr="00932959">
        <w:rPr>
          <w:color w:val="000000" w:themeColor="text1"/>
          <w:sz w:val="24"/>
          <w:lang w:val="et-EE"/>
        </w:rPr>
        <w:tab/>
        <w:t>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(P10_TA(2024)0040).</w:t>
      </w:r>
    </w:p>
    <w:p w:rsidR="00751AF6" w:rsidRPr="00932959" w:rsidRDefault="00932959" w:rsidP="00932959">
      <w:pPr>
        <w:pStyle w:val="FootnoteText"/>
        <w:ind w:left="567" w:hanging="567"/>
        <w:rPr>
          <w:color w:val="000000" w:themeColor="text1"/>
          <w:sz w:val="24"/>
          <w:vertAlign w:val="superscript"/>
          <w:lang w:val="et-EE"/>
        </w:rPr>
      </w:pPr>
      <w:r w:rsidRPr="00932959">
        <w:rPr>
          <w:color w:val="000000" w:themeColor="text1"/>
          <w:sz w:val="24"/>
          <w:lang w:val="et-EE"/>
        </w:rPr>
        <w:tab/>
      </w:r>
      <w:r w:rsidR="00751AF6" w:rsidRPr="00932959">
        <w:rPr>
          <w:color w:val="000000" w:themeColor="text1"/>
          <w:sz w:val="24"/>
          <w:lang w:val="et-EE"/>
        </w:rPr>
        <w:t>–</w:t>
      </w:r>
      <w:r w:rsidR="00751AF6" w:rsidRPr="00932959">
        <w:rPr>
          <w:color w:val="000000" w:themeColor="text1"/>
          <w:sz w:val="24"/>
          <w:lang w:val="et-EE"/>
        </w:rPr>
        <w:tab/>
        <w:t>Euroopa Parlamendi 26. novembri 2024. aasta resolutsioon komisjoni rakendusotsuse (EL) 2024/1828 kohta, millega pikendatakse geneetiliselt muundatud maisi MON 810 sisaldava, sellest koosneva ja sellest valmistatud toidu ja sööda turuleviimise loa kehtivust vastavalt Euroopa Parlamendi ja nõukogu määrusele (EÜ) nr 1829/2003 ning tunnistatakse kehtetuks komisjoni rakendusotsus (EL) 2017/1207 (P10_TA(2024)0041).</w:t>
      </w:r>
    </w:p>
    <w:p w:rsidR="00751AF6" w:rsidRPr="00932959" w:rsidRDefault="00932959" w:rsidP="00932959">
      <w:pPr>
        <w:pStyle w:val="FootnoteText"/>
        <w:ind w:left="567" w:hanging="567"/>
        <w:rPr>
          <w:color w:val="000000" w:themeColor="text1"/>
          <w:sz w:val="24"/>
          <w:vertAlign w:val="superscript"/>
          <w:lang w:val="et-EE"/>
        </w:rPr>
      </w:pPr>
      <w:r w:rsidRPr="00932959">
        <w:rPr>
          <w:color w:val="000000" w:themeColor="text1"/>
          <w:sz w:val="24"/>
          <w:lang w:val="et-EE"/>
        </w:rPr>
        <w:tab/>
      </w:r>
      <w:r w:rsidR="00751AF6" w:rsidRPr="00932959">
        <w:rPr>
          <w:color w:val="000000" w:themeColor="text1"/>
          <w:sz w:val="24"/>
          <w:lang w:val="et-EE"/>
        </w:rPr>
        <w:t>–</w:t>
      </w:r>
      <w:r w:rsidR="00751AF6" w:rsidRPr="00932959">
        <w:rPr>
          <w:color w:val="000000" w:themeColor="text1"/>
          <w:sz w:val="24"/>
          <w:lang w:val="et-EE"/>
        </w:rPr>
        <w:tab/>
        <w:t>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(P10_TA(2024)0042).</w:t>
      </w:r>
    </w:p>
    <w:p w:rsidR="00751AF6" w:rsidRPr="00932959" w:rsidRDefault="00932959" w:rsidP="00932959">
      <w:pPr>
        <w:pStyle w:val="FootnoteText"/>
        <w:ind w:left="567" w:hanging="567"/>
        <w:rPr>
          <w:color w:val="000000" w:themeColor="text1"/>
          <w:sz w:val="24"/>
          <w:vertAlign w:val="superscript"/>
          <w:lang w:val="et-EE"/>
        </w:rPr>
      </w:pPr>
      <w:r w:rsidRPr="00932959">
        <w:rPr>
          <w:color w:val="000000" w:themeColor="text1"/>
          <w:sz w:val="24"/>
          <w:lang w:val="et-EE"/>
        </w:rPr>
        <w:tab/>
      </w:r>
      <w:r w:rsidR="00751AF6" w:rsidRPr="00932959">
        <w:rPr>
          <w:color w:val="000000" w:themeColor="text1"/>
          <w:sz w:val="24"/>
          <w:lang w:val="et-EE"/>
        </w:rPr>
        <w:t>–</w:t>
      </w:r>
      <w:r w:rsidR="00751AF6" w:rsidRPr="00932959">
        <w:rPr>
          <w:color w:val="000000" w:themeColor="text1"/>
          <w:sz w:val="24"/>
          <w:lang w:val="et-EE"/>
        </w:rPr>
        <w:tab/>
        <w:t>Euroopa Parlamendi 26. novembri 2024. aasta resolutsioon komisjoni rakendusotsuse (EL) 2024/1826 kohta, millega lubatakse viia turule geneetiliselt muundatud maisi DP23211 sisaldavaid, sellest koosnevaid või sellest toodetud tooteid vastavalt Euroopa Parlamendi ja nõukogu määrusele (EÜ) nr 1829/2003 (P10_TA(2024)0043).</w:t>
      </w:r>
    </w:p>
    <w:p w:rsidR="00751AF6" w:rsidRPr="00932959" w:rsidRDefault="00932959" w:rsidP="00932959">
      <w:pPr>
        <w:pStyle w:val="FootnoteText"/>
        <w:ind w:left="567" w:hanging="567"/>
        <w:rPr>
          <w:color w:val="000000" w:themeColor="text1"/>
          <w:sz w:val="24"/>
          <w:vertAlign w:val="superscript"/>
          <w:lang w:val="et-EE"/>
        </w:rPr>
      </w:pPr>
      <w:r w:rsidRPr="00932959">
        <w:rPr>
          <w:color w:val="000000" w:themeColor="text1"/>
          <w:sz w:val="24"/>
          <w:lang w:val="et-EE"/>
        </w:rPr>
        <w:tab/>
      </w:r>
      <w:r w:rsidR="00751AF6" w:rsidRPr="00932959">
        <w:rPr>
          <w:color w:val="000000" w:themeColor="text1"/>
          <w:sz w:val="24"/>
          <w:lang w:val="et-EE"/>
        </w:rPr>
        <w:t>–</w:t>
      </w:r>
      <w:r w:rsidR="00751AF6" w:rsidRPr="00932959">
        <w:rPr>
          <w:color w:val="000000" w:themeColor="text1"/>
          <w:sz w:val="24"/>
          <w:lang w:val="et-EE"/>
        </w:rPr>
        <w:tab/>
        <w:t>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(P10_TA(2024)0044).</w:t>
      </w:r>
    </w:p>
    <w:p w:rsidR="00751AF6" w:rsidRPr="00932959" w:rsidRDefault="00932959" w:rsidP="00932959">
      <w:pPr>
        <w:pStyle w:val="FootnoteText"/>
        <w:ind w:left="567" w:hanging="567"/>
        <w:rPr>
          <w:color w:val="000000" w:themeColor="text1"/>
          <w:sz w:val="24"/>
          <w:lang w:val="et-EE"/>
        </w:rPr>
      </w:pPr>
      <w:r w:rsidRPr="00932959">
        <w:rPr>
          <w:color w:val="000000" w:themeColor="text1"/>
          <w:sz w:val="24"/>
          <w:lang w:val="et-EE"/>
        </w:rPr>
        <w:tab/>
      </w:r>
      <w:r w:rsidR="00751AF6" w:rsidRPr="00932959">
        <w:rPr>
          <w:color w:val="000000" w:themeColor="text1"/>
          <w:sz w:val="24"/>
          <w:lang w:val="et-EE"/>
        </w:rPr>
        <w:t>–</w:t>
      </w:r>
      <w:r w:rsidR="00751AF6" w:rsidRPr="00932959">
        <w:rPr>
          <w:color w:val="000000" w:themeColor="text1"/>
          <w:sz w:val="24"/>
          <w:lang w:val="et-EE"/>
        </w:rPr>
        <w:tab/>
        <w:t>Euroopa Parlamendi 26. novembri 2024. aasta resolutsioon komisjoni rakendusotsuse eelnõu kohta, millega lubatakse lasta turule geneetiliselt muundatud maisi MON 94804 sisaldavaid, sellest koosnevaid või sellest toodetud tooteid vastavalt Euroopa Parlamendi ja nõukogu määrusel</w:t>
      </w:r>
      <w:r w:rsidR="007B3730">
        <w:rPr>
          <w:color w:val="000000" w:themeColor="text1"/>
          <w:sz w:val="24"/>
          <w:lang w:val="et-EE"/>
        </w:rPr>
        <w:t>e (EÜ) nr 1829/2003 (P10_TA(2024</w:t>
      </w:r>
      <w:r w:rsidR="00751AF6" w:rsidRPr="00932959">
        <w:rPr>
          <w:color w:val="000000" w:themeColor="text1"/>
          <w:sz w:val="24"/>
          <w:lang w:val="et-EE"/>
        </w:rPr>
        <w:t>)0045).</w:t>
      </w:r>
    </w:p>
  </w:footnote>
  <w:footnote w:id="5">
    <w:p w:rsidR="00751AF6" w:rsidRPr="00932959" w:rsidRDefault="00751AF6" w:rsidP="00932959">
      <w:pPr>
        <w:pStyle w:val="FootnoteText"/>
        <w:ind w:left="567" w:hanging="567"/>
        <w:rPr>
          <w:color w:val="000000" w:themeColor="text1"/>
          <w:sz w:val="24"/>
          <w:lang w:val="et-EE"/>
        </w:rPr>
      </w:pPr>
      <w:r w:rsidRPr="00932959">
        <w:rPr>
          <w:rStyle w:val="FootnoteReference"/>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Euroopa Parlamendi ja nõukogu 21. o</w:t>
      </w:r>
      <w:r w:rsidR="008622C5">
        <w:rPr>
          <w:color w:val="000000" w:themeColor="text1"/>
          <w:sz w:val="24"/>
          <w:lang w:val="et-EE"/>
        </w:rPr>
        <w:t>ktoobri 2009. aasta määrus (EÜ) </w:t>
      </w:r>
      <w:r w:rsidRPr="00932959">
        <w:rPr>
          <w:color w:val="000000" w:themeColor="text1"/>
          <w:sz w:val="24"/>
          <w:lang w:val="et-EE"/>
        </w:rPr>
        <w:t>nr 1107/2009 taimekaitsevahendite turulelaskmise ja nõu</w:t>
      </w:r>
      <w:r w:rsidR="008622C5">
        <w:rPr>
          <w:color w:val="000000" w:themeColor="text1"/>
          <w:sz w:val="24"/>
          <w:lang w:val="et-EE"/>
        </w:rPr>
        <w:t xml:space="preserve">kogu direktiivide 79/117/EMÜ ja </w:t>
      </w:r>
      <w:r w:rsidRPr="00932959">
        <w:rPr>
          <w:color w:val="000000" w:themeColor="text1"/>
          <w:sz w:val="24"/>
          <w:lang w:val="et-EE"/>
        </w:rPr>
        <w:t xml:space="preserve">91/414/EMÜ kehtetuks tunnistamise kohta </w:t>
      </w:r>
      <w:r w:rsidR="00553627">
        <w:rPr>
          <w:color w:val="000000" w:themeColor="text1"/>
          <w:sz w:val="24"/>
          <w:lang w:val="et-EE"/>
        </w:rPr>
        <w:t>(</w:t>
      </w:r>
      <w:r w:rsidRPr="00932959">
        <w:rPr>
          <w:color w:val="000000" w:themeColor="text1"/>
          <w:sz w:val="24"/>
          <w:lang w:val="et-EE"/>
        </w:rPr>
        <w:t>ELT L 309, 24.11.2009, lk 1, ELI:</w:t>
      </w:r>
      <w:r w:rsidR="008622C5">
        <w:rPr>
          <w:color w:val="000000" w:themeColor="text1"/>
          <w:sz w:val="24"/>
          <w:lang w:val="et-EE"/>
        </w:rPr>
        <w:t> </w:t>
      </w:r>
      <w:r w:rsidRPr="008622C5">
        <w:rPr>
          <w:sz w:val="24"/>
          <w:lang w:val="et-EE"/>
        </w:rPr>
        <w:t>https://eur-lex.europa.eu/eli/reg/2009/1107/oj</w:t>
      </w:r>
      <w:r w:rsidRPr="00E20520">
        <w:rPr>
          <w:rStyle w:val="Hyperlink"/>
          <w:color w:val="000000" w:themeColor="text1"/>
          <w:sz w:val="24"/>
          <w:u w:val="none"/>
          <w:lang w:val="et-EE"/>
        </w:rPr>
        <w:t>).</w:t>
      </w:r>
    </w:p>
  </w:footnote>
  <w:footnote w:id="6">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008622C5">
        <w:rPr>
          <w:color w:val="000000" w:themeColor="text1"/>
          <w:sz w:val="24"/>
          <w:lang w:val="et-EE"/>
        </w:rPr>
        <w:t>Komisjoni 3. aprilli 2013. aasta rakendusmäärus (EL) nr </w:t>
      </w:r>
      <w:r w:rsidRPr="00932959">
        <w:rPr>
          <w:color w:val="000000" w:themeColor="text1"/>
          <w:sz w:val="24"/>
          <w:lang w:val="et-EE"/>
        </w:rPr>
        <w:t xml:space="preserve">503/2013, mis käsitleb loa taotlemist geneetiliselt muundatud toidule ja söödale Euroopa Parlamendi ja nõukogu määruse (EÜ) nr 1829/2003 kohaselt ning </w:t>
      </w:r>
      <w:r w:rsidR="008622C5">
        <w:rPr>
          <w:color w:val="000000" w:themeColor="text1"/>
          <w:sz w:val="24"/>
          <w:lang w:val="et-EE"/>
        </w:rPr>
        <w:t>millega muudetakse määrusi (EÜ) nr 641/2004 ja (EÜ) nr 1981/2006 (ELT </w:t>
      </w:r>
      <w:r w:rsidRPr="00932959">
        <w:rPr>
          <w:color w:val="000000" w:themeColor="text1"/>
          <w:sz w:val="24"/>
          <w:lang w:val="et-EE"/>
        </w:rPr>
        <w:t>L 157, 8.6.2013, lk 1, ELI:</w:t>
      </w:r>
      <w:r w:rsidR="008622C5">
        <w:rPr>
          <w:color w:val="000000" w:themeColor="text1"/>
          <w:sz w:val="24"/>
          <w:lang w:val="et-EE"/>
        </w:rPr>
        <w:t> </w:t>
      </w:r>
      <w:r w:rsidRPr="008622C5">
        <w:rPr>
          <w:sz w:val="24"/>
          <w:lang w:val="et-EE"/>
        </w:rPr>
        <w:t>http://data.europa.eu/eli/reg_impl/2013/503/oj</w:t>
      </w:r>
      <w:r w:rsidRPr="00932959">
        <w:rPr>
          <w:color w:val="000000" w:themeColor="text1"/>
          <w:sz w:val="24"/>
          <w:lang w:val="et-EE"/>
        </w:rPr>
        <w:t>).</w:t>
      </w:r>
    </w:p>
  </w:footnote>
  <w:footnote w:id="7">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 xml:space="preserve">Vt näiteks Schulz, R., Bub, S., Petschick, L. L., Stehle, S., Wolfram, J. (2021) „Applied pesticide toxicity shifts toward plant and invertebrates, even in GM crops“, Science 372(6537), lk 81–84, </w:t>
      </w:r>
      <w:r w:rsidRPr="008622C5">
        <w:rPr>
          <w:sz w:val="24"/>
          <w:lang w:val="et-EE"/>
        </w:rPr>
        <w:t>https://doi.org/10.1126/science.abe1148</w:t>
      </w:r>
      <w:r w:rsidRPr="00932959">
        <w:rPr>
          <w:color w:val="000000" w:themeColor="text1"/>
          <w:sz w:val="24"/>
          <w:lang w:val="et-EE"/>
        </w:rPr>
        <w:t>; Bonny, S., „Genetically Modified Herbicide-Tolerant Crops, Weeds, and Herbicides: Overview and Impact“, Environmental Management, jaanuar 2016;57(1), lk 31</w:t>
      </w:r>
      <w:r w:rsidR="00553627" w:rsidRPr="00932959">
        <w:rPr>
          <w:color w:val="000000" w:themeColor="text1"/>
          <w:sz w:val="24"/>
          <w:lang w:val="et-EE"/>
        </w:rPr>
        <w:t>–</w:t>
      </w:r>
      <w:r w:rsidRPr="00932959">
        <w:rPr>
          <w:color w:val="000000" w:themeColor="text1"/>
          <w:sz w:val="24"/>
          <w:lang w:val="et-EE"/>
        </w:rPr>
        <w:t xml:space="preserve">48, </w:t>
      </w:r>
      <w:r w:rsidRPr="008622C5">
        <w:rPr>
          <w:sz w:val="24"/>
          <w:lang w:val="et-EE"/>
        </w:rPr>
        <w:t>https://www.ncbi.nlm.nih.gov/pubmed/26296738</w:t>
      </w:r>
      <w:r w:rsidRPr="00932959">
        <w:rPr>
          <w:rStyle w:val="Hyperlink"/>
          <w:color w:val="000000" w:themeColor="text1"/>
          <w:sz w:val="24"/>
          <w:lang w:val="et-EE"/>
        </w:rPr>
        <w:t>;</w:t>
      </w:r>
      <w:r w:rsidRPr="00932959">
        <w:rPr>
          <w:color w:val="000000" w:themeColor="text1"/>
          <w:sz w:val="24"/>
          <w:lang w:val="et-EE"/>
        </w:rPr>
        <w:t xml:space="preserve"> ja Benbrook, C.M. „Impacts of genetically engineered crops on pesticide use in the U.S. – the first sixteen years“, Environmental Sciences Europe, 28. september 2012, kd 24(24), </w:t>
      </w:r>
      <w:r w:rsidRPr="008622C5">
        <w:rPr>
          <w:sz w:val="24"/>
          <w:lang w:val="et-EE"/>
        </w:rPr>
        <w:t>https://enveurope.springeropen.com/articles/10.1186/2190-4715-24-24</w:t>
      </w:r>
      <w:r w:rsidRPr="00932959">
        <w:rPr>
          <w:color w:val="000000" w:themeColor="text1"/>
          <w:sz w:val="24"/>
          <w:lang w:val="et-EE"/>
        </w:rPr>
        <w:t>.</w:t>
      </w:r>
    </w:p>
  </w:footnote>
  <w:footnote w:id="8">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 xml:space="preserve">Ülevaate saamiseks vt Rubio-Infante, N., Moreno-Fierros, L. „An overview of the safety and biological effects of </w:t>
      </w:r>
      <w:r w:rsidRPr="00932959">
        <w:rPr>
          <w:i/>
          <w:color w:val="000000" w:themeColor="text1"/>
          <w:sz w:val="24"/>
          <w:lang w:val="et-EE"/>
        </w:rPr>
        <w:t>Bacillus thuringiensis</w:t>
      </w:r>
      <w:r w:rsidRPr="00932959">
        <w:rPr>
          <w:color w:val="000000" w:themeColor="text1"/>
          <w:sz w:val="24"/>
          <w:lang w:val="et-EE"/>
        </w:rPr>
        <w:t xml:space="preserve"> Cry toxins in mammals“, Journal of Applied Toxicology, mai 2016, 36(5), lk 630–648,</w:t>
      </w:r>
      <w:r w:rsidRPr="00932959">
        <w:rPr>
          <w:sz w:val="24"/>
          <w:lang w:val="et-EE"/>
        </w:rPr>
        <w:t xml:space="preserve"> </w:t>
      </w:r>
      <w:r w:rsidRPr="008622C5">
        <w:rPr>
          <w:sz w:val="24"/>
          <w:lang w:val="et-EE"/>
        </w:rPr>
        <w:t>https://onlinelibrary.wiley.com/doi/full/10.1002/jat.3252</w:t>
      </w:r>
      <w:r w:rsidRPr="00932959">
        <w:rPr>
          <w:color w:val="000000" w:themeColor="text1"/>
          <w:sz w:val="24"/>
          <w:lang w:val="et-EE"/>
        </w:rPr>
        <w:t>.</w:t>
      </w:r>
    </w:p>
  </w:footnote>
  <w:footnote w:id="9">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Bøhn, T., Macagnan Rover, C., Semenchuk, P. R., „</w:t>
      </w:r>
      <w:r w:rsidRPr="00932959">
        <w:rPr>
          <w:i/>
          <w:color w:val="000000" w:themeColor="text1"/>
          <w:sz w:val="24"/>
          <w:lang w:val="et-EE"/>
        </w:rPr>
        <w:t>Daphnia magna</w:t>
      </w:r>
      <w:r w:rsidRPr="00932959">
        <w:rPr>
          <w:color w:val="000000" w:themeColor="text1"/>
          <w:sz w:val="24"/>
          <w:lang w:val="et-EE"/>
        </w:rPr>
        <w:t xml:space="preserve"> negative affected by chronic exposure to cleanified Cry-toxins“, Food and Chemical Toxicology, mai 2016, köide 91, lk 130–140,</w:t>
      </w:r>
      <w:r w:rsidRPr="00932959">
        <w:rPr>
          <w:sz w:val="24"/>
          <w:lang w:val="et-EE"/>
        </w:rPr>
        <w:t xml:space="preserve"> </w:t>
      </w:r>
      <w:r w:rsidRPr="008622C5">
        <w:rPr>
          <w:sz w:val="24"/>
          <w:lang w:val="et-EE"/>
        </w:rPr>
        <w:t>https://www.sciencedirect.com/science/article/pii/S0278691516300722</w:t>
      </w:r>
      <w:r w:rsidRPr="00932959">
        <w:rPr>
          <w:color w:val="000000" w:themeColor="text1"/>
          <w:sz w:val="24"/>
          <w:lang w:val="et-EE"/>
        </w:rPr>
        <w:t>.</w:t>
      </w:r>
    </w:p>
  </w:footnote>
  <w:footnote w:id="10">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sz w:val="24"/>
          <w:lang w:val="et-EE"/>
        </w:rPr>
        <w:t xml:space="preserve"> </w:t>
      </w:r>
      <w:r w:rsidR="00932959" w:rsidRPr="00932959">
        <w:rPr>
          <w:sz w:val="24"/>
          <w:lang w:val="et-EE"/>
        </w:rPr>
        <w:tab/>
      </w:r>
      <w:r w:rsidRPr="008622C5">
        <w:rPr>
          <w:sz w:val="24"/>
          <w:lang w:val="et-EE"/>
        </w:rPr>
        <w:t>https://efsa.onlinelibrary.wiley.com/action/downloadSupplement?doi=10.2903%2Fj.‌efsa.2024.8716&amp;file=efs28716-sup-0012-Annex8.pdf</w:t>
      </w:r>
    </w:p>
  </w:footnote>
  <w:footnote w:id="11">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„Strateegiline dialoog ELi põllumajanduse tuleviku üle – põllumajanduse ja toidu ühine väljavaade Euroopas“, september 2024,</w:t>
      </w:r>
      <w:r w:rsidRPr="00932959">
        <w:rPr>
          <w:sz w:val="24"/>
          <w:lang w:val="et-EE"/>
        </w:rPr>
        <w:t xml:space="preserve"> </w:t>
      </w:r>
      <w:r w:rsidRPr="008622C5">
        <w:rPr>
          <w:sz w:val="24"/>
          <w:lang w:val="et-EE"/>
        </w:rPr>
        <w:t>https://agriculture.ec.europa.eu/document/download/171329ff-0f50-4fa5-946f-aea11032172e_en?filename=strategic-dialogue-report-2024_en.pdf.</w:t>
      </w:r>
    </w:p>
  </w:footnote>
  <w:footnote w:id="12">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sz w:val="24"/>
          <w:lang w:val="et-EE"/>
        </w:rPr>
        <w:t xml:space="preserve"> </w:t>
      </w:r>
      <w:r w:rsidR="00932959" w:rsidRPr="00932959">
        <w:rPr>
          <w:sz w:val="24"/>
          <w:lang w:val="et-EE"/>
        </w:rPr>
        <w:tab/>
      </w:r>
      <w:r w:rsidRPr="008622C5">
        <w:rPr>
          <w:sz w:val="24"/>
          <w:lang w:val="et-EE"/>
        </w:rPr>
        <w:t>https://www.ohchr.org/en/documents/thematic-reports/ahrc3448-report-special-rapporteur-right-food</w:t>
      </w:r>
    </w:p>
  </w:footnote>
  <w:footnote w:id="13">
    <w:p w:rsidR="00751AF6" w:rsidRPr="00932959" w:rsidRDefault="00751AF6" w:rsidP="00932959">
      <w:pPr>
        <w:pStyle w:val="FootnoteText"/>
        <w:ind w:left="567" w:hanging="567"/>
        <w:rPr>
          <w:sz w:val="24"/>
          <w:lang w:val="et-EE"/>
        </w:rPr>
      </w:pPr>
      <w:r w:rsidRPr="00932959">
        <w:rPr>
          <w:rStyle w:val="FootnoteReference"/>
          <w:sz w:val="24"/>
          <w:lang w:val="et-EE"/>
        </w:rPr>
        <w:footnoteRef/>
      </w:r>
      <w:r w:rsidR="00932959" w:rsidRPr="00932959">
        <w:rPr>
          <w:sz w:val="24"/>
          <w:lang w:val="et-EE"/>
        </w:rPr>
        <w:t xml:space="preserve"> </w:t>
      </w:r>
      <w:r w:rsidR="00932959" w:rsidRPr="00932959">
        <w:rPr>
          <w:sz w:val="24"/>
          <w:lang w:val="et-EE"/>
        </w:rPr>
        <w:tab/>
      </w:r>
      <w:r w:rsidRPr="008622C5">
        <w:rPr>
          <w:sz w:val="24"/>
          <w:lang w:val="et-EE"/>
        </w:rPr>
        <w:t>https://indicators.report/targets/3-9/</w:t>
      </w:r>
    </w:p>
  </w:footnote>
  <w:footnote w:id="14">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sz w:val="24"/>
          <w:lang w:val="et-EE"/>
        </w:rPr>
        <w:t xml:space="preserve"> </w:t>
      </w:r>
      <w:r w:rsidR="00932959" w:rsidRPr="00932959">
        <w:rPr>
          <w:sz w:val="24"/>
          <w:lang w:val="et-EE"/>
        </w:rPr>
        <w:tab/>
      </w:r>
      <w:r w:rsidRPr="008622C5">
        <w:rPr>
          <w:sz w:val="24"/>
          <w:lang w:val="et-EE"/>
        </w:rPr>
        <w:t>https://ec.europa.eu/commission/presscorner/detail/et/ip_22_7834</w:t>
      </w:r>
    </w:p>
  </w:footnote>
  <w:footnote w:id="15">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sz w:val="24"/>
          <w:lang w:val="et-EE"/>
        </w:rPr>
        <w:t xml:space="preserve"> </w:t>
      </w:r>
      <w:r w:rsidR="00932959" w:rsidRPr="00932959">
        <w:rPr>
          <w:sz w:val="24"/>
          <w:lang w:val="et-EE"/>
        </w:rPr>
        <w:tab/>
      </w:r>
      <w:r w:rsidRPr="008622C5">
        <w:rPr>
          <w:sz w:val="24"/>
          <w:lang w:val="et-EE"/>
        </w:rPr>
        <w:t>https://commission.europa.eu/document/2c64e540-c07a-4376-a1da-368d289f4afe_en</w:t>
      </w:r>
    </w:p>
  </w:footnote>
  <w:footnote w:id="16">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Määruse (EL) </w:t>
      </w:r>
      <w:r w:rsidR="0070626A">
        <w:rPr>
          <w:color w:val="000000" w:themeColor="text1"/>
          <w:sz w:val="24"/>
          <w:lang w:val="et-EE"/>
        </w:rPr>
        <w:t xml:space="preserve">nr </w:t>
      </w:r>
      <w:bookmarkStart w:id="8" w:name="_GoBack"/>
      <w:bookmarkEnd w:id="8"/>
      <w:r w:rsidRPr="00932959">
        <w:rPr>
          <w:color w:val="000000" w:themeColor="text1"/>
          <w:sz w:val="24"/>
          <w:lang w:val="et-EE"/>
        </w:rPr>
        <w:t>182/2011 artikli 6 lõike 3 kohaselt võib komisjon loa anda, kuid ei pea seda tegema, kui apellatsioonikomitees ei ole selle toetuseks saavutatud liikmesriikide kvalifitseeritud häälteenamust.</w:t>
      </w:r>
    </w:p>
  </w:footnote>
  <w:footnote w:id="17">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Euroopa Parlamendi ja nõukogu 28. j</w:t>
      </w:r>
      <w:r w:rsidR="008622C5">
        <w:rPr>
          <w:color w:val="000000" w:themeColor="text1"/>
          <w:sz w:val="24"/>
          <w:lang w:val="et-EE"/>
        </w:rPr>
        <w:t>aanuari 2002. aasta määrus (EÜ) </w:t>
      </w:r>
      <w:r w:rsidRPr="00932959">
        <w:rPr>
          <w:color w:val="000000" w:themeColor="text1"/>
          <w:sz w:val="24"/>
          <w:lang w:val="et-EE"/>
        </w:rPr>
        <w:t>nr 178/2002, millega sätestatakse toidualaste õigusnormide üldised põhimõtted ja nõuded, asutatakse Euroopa Toiduohutusamet ja kehtestatakse toidu ohutusega seotud menetlused (EÜT L 31, 1.2.2002, lk 1, ELI: </w:t>
      </w:r>
      <w:r w:rsidRPr="008622C5">
        <w:rPr>
          <w:sz w:val="24"/>
          <w:lang w:val="et-EE"/>
        </w:rPr>
        <w:t>http://data.europa.eu/eli/reg/2002/178/oj</w:t>
      </w:r>
      <w:r w:rsidRPr="00932959">
        <w:rPr>
          <w:color w:val="000000" w:themeColor="text1"/>
          <w:sz w:val="24"/>
          <w:lang w:val="et-EE"/>
        </w:rPr>
        <w:t>).</w:t>
      </w:r>
    </w:p>
  </w:footnote>
  <w:footnote w:id="18">
    <w:p w:rsidR="00751AF6" w:rsidRPr="00932959" w:rsidRDefault="00751AF6" w:rsidP="00932959">
      <w:pPr>
        <w:pStyle w:val="FootnoteText"/>
        <w:ind w:left="567" w:hanging="567"/>
        <w:rPr>
          <w:color w:val="000000" w:themeColor="text1"/>
          <w:sz w:val="24"/>
          <w:lang w:val="et-EE"/>
        </w:rPr>
      </w:pPr>
      <w:r w:rsidRPr="00932959">
        <w:rPr>
          <w:rStyle w:val="FootnoteReference"/>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 xml:space="preserve">Nagu on kirjeldatud komisjoni 14. oktoobri 2020. aasta teatise „Kestlikkust toetav kemikaalistrateegia. Mürgivaba keskkonna loomise suunas.“ (COM(2020)0667) lisas, </w:t>
      </w:r>
      <w:r w:rsidRPr="008622C5">
        <w:rPr>
          <w:sz w:val="24"/>
          <w:lang w:val="et-EE"/>
        </w:rPr>
        <w:t>https://eur-lex.europa.eu/legal-content/ET/TXT/?uri=COM%3A2020%3A667%3AFIN#document2.</w:t>
      </w:r>
    </w:p>
  </w:footnote>
  <w:footnote w:id="19">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sz w:val="24"/>
          <w:lang w:val="et-EE"/>
        </w:rPr>
        <w:t xml:space="preserve"> </w:t>
      </w:r>
      <w:r w:rsidR="00932959" w:rsidRPr="00932959">
        <w:rPr>
          <w:sz w:val="24"/>
          <w:lang w:val="et-EE"/>
        </w:rPr>
        <w:tab/>
      </w:r>
      <w:r w:rsidRPr="008622C5">
        <w:rPr>
          <w:sz w:val="24"/>
          <w:lang w:val="et-EE"/>
        </w:rPr>
        <w:t>https://tillymetz.lu/wp-content/uploads/2020/09/Co-signed-letter-MEP-Metz.pdf</w:t>
      </w:r>
    </w:p>
  </w:footnote>
  <w:footnote w:id="20">
    <w:p w:rsidR="00751AF6" w:rsidRPr="00932959" w:rsidRDefault="00751AF6" w:rsidP="00932959">
      <w:pPr>
        <w:pStyle w:val="FootnoteText"/>
        <w:ind w:left="567" w:hanging="567"/>
        <w:rPr>
          <w:color w:val="000000" w:themeColor="text1"/>
          <w:sz w:val="24"/>
          <w:lang w:val="et-EE"/>
        </w:rPr>
      </w:pPr>
      <w:r w:rsidRPr="00932959">
        <w:rPr>
          <w:rStyle w:val="Funotenzeichen"/>
          <w:color w:val="000000" w:themeColor="text1"/>
          <w:sz w:val="24"/>
          <w:lang w:val="et-EE"/>
        </w:rPr>
        <w:footnoteRef/>
      </w:r>
      <w:r w:rsidR="00932959" w:rsidRPr="00932959">
        <w:rPr>
          <w:color w:val="000000" w:themeColor="text1"/>
          <w:sz w:val="24"/>
          <w:lang w:val="et-EE"/>
        </w:rPr>
        <w:t xml:space="preserve"> </w:t>
      </w:r>
      <w:r w:rsidR="00932959" w:rsidRPr="00932959">
        <w:rPr>
          <w:color w:val="000000" w:themeColor="text1"/>
          <w:sz w:val="24"/>
          <w:lang w:val="et-EE"/>
        </w:rPr>
        <w:tab/>
      </w:r>
      <w:r w:rsidRPr="00932959">
        <w:rPr>
          <w:color w:val="000000" w:themeColor="text1"/>
          <w:sz w:val="24"/>
          <w:lang w:val="et-EE"/>
        </w:rPr>
        <w:t>Euroopa Parlamendi 15. jaanuari 2020. aasta resolutsioon Euroopa rohelise kokkuleppe kohta (ELT C 270, 7.7.2021, lk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5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5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29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ET"/>
    <w:docVar w:name="dvnumam" w:val="0"/>
    <w:docVar w:name="dvpe" w:val="766.932"/>
    <w:docVar w:name="dvtitre" w:val="Euroopa Parlamendi .... 2025. aasta resolutsioon komisjoni rakendusotsuse eelnõu kohta, millega lubatakse viia turule geneetiliselt muundatud maisi DP910521 sisaldavaid, sellest koosnevaid või sellest toodetud tooteid vastavalt Euroopa Parlamendi ja nõukogu määrusele (EÜ) nr 1829/2003(D102174/03 – 2024/3010(RSP))"/>
  </w:docVars>
  <w:rsids>
    <w:rsidRoot w:val="006C31F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627"/>
    <w:rsid w:val="00560270"/>
    <w:rsid w:val="005B42AB"/>
    <w:rsid w:val="005C2568"/>
    <w:rsid w:val="005F1B17"/>
    <w:rsid w:val="006037C0"/>
    <w:rsid w:val="00621025"/>
    <w:rsid w:val="006631B6"/>
    <w:rsid w:val="00680577"/>
    <w:rsid w:val="006A1F02"/>
    <w:rsid w:val="006C31F4"/>
    <w:rsid w:val="006F74FA"/>
    <w:rsid w:val="0070626A"/>
    <w:rsid w:val="00731ADD"/>
    <w:rsid w:val="00734777"/>
    <w:rsid w:val="00747932"/>
    <w:rsid w:val="00751A4A"/>
    <w:rsid w:val="00751AF6"/>
    <w:rsid w:val="00756632"/>
    <w:rsid w:val="00762C74"/>
    <w:rsid w:val="00786EC0"/>
    <w:rsid w:val="007B3730"/>
    <w:rsid w:val="007D1690"/>
    <w:rsid w:val="007E22AD"/>
    <w:rsid w:val="00817416"/>
    <w:rsid w:val="00842779"/>
    <w:rsid w:val="008622C5"/>
    <w:rsid w:val="00865F67"/>
    <w:rsid w:val="00881A7B"/>
    <w:rsid w:val="008840E5"/>
    <w:rsid w:val="00887B3E"/>
    <w:rsid w:val="008C2AC6"/>
    <w:rsid w:val="00930C23"/>
    <w:rsid w:val="0093193B"/>
    <w:rsid w:val="00932959"/>
    <w:rsid w:val="009509D8"/>
    <w:rsid w:val="00950B64"/>
    <w:rsid w:val="00981893"/>
    <w:rsid w:val="00A1687D"/>
    <w:rsid w:val="00A42B9F"/>
    <w:rsid w:val="00A43E52"/>
    <w:rsid w:val="00A4678D"/>
    <w:rsid w:val="00A778C7"/>
    <w:rsid w:val="00AB441E"/>
    <w:rsid w:val="00AB4A5D"/>
    <w:rsid w:val="00AB6293"/>
    <w:rsid w:val="00AE0928"/>
    <w:rsid w:val="00AF3B82"/>
    <w:rsid w:val="00B12E95"/>
    <w:rsid w:val="00B22876"/>
    <w:rsid w:val="00B558F0"/>
    <w:rsid w:val="00BD48FE"/>
    <w:rsid w:val="00BD7BD8"/>
    <w:rsid w:val="00BE1A1A"/>
    <w:rsid w:val="00BE6ADC"/>
    <w:rsid w:val="00C05BFE"/>
    <w:rsid w:val="00C23CD4"/>
    <w:rsid w:val="00C61C0C"/>
    <w:rsid w:val="00C941CB"/>
    <w:rsid w:val="00CC2357"/>
    <w:rsid w:val="00CF071A"/>
    <w:rsid w:val="00D058B8"/>
    <w:rsid w:val="00D56C11"/>
    <w:rsid w:val="00D834A0"/>
    <w:rsid w:val="00D872DF"/>
    <w:rsid w:val="00D91E21"/>
    <w:rsid w:val="00DA7FCD"/>
    <w:rsid w:val="00E2052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A7C375"/>
  <w15:chartTrackingRefBased/>
  <w15:docId w15:val="{E407B577-5B68-4CDE-8795-F2B0D8D78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751AF6"/>
    <w:pPr>
      <w:spacing w:before="480" w:after="240"/>
    </w:pPr>
  </w:style>
  <w:style w:type="paragraph" w:customStyle="1" w:styleId="NormalHanging12a">
    <w:name w:val="NormalHanging12a"/>
    <w:basedOn w:val="Normal"/>
    <w:qFormat/>
    <w:rsid w:val="00751AF6"/>
    <w:pPr>
      <w:spacing w:after="240"/>
      <w:ind w:left="567" w:hanging="567"/>
    </w:pPr>
  </w:style>
  <w:style w:type="character" w:styleId="Hyperlink">
    <w:name w:val="Hyperlink"/>
    <w:basedOn w:val="DefaultParagraphFont"/>
    <w:uiPriority w:val="99"/>
    <w:rsid w:val="00751AF6"/>
    <w:rPr>
      <w:color w:val="0563C1" w:themeColor="hyperlink"/>
      <w:u w:val="single"/>
    </w:rPr>
  </w:style>
  <w:style w:type="character" w:customStyle="1" w:styleId="Funotenzeichen">
    <w:name w:val="Fußnotenzeichen"/>
    <w:qFormat/>
    <w:rsid w:val="00751AF6"/>
    <w:rPr>
      <w:vertAlign w:val="superscript"/>
    </w:rPr>
  </w:style>
  <w:style w:type="paragraph" w:styleId="BalloonText">
    <w:name w:val="Balloon Text"/>
    <w:basedOn w:val="Normal"/>
    <w:link w:val="BalloonTextChar"/>
    <w:rsid w:val="008622C5"/>
    <w:rPr>
      <w:rFonts w:ascii="Segoe UI" w:hAnsi="Segoe UI" w:cs="Segoe UI"/>
      <w:sz w:val="18"/>
      <w:szCs w:val="18"/>
    </w:rPr>
  </w:style>
  <w:style w:type="character" w:customStyle="1" w:styleId="BalloonTextChar">
    <w:name w:val="Balloon Text Char"/>
    <w:basedOn w:val="DefaultParagraphFont"/>
    <w:link w:val="BalloonText"/>
    <w:rsid w:val="008622C5"/>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2903/j.efsa.2024.8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23868-996F-44C0-B3A1-226F66D70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1775</Words>
  <Characters>12658</Characters>
  <Application>Microsoft Office Word</Application>
  <DocSecurity>0</DocSecurity>
  <Lines>550</Lines>
  <Paragraphs>178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2025-03-04T10:50:00Z</dcterms:created>
  <dcterms:modified xsi:type="dcterms:W3CDTF">2025-03-04T10:50:00Z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B10-0061/2025</vt:lpwstr>
  </property>
  <property fmtid="{D5CDD505-2E9C-101B-9397-08002B2CF9AE}" pid="4" name="&lt;Type&gt;">
    <vt:lpwstr>RR</vt:lpwstr>
  </property>
</Properties>
</file>