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0A4F" w:rsidTr="0010095E">
        <w:trPr>
          <w:trHeight w:hRule="exact" w:val="1418"/>
        </w:trPr>
        <w:tc>
          <w:tcPr>
            <w:tcW w:w="6804" w:type="dxa"/>
            <w:shd w:val="clear" w:color="auto" w:fill="auto"/>
            <w:vAlign w:val="center"/>
          </w:tcPr>
          <w:p w:rsidR="00751A4A" w:rsidRPr="00C30A4F" w:rsidRDefault="007C06BB" w:rsidP="008B36A0">
            <w:pPr>
              <w:pStyle w:val="EPName"/>
              <w:widowControl/>
            </w:pPr>
            <w:r w:rsidRPr="00C30A4F">
              <w:t>Euroopan parlamentti</w:t>
            </w:r>
          </w:p>
          <w:p w:rsidR="00751A4A" w:rsidRPr="00C30A4F" w:rsidRDefault="005F1B17" w:rsidP="008B36A0">
            <w:pPr>
              <w:pStyle w:val="EPTerm"/>
              <w:widowControl/>
              <w:rPr>
                <w:rStyle w:val="HideTWBExt"/>
                <w:noProof w:val="0"/>
                <w:vanish w:val="0"/>
                <w:color w:val="auto"/>
              </w:rPr>
            </w:pPr>
            <w:r w:rsidRPr="00C30A4F">
              <w:t>2024</w:t>
            </w:r>
            <w:r w:rsidR="00817416" w:rsidRPr="00C30A4F">
              <w:t>-202</w:t>
            </w:r>
            <w:r w:rsidRPr="00C30A4F">
              <w:t>9</w:t>
            </w:r>
          </w:p>
        </w:tc>
        <w:tc>
          <w:tcPr>
            <w:tcW w:w="2268" w:type="dxa"/>
            <w:shd w:val="clear" w:color="auto" w:fill="auto"/>
          </w:tcPr>
          <w:p w:rsidR="00751A4A" w:rsidRPr="00C30A4F" w:rsidRDefault="00187494" w:rsidP="008B36A0">
            <w:pPr>
              <w:pStyle w:val="EPLogo"/>
              <w:widowControl/>
            </w:pPr>
            <w:r w:rsidRPr="00C30A4F">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30A4F" w:rsidRDefault="00D058B8" w:rsidP="008B36A0">
      <w:pPr>
        <w:pStyle w:val="LineTop"/>
        <w:widowControl/>
      </w:pPr>
    </w:p>
    <w:p w:rsidR="00680577" w:rsidRPr="00C30A4F" w:rsidRDefault="007C06BB" w:rsidP="008B36A0">
      <w:pPr>
        <w:pStyle w:val="EPBodyTA1"/>
        <w:widowControl/>
      </w:pPr>
      <w:r w:rsidRPr="00C30A4F">
        <w:t>HYVÄKSYTYT TEKSTIT</w:t>
      </w:r>
    </w:p>
    <w:p w:rsidR="00D058B8" w:rsidRPr="00C30A4F" w:rsidRDefault="00D058B8" w:rsidP="008B36A0">
      <w:pPr>
        <w:pStyle w:val="LineBottom"/>
        <w:widowControl/>
      </w:pPr>
    </w:p>
    <w:p w:rsidR="007C06BB" w:rsidRPr="00C30A4F" w:rsidRDefault="007C06BB" w:rsidP="008B36A0">
      <w:pPr>
        <w:pStyle w:val="ATHeading1"/>
      </w:pPr>
      <w:bookmarkStart w:id="0" w:name="TANumber"/>
      <w:r w:rsidRPr="00C30A4F">
        <w:t>P10_TA(2025)00</w:t>
      </w:r>
      <w:r w:rsidR="000117C1">
        <w:t>14</w:t>
      </w:r>
      <w:bookmarkEnd w:id="0"/>
    </w:p>
    <w:p w:rsidR="007C06BB" w:rsidRPr="00C30A4F" w:rsidRDefault="007C06BB" w:rsidP="008B36A0">
      <w:pPr>
        <w:pStyle w:val="ATHeading2"/>
      </w:pPr>
      <w:bookmarkStart w:id="1" w:name="title"/>
      <w:r w:rsidRPr="00C30A4F">
        <w:t xml:space="preserve">Muuntogeeninen maissi DP910521 </w:t>
      </w:r>
      <w:bookmarkEnd w:id="1"/>
    </w:p>
    <w:p w:rsidR="007C06BB" w:rsidRPr="00C30A4F" w:rsidRDefault="007C06BB" w:rsidP="008B36A0">
      <w:pPr>
        <w:widowControl/>
        <w:rPr>
          <w:i/>
          <w:vanish/>
        </w:rPr>
      </w:pPr>
      <w:r w:rsidRPr="00C30A4F">
        <w:rPr>
          <w:i/>
        </w:rPr>
        <w:fldChar w:fldCharType="begin"/>
      </w:r>
      <w:r w:rsidRPr="00C30A4F">
        <w:rPr>
          <w:i/>
        </w:rPr>
        <w:instrText xml:space="preserve"> TC"(</w:instrText>
      </w:r>
      <w:bookmarkStart w:id="2" w:name="DocNumber"/>
      <w:r w:rsidRPr="00C30A4F">
        <w:rPr>
          <w:i/>
        </w:rPr>
        <w:instrText>B10-0061/2025</w:instrText>
      </w:r>
      <w:bookmarkEnd w:id="2"/>
      <w:r w:rsidRPr="00C30A4F">
        <w:rPr>
          <w:i/>
        </w:rPr>
        <w:instrText xml:space="preserve">)"\l3 \n&gt; \* MERGEFORMAT </w:instrText>
      </w:r>
      <w:r w:rsidRPr="00C30A4F">
        <w:rPr>
          <w:i/>
        </w:rPr>
        <w:fldChar w:fldCharType="end"/>
      </w:r>
    </w:p>
    <w:p w:rsidR="007C06BB" w:rsidRPr="00C30A4F" w:rsidRDefault="007C06BB" w:rsidP="008B36A0">
      <w:pPr>
        <w:widowControl/>
        <w:rPr>
          <w:vanish/>
        </w:rPr>
      </w:pPr>
      <w:bookmarkStart w:id="3" w:name="PE"/>
      <w:r w:rsidRPr="00C30A4F">
        <w:rPr>
          <w:vanish/>
        </w:rPr>
        <w:t>PE766.932</w:t>
      </w:r>
      <w:bookmarkEnd w:id="3"/>
    </w:p>
    <w:p w:rsidR="007C06BB" w:rsidRPr="00C30A4F" w:rsidRDefault="007C06BB" w:rsidP="008B36A0">
      <w:pPr>
        <w:pStyle w:val="ATHeading3"/>
      </w:pPr>
      <w:bookmarkStart w:id="4" w:name="Sujet"/>
      <w:r w:rsidRPr="00C30A4F">
        <w:t xml:space="preserve">Euroopan parlamentin päätöslauselma </w:t>
      </w:r>
      <w:r w:rsidR="00772E05" w:rsidRPr="00C30A4F">
        <w:t>12</w:t>
      </w:r>
      <w:r w:rsidRPr="00C30A4F">
        <w:t xml:space="preserve">. helmikuuta 2025 ehdotuksesta komission täytäntöönpanopäätökseksi luvan antamisesta muuntogeenistä maissia DP910521 sisältävien, siitä koostuvien tai siitä valmistettujen tuotteiden saattamiseksi markkinoille Euroopan parlamentin ja neuvoston asetuksen (EY) </w:t>
      </w:r>
      <w:proofErr w:type="gramStart"/>
      <w:r w:rsidRPr="00C30A4F">
        <w:t>N:o</w:t>
      </w:r>
      <w:proofErr w:type="gramEnd"/>
      <w:r w:rsidRPr="00C30A4F">
        <w:t> 1829/2003 mukaisesti</w:t>
      </w:r>
      <w:bookmarkEnd w:id="4"/>
      <w:r w:rsidRPr="00C30A4F">
        <w:t xml:space="preserve"> </w:t>
      </w:r>
      <w:bookmarkStart w:id="5" w:name="References"/>
      <w:r w:rsidRPr="00C30A4F">
        <w:t>(D102174/03 – 2024/3010(RSP))</w:t>
      </w:r>
      <w:bookmarkEnd w:id="5"/>
    </w:p>
    <w:p w:rsidR="004D10DC" w:rsidRPr="00C30A4F" w:rsidRDefault="004D10DC" w:rsidP="008B36A0">
      <w:pPr>
        <w:pStyle w:val="EPComma"/>
        <w:widowControl/>
      </w:pPr>
      <w:bookmarkStart w:id="6" w:name="TextBodyBegin"/>
      <w:bookmarkEnd w:id="6"/>
      <w:r w:rsidRPr="00C30A4F">
        <w:rPr>
          <w:i/>
          <w:iCs/>
        </w:rPr>
        <w:t>Euroopan parlamentti</w:t>
      </w:r>
      <w:r w:rsidRPr="00C30A4F">
        <w:t>, joka</w:t>
      </w:r>
    </w:p>
    <w:p w:rsidR="004D10DC" w:rsidRPr="00C30A4F" w:rsidRDefault="004D10DC" w:rsidP="008B36A0">
      <w:pPr>
        <w:pStyle w:val="NormalHanging12a"/>
        <w:widowControl/>
      </w:pPr>
      <w:r w:rsidRPr="00C30A4F">
        <w:t>–</w:t>
      </w:r>
      <w:r w:rsidRPr="00C30A4F">
        <w:tab/>
        <w:t xml:space="preserve">ottaa huomioon ehdotuksen komission täytäntöönpanopäätökseksi luvan antamisesta muuntogeenistä maissia DP910521 sisältävien, siitä koostuvien tai siitä valmistettujen tuotteiden saattamiseksi markkinoille Euroopan parlamentin ja neuvoston asetuksen (EY) </w:t>
      </w:r>
      <w:proofErr w:type="gramStart"/>
      <w:r w:rsidRPr="00C30A4F">
        <w:t>N:o</w:t>
      </w:r>
      <w:proofErr w:type="gramEnd"/>
      <w:r w:rsidRPr="00C30A4F">
        <w:t> 1829/2003 mukaisesti (D102174/03),</w:t>
      </w:r>
    </w:p>
    <w:p w:rsidR="004D10DC" w:rsidRPr="00C30A4F" w:rsidRDefault="004D10DC" w:rsidP="008B36A0">
      <w:pPr>
        <w:pStyle w:val="NormalHanging12a"/>
        <w:widowControl/>
        <w:rPr>
          <w:szCs w:val="24"/>
        </w:rPr>
      </w:pPr>
      <w:r w:rsidRPr="00C30A4F">
        <w:t>–</w:t>
      </w:r>
      <w:r w:rsidRPr="00C30A4F">
        <w:tab/>
        <w:t>ottaa huomioon muuntogeenisistä elintarvikkeista ja rehuista 22. syyskuuta 2003 annetun Euroopan parlamentin ja neuvoston asetuksen (EY) N:o 1829/2003</w:t>
      </w:r>
      <w:r w:rsidRPr="00C30A4F">
        <w:rPr>
          <w:rStyle w:val="FootnoteReference"/>
          <w:szCs w:val="24"/>
        </w:rPr>
        <w:footnoteReference w:id="1"/>
      </w:r>
      <w:r w:rsidRPr="00C30A4F">
        <w:t xml:space="preserve"> ja erityisesti sen 7 artiklan 3 kohdan ja 19 artiklan 3 kohdan,</w:t>
      </w:r>
    </w:p>
    <w:p w:rsidR="004D10DC" w:rsidRPr="00C30A4F" w:rsidRDefault="004D10DC" w:rsidP="008B36A0">
      <w:pPr>
        <w:pStyle w:val="NormalHanging12a"/>
        <w:widowControl/>
        <w:rPr>
          <w:szCs w:val="24"/>
        </w:rPr>
      </w:pPr>
      <w:r w:rsidRPr="00C30A4F">
        <w:t>–</w:t>
      </w:r>
      <w:r w:rsidRPr="00C30A4F">
        <w:tab/>
        <w:t>ottaa huomioon asetuksen (EY) </w:t>
      </w:r>
      <w:proofErr w:type="gramStart"/>
      <w:r w:rsidRPr="00C30A4F">
        <w:t>N:o</w:t>
      </w:r>
      <w:proofErr w:type="gramEnd"/>
      <w:r w:rsidRPr="00C30A4F">
        <w:t> 1829/2003 35 artiklassa tarkoitetussa pysyvässä kasvi-, eläin-, elintarvike- ja rehukomiteassa 22. marraskuuta 2024 toimitetun äänestyksen, jossa päätettiin olla antamatta lausuntoa, ja muutoksenhakukomiteassa 17. joulukuuta 2024 toimitetun äänestyksen, jossa päätettiin niin ikään olla antamatta lausuntoa,</w:t>
      </w:r>
    </w:p>
    <w:p w:rsidR="004D10DC" w:rsidRPr="00C30A4F" w:rsidRDefault="004D10DC" w:rsidP="008B36A0">
      <w:pPr>
        <w:pStyle w:val="NormalHanging12a"/>
        <w:widowControl/>
        <w:rPr>
          <w:szCs w:val="24"/>
        </w:rPr>
      </w:pPr>
      <w:r w:rsidRPr="00C30A4F">
        <w:t>–</w:t>
      </w:r>
      <w:r w:rsidRPr="00C30A4F">
        <w:tab/>
        <w:t>ottaa huomioon yleisistä säännöistä ja periaatteista, joiden mukaisesti jäsenvaltiot valvovat komission täytäntöönpanovallan käyttöä, 16. helmikuuta 2011 annetun Euroopan parlamentin ja neuvoston asetuksen (EU) N:o 182/2011</w:t>
      </w:r>
      <w:r w:rsidRPr="00C30A4F">
        <w:rPr>
          <w:rStyle w:val="FootnoteReference"/>
          <w:szCs w:val="24"/>
        </w:rPr>
        <w:footnoteReference w:id="2"/>
      </w:r>
      <w:r w:rsidRPr="00C30A4F">
        <w:t xml:space="preserve"> 11 artiklan,</w:t>
      </w:r>
    </w:p>
    <w:p w:rsidR="004D10DC" w:rsidRPr="00C30A4F" w:rsidRDefault="004D10DC" w:rsidP="008B36A0">
      <w:pPr>
        <w:pStyle w:val="NormalHanging12a"/>
        <w:widowControl/>
        <w:rPr>
          <w:szCs w:val="24"/>
        </w:rPr>
      </w:pPr>
      <w:r w:rsidRPr="00C30A4F">
        <w:t>–</w:t>
      </w:r>
      <w:r w:rsidRPr="00C30A4F">
        <w:tab/>
        <w:t>ottaa huomioon Euroopan elintarviketurvallisuusviranomaisen (EFSA) 19. kesäkuuta 2024 antaman lausunnon, joka julkaistiin 1. elokuuta 2024</w:t>
      </w:r>
      <w:r w:rsidRPr="00C30A4F">
        <w:rPr>
          <w:rStyle w:val="FootnoteReference"/>
          <w:szCs w:val="24"/>
        </w:rPr>
        <w:footnoteReference w:id="3"/>
      </w:r>
      <w:r w:rsidRPr="00C30A4F">
        <w:t>,</w:t>
      </w:r>
    </w:p>
    <w:p w:rsidR="004D10DC" w:rsidRPr="00C30A4F" w:rsidRDefault="004D10DC" w:rsidP="008B36A0">
      <w:pPr>
        <w:pStyle w:val="NormalHanging12a"/>
        <w:widowControl/>
        <w:rPr>
          <w:szCs w:val="24"/>
        </w:rPr>
      </w:pPr>
      <w:r w:rsidRPr="00C30A4F">
        <w:lastRenderedPageBreak/>
        <w:t>–</w:t>
      </w:r>
      <w:r w:rsidRPr="00C30A4F">
        <w:tab/>
        <w:t>ottaa huomioon aiemmat päätöslauselmansa, joissa vastustetaan lupien myöntämistä muuntogeenisille organismeille</w:t>
      </w:r>
      <w:r w:rsidRPr="00C30A4F">
        <w:rPr>
          <w:rStyle w:val="FootnoteReference"/>
        </w:rPr>
        <w:footnoteReference w:id="4"/>
      </w:r>
      <w:r w:rsidRPr="00C30A4F">
        <w:t>,</w:t>
      </w:r>
    </w:p>
    <w:p w:rsidR="004D10DC" w:rsidRPr="00C30A4F" w:rsidRDefault="004D10DC" w:rsidP="008B36A0">
      <w:pPr>
        <w:pStyle w:val="NormalHanging12a"/>
        <w:widowControl/>
        <w:rPr>
          <w:szCs w:val="24"/>
        </w:rPr>
      </w:pPr>
      <w:r w:rsidRPr="00C30A4F">
        <w:t>–</w:t>
      </w:r>
      <w:r w:rsidRPr="00C30A4F">
        <w:tab/>
        <w:t>ottaa huomioon työjärjestyksen 115 artiklan 2 ja 3 kohdan,</w:t>
      </w:r>
    </w:p>
    <w:p w:rsidR="004D10DC" w:rsidRPr="00C30A4F" w:rsidRDefault="004D10DC" w:rsidP="008B36A0">
      <w:pPr>
        <w:pStyle w:val="NormalHanging12a"/>
        <w:widowControl/>
        <w:rPr>
          <w:szCs w:val="24"/>
        </w:rPr>
      </w:pPr>
      <w:r w:rsidRPr="00C30A4F">
        <w:lastRenderedPageBreak/>
        <w:t>–</w:t>
      </w:r>
      <w:r w:rsidRPr="00C30A4F">
        <w:tab/>
        <w:t>ottaa huomioon ympäristön, ilmaston ja elintarvikkeiden turvallisuuden valiokunnan päätöslauselmaesityksen,</w:t>
      </w:r>
    </w:p>
    <w:p w:rsidR="004D10DC" w:rsidRPr="00C30A4F" w:rsidRDefault="004D10DC" w:rsidP="008B36A0">
      <w:pPr>
        <w:pStyle w:val="NormalHanging12a"/>
        <w:widowControl/>
        <w:rPr>
          <w:szCs w:val="24"/>
        </w:rPr>
      </w:pPr>
      <w:r w:rsidRPr="00C30A4F">
        <w:t>A.</w:t>
      </w:r>
      <w:r w:rsidRPr="00C30A4F">
        <w:tab/>
        <w:t xml:space="preserve">ottaa huomioon, että Belgiaan sijoittautunut </w:t>
      </w:r>
      <w:proofErr w:type="spellStart"/>
      <w:r w:rsidRPr="00C30A4F">
        <w:t>Corteva</w:t>
      </w:r>
      <w:proofErr w:type="spellEnd"/>
      <w:r w:rsidRPr="00C30A4F">
        <w:t xml:space="preserve"> </w:t>
      </w:r>
      <w:proofErr w:type="spellStart"/>
      <w:r w:rsidRPr="00C30A4F">
        <w:t>Agriscience</w:t>
      </w:r>
      <w:proofErr w:type="spellEnd"/>
      <w:r w:rsidRPr="00C30A4F">
        <w:t xml:space="preserve"> </w:t>
      </w:r>
      <w:proofErr w:type="spellStart"/>
      <w:r w:rsidRPr="00C30A4F">
        <w:t>Belgium</w:t>
      </w:r>
      <w:proofErr w:type="spellEnd"/>
      <w:r w:rsidRPr="00C30A4F">
        <w:t xml:space="preserve"> B.V. toimitti Yhdysvaltoihin sijoittautuneen </w:t>
      </w:r>
      <w:proofErr w:type="spellStart"/>
      <w:r w:rsidRPr="00C30A4F">
        <w:t>Corteva</w:t>
      </w:r>
      <w:proofErr w:type="spellEnd"/>
      <w:r w:rsidRPr="00C30A4F">
        <w:t xml:space="preserve"> </w:t>
      </w:r>
      <w:proofErr w:type="spellStart"/>
      <w:r w:rsidRPr="00C30A4F">
        <w:t>Agriscience</w:t>
      </w:r>
      <w:proofErr w:type="spellEnd"/>
      <w:r w:rsidRPr="00C30A4F">
        <w:t xml:space="preserve"> </w:t>
      </w:r>
      <w:proofErr w:type="spellStart"/>
      <w:r w:rsidRPr="00C30A4F">
        <w:t>LLC:n</w:t>
      </w:r>
      <w:proofErr w:type="spellEnd"/>
      <w:r w:rsidRPr="00C30A4F">
        <w:t xml:space="preserve"> puolesta 27. kesäkuuta 2022 Alankomaiden kansalliselle toimivaltaiselle viranomaiselle hakemuksen muuntogeenistä maissia DP910521</w:t>
      </w:r>
      <w:r w:rsidR="00186E7A">
        <w:t>,</w:t>
      </w:r>
      <w:r w:rsidRPr="00C30A4F">
        <w:t xml:space="preserve"> jäljempänä ’muuntogeeninen maissi’</w:t>
      </w:r>
      <w:r w:rsidR="00186E7A">
        <w:t>,</w:t>
      </w:r>
      <w:r w:rsidR="00186E7A" w:rsidRPr="00C30A4F">
        <w:t xml:space="preserve"> </w:t>
      </w:r>
      <w:r w:rsidRPr="00C30A4F">
        <w:t>sisältävien, siitä koostuvien tai siitä valmistettujen elintarvikkeiden, elintarvikkeiden ainesosien ja rehun saattamiseksi markkinoille;</w:t>
      </w:r>
    </w:p>
    <w:p w:rsidR="004D10DC" w:rsidRPr="00C30A4F" w:rsidRDefault="004D10DC" w:rsidP="008B36A0">
      <w:pPr>
        <w:pStyle w:val="NormalHanging12a"/>
        <w:widowControl/>
        <w:rPr>
          <w:szCs w:val="24"/>
        </w:rPr>
      </w:pPr>
      <w:r w:rsidRPr="00C30A4F">
        <w:t>B.</w:t>
      </w:r>
      <w:r w:rsidRPr="00C30A4F">
        <w:tab/>
        <w:t xml:space="preserve">ottaa huomioon, että muuntogeeninen maissi tuottaa Cry1B.34-toksiinia ja kestää rikkakasvien torjunta-aineena käytettävää </w:t>
      </w:r>
      <w:proofErr w:type="spellStart"/>
      <w:r w:rsidRPr="00C30A4F">
        <w:t>glufosinaattia</w:t>
      </w:r>
      <w:proofErr w:type="spellEnd"/>
      <w:r w:rsidRPr="00C30A4F">
        <w:t>;</w:t>
      </w:r>
    </w:p>
    <w:p w:rsidR="004D10DC" w:rsidRPr="00C30A4F" w:rsidRDefault="004D10DC" w:rsidP="008B36A0">
      <w:pPr>
        <w:pStyle w:val="NormalHanging12a"/>
        <w:widowControl/>
        <w:rPr>
          <w:szCs w:val="24"/>
        </w:rPr>
      </w:pPr>
      <w:r w:rsidRPr="00C30A4F">
        <w:t>C.</w:t>
      </w:r>
      <w:r w:rsidRPr="00C30A4F">
        <w:tab/>
        <w:t xml:space="preserve">ottaa huomioon, että </w:t>
      </w:r>
      <w:proofErr w:type="spellStart"/>
      <w:r w:rsidRPr="00C30A4F">
        <w:t>glufosinaatti</w:t>
      </w:r>
      <w:proofErr w:type="spellEnd"/>
      <w:r w:rsidRPr="00C30A4F">
        <w:t xml:space="preserve"> on luokiteltu lisääntymiselle vaarallisten aineiden kategoriaan 1B ja näin ollen se täyttää Euroopan parlamentin ja neuvoston asetuksessa (EY) N:o 1107/2009</w:t>
      </w:r>
      <w:r w:rsidRPr="00C30A4F">
        <w:rPr>
          <w:rStyle w:val="FootnoteReference"/>
          <w:szCs w:val="24"/>
        </w:rPr>
        <w:footnoteReference w:id="5"/>
      </w:r>
      <w:r w:rsidRPr="00C30A4F">
        <w:t xml:space="preserve"> säädetyt poissulkemiskriteerit; ottaa huomioon, että </w:t>
      </w:r>
      <w:proofErr w:type="spellStart"/>
      <w:r w:rsidRPr="00C30A4F">
        <w:t>glufosinaatin</w:t>
      </w:r>
      <w:proofErr w:type="spellEnd"/>
      <w:r w:rsidRPr="00C30A4F">
        <w:t xml:space="preserve"> käyttöä unionissa koskevan hyväksynnän voimassaolo päättyi 31. heinäkuuta 2018;</w:t>
      </w:r>
    </w:p>
    <w:p w:rsidR="004D10DC" w:rsidRPr="00C30A4F" w:rsidRDefault="004D10DC" w:rsidP="008B36A0">
      <w:pPr>
        <w:pStyle w:val="NormalHanging12a"/>
        <w:widowControl/>
        <w:rPr>
          <w:szCs w:val="24"/>
        </w:rPr>
      </w:pPr>
      <w:r w:rsidRPr="00C30A4F">
        <w:t>D.</w:t>
      </w:r>
      <w:r w:rsidRPr="00C30A4F">
        <w:tab/>
        <w:t>ottaa huomioon, että Cry1B.34 on synteettinen fuusioproteiini, jossa yhdistyvät Cry1B, Cry1Ca1 ja Cry9Db1 ja joka on muunneltu hyönteisresistentiksi perhostuholaisia vastaan ilman, että on osoitettu erityisiä kohdelajeja;</w:t>
      </w:r>
    </w:p>
    <w:p w:rsidR="004D10DC" w:rsidRPr="00C30A4F" w:rsidRDefault="004D10DC" w:rsidP="008B36A0">
      <w:pPr>
        <w:pStyle w:val="NormalHanging12a"/>
        <w:widowControl/>
        <w:rPr>
          <w:szCs w:val="24"/>
        </w:rPr>
      </w:pPr>
      <w:r w:rsidRPr="00C30A4F">
        <w:t>E.</w:t>
      </w:r>
      <w:r w:rsidRPr="00C30A4F">
        <w:tab/>
        <w:t>ottaa huomioon, että geneettinen muuntaminen on kaksivaiheinen prosessi, jossa ensin sijoitetaan CRISPR/Cas9-teknologian avulla ns. laskeutumisalusta ja sitten siirretään mikroammuspommituksella geenikasetti;</w:t>
      </w:r>
    </w:p>
    <w:p w:rsidR="004D10DC" w:rsidRPr="00C30A4F" w:rsidRDefault="004D10DC" w:rsidP="008B36A0">
      <w:pPr>
        <w:pStyle w:val="NormalHanging12a"/>
        <w:keepNext/>
        <w:widowControl/>
        <w:ind w:left="0" w:firstLine="0"/>
        <w:rPr>
          <w:b/>
          <w:i/>
          <w:szCs w:val="24"/>
        </w:rPr>
      </w:pPr>
      <w:r w:rsidRPr="00C30A4F">
        <w:rPr>
          <w:b/>
          <w:i/>
        </w:rPr>
        <w:t>Täydentävän rikkakasvien torjunta-aineen puutteellinen arviointi</w:t>
      </w:r>
    </w:p>
    <w:p w:rsidR="004D10DC" w:rsidRPr="00C30A4F" w:rsidRDefault="004D10DC" w:rsidP="008B36A0">
      <w:pPr>
        <w:pStyle w:val="NormalHanging12a"/>
        <w:widowControl/>
        <w:rPr>
          <w:szCs w:val="24"/>
        </w:rPr>
      </w:pPr>
      <w:r w:rsidRPr="00C30A4F">
        <w:t>F.</w:t>
      </w:r>
      <w:r w:rsidRPr="00C30A4F">
        <w:tab/>
        <w:t>ottaa huomioon, että komission täytäntöönpanoasetuksessa (EU) N:o 503/2013</w:t>
      </w:r>
      <w:r w:rsidRPr="00C30A4F">
        <w:rPr>
          <w:rStyle w:val="FootnoteReference"/>
          <w:szCs w:val="24"/>
        </w:rPr>
        <w:footnoteReference w:id="6"/>
      </w:r>
      <w:r w:rsidRPr="00C30A4F">
        <w:t xml:space="preserve"> edellytetään sen arvioimista, vaikuttavatko odotetut maatalouskäytännöt tutkittavien ominaisuuksien ilmentymiseen; ottaa huomioon, että kyseisen täytäntöönpanoasetuksen mukaan tämä on erityisen tärkeää torjunta-aineille sietokykyisten kasvien tapauksessa;</w:t>
      </w:r>
    </w:p>
    <w:p w:rsidR="004D10DC" w:rsidRPr="00C30A4F" w:rsidRDefault="004D10DC" w:rsidP="008B36A0">
      <w:pPr>
        <w:pStyle w:val="NormalHanging12a"/>
        <w:widowControl/>
        <w:rPr>
          <w:szCs w:val="24"/>
        </w:rPr>
      </w:pPr>
      <w:r w:rsidRPr="00C30A4F">
        <w:t>G.</w:t>
      </w:r>
      <w:r w:rsidRPr="00C30A4F">
        <w:tab/>
        <w:t xml:space="preserve">ottaa huomioon, että suurinta osaa muuntogeenisistä viljelykasveista on muunnettu geneettisesti siten, että ne ovat sietokykyisiä yhdelle tai useammalle ”täydentävälle” rikkakasvien torjunta-aineelle, jota voidaan käyttää koko muuntogeenisen viljelykasvin viljelyn ajan ilman, että viljelykasvi kuolee, kuten käy niiden viljelykasvien tapauksessa, jotka eivät siedä torjunta-aineita; toteaa, että rikkakasvien torjunta-aineita sietävien muuntogeenisten viljelykasvien on erinäisissä tutkimuksissa osoitettu lisäävän </w:t>
      </w:r>
      <w:r w:rsidRPr="00C30A4F">
        <w:lastRenderedPageBreak/>
        <w:t>täydentävien rikkakasvien torjunta-aineiden käyttöä, mikä johtuu etenkin siitä, että yhä useammat rikkakasvit sietävät rikkakasvien torjunta-aineita</w:t>
      </w:r>
      <w:r w:rsidRPr="00C30A4F">
        <w:rPr>
          <w:rStyle w:val="FootnoteReference"/>
          <w:szCs w:val="24"/>
        </w:rPr>
        <w:footnoteReference w:id="7"/>
      </w:r>
      <w:r w:rsidRPr="00C30A4F">
        <w:t>;</w:t>
      </w:r>
    </w:p>
    <w:p w:rsidR="004D10DC" w:rsidRPr="00C30A4F" w:rsidRDefault="004D10DC" w:rsidP="008B36A0">
      <w:pPr>
        <w:pStyle w:val="NormalHanging12a"/>
        <w:widowControl/>
        <w:rPr>
          <w:szCs w:val="24"/>
        </w:rPr>
      </w:pPr>
      <w:r w:rsidRPr="00C30A4F">
        <w:t>H.</w:t>
      </w:r>
      <w:r w:rsidRPr="00C30A4F">
        <w:tab/>
        <w:t>toteaa, että rikkakasvien torjunta-aineita sietävien muuntogeenisten viljelykasvien käyttö sitoo viljelijät rikkakasvien hallintajärjestelmään, joka on suurelta osin tai kokonaan torjunta-aineiden varassa, sillä kalliimpien muuntogeenisten siementen käyttöä voidaan pitää perusteltuna vain, jos niitä ostavat viljelijät myös ruiskuttavat täydentäviä rikkakasvien torjunta-aineita; ottaa huomioon, että lisääntynyt riippuvuus täydentävistä rikkakasvien torjunta-aineista muuntogeenisiä viljelykasveja viljelevillä tiloilla nopeuttaa näille torjunta-aineille sietokykyisten rikkakasvien ilmaantumista ja leviämistä, mikä johtaa noidankehään, jossa rikkakasvien torjunta-aineita on käytettävä jatkuvasti enemmän;</w:t>
      </w:r>
    </w:p>
    <w:p w:rsidR="004D10DC" w:rsidRPr="00C30A4F" w:rsidRDefault="004D10DC" w:rsidP="008B36A0">
      <w:pPr>
        <w:pStyle w:val="NormalHanging12a"/>
        <w:widowControl/>
        <w:rPr>
          <w:szCs w:val="24"/>
        </w:rPr>
      </w:pPr>
      <w:r w:rsidRPr="00C30A4F">
        <w:t>I.</w:t>
      </w:r>
      <w:r w:rsidRPr="00C30A4F">
        <w:tab/>
        <w:t>toteaa, että rikkakasvien torjunta-aineiden liiallisesta käytöstä aiheutuvat haitalliset vaikutukset heikentävät maaperän terveyttä ja veden laatua, köyhdyttävät maanpäällistä ja -alaista biologista monimuotoisuutta ja lisäävät ihmisten ja eläinten altistumista, mahdollisesti myös sen kautta, että rikkakasvien torjunta-aineiden jäämät elintarvikkeissa ja rehuissa lisääntyvät;</w:t>
      </w:r>
    </w:p>
    <w:p w:rsidR="004D10DC" w:rsidRPr="00C30A4F" w:rsidRDefault="004D10DC" w:rsidP="008B36A0">
      <w:pPr>
        <w:pStyle w:val="NormalHanging12a"/>
        <w:widowControl/>
        <w:rPr>
          <w:szCs w:val="24"/>
        </w:rPr>
      </w:pPr>
      <w:r w:rsidRPr="00C30A4F">
        <w:t>J.</w:t>
      </w:r>
      <w:r w:rsidRPr="00C30A4F">
        <w:tab/>
        <w:t xml:space="preserve">ottaa huomioon, että muuntogeenisistä kasveista löydettyjen rikkakasvien torjunta-aineiden jäämien ja </w:t>
      </w:r>
      <w:proofErr w:type="spellStart"/>
      <w:r w:rsidRPr="00C30A4F">
        <w:t>metaboliittien</w:t>
      </w:r>
      <w:proofErr w:type="spellEnd"/>
      <w:r w:rsidRPr="00C30A4F">
        <w:t xml:space="preserve"> arvioinnin ei katsota kuuluvan muuntogeenisiä organismeja käsittelevän </w:t>
      </w:r>
      <w:proofErr w:type="spellStart"/>
      <w:r w:rsidRPr="00C30A4F">
        <w:t>EFSAn</w:t>
      </w:r>
      <w:proofErr w:type="spellEnd"/>
      <w:r w:rsidRPr="00C30A4F">
        <w:t xml:space="preserve"> tiedelautakunnan toimivaltaan eikä sitä sen vuoksi tehdä osana muuntogeenisten organismien lupamenettelyä;</w:t>
      </w:r>
    </w:p>
    <w:p w:rsidR="004D10DC" w:rsidRPr="00C30A4F" w:rsidRDefault="004D10DC" w:rsidP="008B36A0">
      <w:pPr>
        <w:pStyle w:val="NormalHanging12a"/>
        <w:keepNext/>
        <w:widowControl/>
        <w:ind w:left="0" w:firstLine="0"/>
        <w:rPr>
          <w:b/>
          <w:i/>
          <w:szCs w:val="24"/>
        </w:rPr>
      </w:pPr>
      <w:proofErr w:type="spellStart"/>
      <w:r w:rsidRPr="00C30A4F">
        <w:rPr>
          <w:b/>
          <w:i/>
        </w:rPr>
        <w:t>Bt</w:t>
      </w:r>
      <w:proofErr w:type="spellEnd"/>
      <w:r w:rsidRPr="00C30A4F">
        <w:rPr>
          <w:b/>
          <w:i/>
        </w:rPr>
        <w:t>-toksiineihin liittyvät avoimet kysymykset</w:t>
      </w:r>
    </w:p>
    <w:p w:rsidR="004D10DC" w:rsidRPr="00C30A4F" w:rsidRDefault="004D10DC" w:rsidP="008B36A0">
      <w:pPr>
        <w:pStyle w:val="NormalHanging12a"/>
        <w:widowControl/>
        <w:rPr>
          <w:szCs w:val="24"/>
        </w:rPr>
      </w:pPr>
      <w:r w:rsidRPr="00C30A4F">
        <w:t>K.</w:t>
      </w:r>
      <w:r w:rsidRPr="00C30A4F">
        <w:tab/>
        <w:t xml:space="preserve">ottaa huomioon, että erinäisissä tutkimuksissa on havaittu, että </w:t>
      </w:r>
      <w:proofErr w:type="spellStart"/>
      <w:r w:rsidRPr="00C30A4F">
        <w:t>Bt</w:t>
      </w:r>
      <w:proofErr w:type="spellEnd"/>
      <w:r w:rsidRPr="00C30A4F">
        <w:t xml:space="preserve">-toksiineille altistumisen seurauksena on sivuvaikutuksia, jotka saattavat vaikuttaa immuunijärjestelmään, ja että joillakin </w:t>
      </w:r>
      <w:proofErr w:type="spellStart"/>
      <w:r w:rsidRPr="00C30A4F">
        <w:t>Bt</w:t>
      </w:r>
      <w:proofErr w:type="spellEnd"/>
      <w:r w:rsidRPr="00C30A4F">
        <w:t xml:space="preserve">-toksiineilla voi olla </w:t>
      </w:r>
      <w:proofErr w:type="spellStart"/>
      <w:r w:rsidRPr="00C30A4F">
        <w:t>adjuvanttiominaisuuksia</w:t>
      </w:r>
      <w:proofErr w:type="spellEnd"/>
      <w:r w:rsidRPr="00C30A4F">
        <w:rPr>
          <w:rStyle w:val="FootnoteReference"/>
          <w:szCs w:val="24"/>
        </w:rPr>
        <w:footnoteReference w:id="8"/>
      </w:r>
      <w:r w:rsidRPr="00C30A4F">
        <w:t>, mikä tarkoittaa, että ne voivat lisätä muiden proteiinien allergeenisuutta joutuessaan kosketuksiin niiden kanssa;</w:t>
      </w:r>
    </w:p>
    <w:p w:rsidR="004D10DC" w:rsidRPr="00C30A4F" w:rsidRDefault="004D10DC" w:rsidP="008B36A0">
      <w:pPr>
        <w:pStyle w:val="NormalHanging12a"/>
        <w:widowControl/>
        <w:rPr>
          <w:szCs w:val="24"/>
        </w:rPr>
      </w:pPr>
      <w:r w:rsidRPr="00C30A4F">
        <w:t>L.</w:t>
      </w:r>
      <w:r w:rsidRPr="00C30A4F">
        <w:tab/>
        <w:t xml:space="preserve">toteaa, että eräässä tieteellisessä tutkimuksessa havaittiin, että </w:t>
      </w:r>
      <w:proofErr w:type="spellStart"/>
      <w:r w:rsidRPr="00C30A4F">
        <w:t>Bt</w:t>
      </w:r>
      <w:proofErr w:type="spellEnd"/>
      <w:r w:rsidRPr="00C30A4F">
        <w:t xml:space="preserve">-toksiinien toksisuus saattaa lisääntyä myös vuorovaikutuksessa ruiskuttamisesta rikkakasvien torjunta-aineilla aiheutuvien jäämien kanssa, ja todettiin, että tarvitaan lisätutkimuksia useiden muunnostapahtumien yhteisvaikutuksista (muuntogeeniset viljelykasvit, jotka on muunnettu sietämään rikkakasvien torjunta-aineita ja tuottamaan hyönteismyrkkyjä </w:t>
      </w:r>
      <w:proofErr w:type="spellStart"/>
      <w:r w:rsidRPr="00C30A4F">
        <w:lastRenderedPageBreak/>
        <w:t>Bt</w:t>
      </w:r>
      <w:proofErr w:type="spellEnd"/>
      <w:r w:rsidRPr="00C30A4F">
        <w:noBreakHyphen/>
        <w:t>toksiinien muodossa)</w:t>
      </w:r>
      <w:r w:rsidRPr="00C30A4F">
        <w:rPr>
          <w:rStyle w:val="FootnoteReference"/>
          <w:szCs w:val="24"/>
        </w:rPr>
        <w:footnoteReference w:id="9"/>
      </w:r>
      <w:r w:rsidRPr="00C30A4F">
        <w:t xml:space="preserve">; ottaa huomioon, että rikkakasvien torjunta-aineiden jäämien ja niiden </w:t>
      </w:r>
      <w:proofErr w:type="spellStart"/>
      <w:r w:rsidRPr="00C30A4F">
        <w:t>metaboliittien</w:t>
      </w:r>
      <w:proofErr w:type="spellEnd"/>
      <w:r w:rsidRPr="00C30A4F">
        <w:t xml:space="preserve"> mahdollista vuorovaikutusta </w:t>
      </w:r>
      <w:proofErr w:type="spellStart"/>
      <w:r w:rsidRPr="00C30A4F">
        <w:t>Bt</w:t>
      </w:r>
      <w:proofErr w:type="spellEnd"/>
      <w:r w:rsidRPr="00C30A4F">
        <w:t xml:space="preserve">-toksiinien kanssa koskevan arvioinnin ei kuitenkaan katsota kuuluvan muuntogeenisiä organismeja käsittelevän </w:t>
      </w:r>
      <w:proofErr w:type="spellStart"/>
      <w:r w:rsidRPr="00C30A4F">
        <w:t>EFSAn</w:t>
      </w:r>
      <w:proofErr w:type="spellEnd"/>
      <w:r w:rsidRPr="00C30A4F">
        <w:t xml:space="preserve"> tiedelautakunnan toimivaltaan eikä sitä sen vuoksi tehdä osana riskinarviointia;</w:t>
      </w:r>
    </w:p>
    <w:p w:rsidR="004D10DC" w:rsidRPr="00C30A4F" w:rsidRDefault="004D10DC" w:rsidP="008B36A0">
      <w:pPr>
        <w:pStyle w:val="NormalHanging12a"/>
        <w:keepNext/>
        <w:widowControl/>
        <w:ind w:left="0" w:firstLine="0"/>
        <w:rPr>
          <w:b/>
          <w:i/>
          <w:szCs w:val="24"/>
        </w:rPr>
      </w:pPr>
      <w:proofErr w:type="spellStart"/>
      <w:r w:rsidRPr="00C30A4F">
        <w:rPr>
          <w:b/>
          <w:i/>
        </w:rPr>
        <w:t>Bt</w:t>
      </w:r>
      <w:proofErr w:type="spellEnd"/>
      <w:r w:rsidRPr="00C30A4F">
        <w:rPr>
          <w:b/>
          <w:i/>
        </w:rPr>
        <w:t>-viljelykasvit: vaikutukset muihin kuin torjuttaviin organismeihin</w:t>
      </w:r>
    </w:p>
    <w:p w:rsidR="004D10DC" w:rsidRPr="00C30A4F" w:rsidRDefault="004D10DC" w:rsidP="008B36A0">
      <w:pPr>
        <w:pStyle w:val="NormalHanging12a"/>
        <w:widowControl/>
        <w:rPr>
          <w:szCs w:val="24"/>
        </w:rPr>
      </w:pPr>
      <w:r w:rsidRPr="00C30A4F">
        <w:t>M.</w:t>
      </w:r>
      <w:r w:rsidRPr="00C30A4F">
        <w:tab/>
        <w:t xml:space="preserve">ottaa huomioon, että toisin kuin hyönteismyrkkyjen käyttö, jossa altistuminen tapahtuu ruiskutuksen yhteydessä ja rajoitetun ajan sen jälkeen, muuntogeenisten </w:t>
      </w:r>
      <w:proofErr w:type="spellStart"/>
      <w:r w:rsidRPr="00C30A4F">
        <w:t>Bt</w:t>
      </w:r>
      <w:proofErr w:type="spellEnd"/>
      <w:r w:rsidRPr="00C30A4F">
        <w:t xml:space="preserve">-viljelykasvien käyttö johtaa sekä torjuttavien että muiden kuin torjuttavien organismien jatkuvaan altistumiseen </w:t>
      </w:r>
      <w:proofErr w:type="spellStart"/>
      <w:r w:rsidRPr="00C30A4F">
        <w:t>Bt</w:t>
      </w:r>
      <w:proofErr w:type="spellEnd"/>
      <w:r w:rsidRPr="00C30A4F">
        <w:t>-toksiineille;</w:t>
      </w:r>
    </w:p>
    <w:p w:rsidR="004D10DC" w:rsidRPr="00C30A4F" w:rsidRDefault="004D10DC" w:rsidP="008B36A0">
      <w:pPr>
        <w:pStyle w:val="NormalHanging12a"/>
        <w:widowControl/>
        <w:rPr>
          <w:szCs w:val="24"/>
        </w:rPr>
      </w:pPr>
      <w:r w:rsidRPr="00C30A4F">
        <w:t>N.</w:t>
      </w:r>
      <w:r w:rsidRPr="00C30A4F">
        <w:tab/>
        <w:t xml:space="preserve">ottaa huomioon, että oletusta, jonka mukaan </w:t>
      </w:r>
      <w:proofErr w:type="spellStart"/>
      <w:r w:rsidRPr="00C30A4F">
        <w:t>Bt</w:t>
      </w:r>
      <w:proofErr w:type="spellEnd"/>
      <w:r w:rsidRPr="00C30A4F">
        <w:t>-toksiineilla on yksi kohdekohtainen toimintamalli, ei voida enää pitää oikeana eikä vaikutuksia muihin kuin torjuttaviin organismeihin voida sulkea pois; ottaa huomioon, että vaikutusten on raportoitu kohdistuvan monin tavoin yhä useampiin muihin kuin torjuttaviin organismeihin;</w:t>
      </w:r>
    </w:p>
    <w:p w:rsidR="004D10DC" w:rsidRPr="00C30A4F" w:rsidRDefault="004D10DC" w:rsidP="008B36A0">
      <w:pPr>
        <w:pStyle w:val="NormalHanging12a"/>
        <w:keepNext/>
        <w:widowControl/>
        <w:ind w:left="0" w:firstLine="0"/>
        <w:rPr>
          <w:b/>
          <w:i/>
          <w:szCs w:val="24"/>
        </w:rPr>
      </w:pPr>
      <w:r w:rsidRPr="00C30A4F">
        <w:rPr>
          <w:b/>
          <w:i/>
        </w:rPr>
        <w:t>Jäsenvaltioiden ja sidosryhmien huomautukset</w:t>
      </w:r>
    </w:p>
    <w:p w:rsidR="004D10DC" w:rsidRPr="00C30A4F" w:rsidRDefault="004D10DC" w:rsidP="008B36A0">
      <w:pPr>
        <w:pStyle w:val="NormalHanging12a"/>
        <w:widowControl/>
        <w:rPr>
          <w:szCs w:val="24"/>
        </w:rPr>
      </w:pPr>
      <w:r w:rsidRPr="00C30A4F">
        <w:t>O.</w:t>
      </w:r>
      <w:r w:rsidRPr="00C30A4F">
        <w:tab/>
        <w:t xml:space="preserve">ottaa huomioon, että jäsenvaltiot toimittivat </w:t>
      </w:r>
      <w:proofErr w:type="spellStart"/>
      <w:r w:rsidRPr="00C30A4F">
        <w:t>EFSAlle</w:t>
      </w:r>
      <w:proofErr w:type="spellEnd"/>
      <w:r w:rsidRPr="00C30A4F">
        <w:t xml:space="preserve"> kolmen kuukauden kuulemisjakson aikana monia kriittisiä huomautuksia</w:t>
      </w:r>
      <w:r w:rsidRPr="00C30A4F">
        <w:rPr>
          <w:rStyle w:val="FootnoteReference"/>
          <w:szCs w:val="24"/>
        </w:rPr>
        <w:footnoteReference w:id="10"/>
      </w:r>
      <w:r w:rsidRPr="00C30A4F">
        <w:t xml:space="preserve">, muun muassa että hakijan kirjallisuuskatsauksessa yksilöityjen asiaankuuluvien tutkimusten luetteloon ei sisältynyt tutkimuksia </w:t>
      </w:r>
      <w:proofErr w:type="spellStart"/>
      <w:r w:rsidRPr="00C30A4F">
        <w:t>Bt</w:t>
      </w:r>
      <w:proofErr w:type="spellEnd"/>
      <w:r w:rsidRPr="00C30A4F">
        <w:t xml:space="preserve">-proteiinien käyttäytymisestä ympäristössä tai </w:t>
      </w:r>
      <w:proofErr w:type="spellStart"/>
      <w:r w:rsidRPr="00C30A4F">
        <w:t>Bt</w:t>
      </w:r>
      <w:proofErr w:type="spellEnd"/>
      <w:r w:rsidRPr="00C30A4F">
        <w:t xml:space="preserve">-viljelykasvien jäämien mahdollisista vaikutuksista muihin kuin kohdeorganismeihin, vaikka tällaisia tutkimuksia on olemassa; </w:t>
      </w:r>
    </w:p>
    <w:p w:rsidR="004D10DC" w:rsidRPr="00C30A4F" w:rsidRDefault="004D10DC" w:rsidP="008B36A0">
      <w:pPr>
        <w:pStyle w:val="NormalHanging12a"/>
        <w:widowControl/>
        <w:rPr>
          <w:szCs w:val="24"/>
        </w:rPr>
      </w:pPr>
      <w:bookmarkStart w:id="7" w:name="_GoBack_Copy_1"/>
      <w:bookmarkEnd w:id="7"/>
      <w:r w:rsidRPr="00C30A4F">
        <w:t>P.</w:t>
      </w:r>
      <w:r w:rsidRPr="00C30A4F">
        <w:tab/>
        <w:t>ottaa huomioon, että muuntogeenisen maissin koostumusta ja fenotyyppistä analyysia varten tehdyissä kenttätutkimuksissa ei otettu huomioon sen viljelyn kannalta merkityksellisiä erilaisia ympäristöolosuhteita ja geneettistä taustaa etenkään Brasilian kaltaisissa maissa;</w:t>
      </w:r>
    </w:p>
    <w:p w:rsidR="004D10DC" w:rsidRPr="00C30A4F" w:rsidRDefault="004D10DC" w:rsidP="008B36A0">
      <w:pPr>
        <w:pStyle w:val="NormalHanging12a"/>
        <w:widowControl/>
        <w:rPr>
          <w:szCs w:val="24"/>
        </w:rPr>
      </w:pPr>
      <w:r w:rsidRPr="00C30A4F">
        <w:t>Q.</w:t>
      </w:r>
      <w:r w:rsidRPr="00C30A4F">
        <w:tab/>
        <w:t>ottaa huomioon, että Cry1B.34:n myrkyllisyyden arvioinnissa ei oteta huomioon kasviainesosien tai rikkakasvien torjunta-aineiden käytöstä peräisin olevien jäämien yhteisvaikutuksia;</w:t>
      </w:r>
    </w:p>
    <w:p w:rsidR="004D10DC" w:rsidRPr="00C30A4F" w:rsidRDefault="004D10DC" w:rsidP="008B36A0">
      <w:pPr>
        <w:pStyle w:val="NormalHanging12a"/>
        <w:widowControl/>
        <w:rPr>
          <w:szCs w:val="24"/>
        </w:rPr>
      </w:pPr>
      <w:r w:rsidRPr="00C30A4F">
        <w:t>R.</w:t>
      </w:r>
      <w:r w:rsidRPr="00C30A4F">
        <w:tab/>
        <w:t xml:space="preserve">ottaa huomioon, että </w:t>
      </w:r>
      <w:proofErr w:type="spellStart"/>
      <w:r w:rsidRPr="00C30A4F">
        <w:t>glufosinaattiin</w:t>
      </w:r>
      <w:proofErr w:type="spellEnd"/>
      <w:r w:rsidRPr="00C30A4F">
        <w:t>, joka on täydentävä rikkakasvien torjunta-aine, liittyy merkittäviä riskejä, jotka vaarantavat biologisen monimuotoisuuden, maaperän ja veden laadun sekä ekosysteemien terveyden pitkällä aikavälillä;</w:t>
      </w:r>
    </w:p>
    <w:p w:rsidR="004D10DC" w:rsidRPr="00C30A4F" w:rsidRDefault="004D10DC" w:rsidP="008B36A0">
      <w:pPr>
        <w:pStyle w:val="NormalHanging12a"/>
        <w:widowControl/>
        <w:rPr>
          <w:szCs w:val="24"/>
        </w:rPr>
      </w:pPr>
      <w:r w:rsidRPr="00C30A4F">
        <w:t>S.</w:t>
      </w:r>
      <w:r w:rsidRPr="00C30A4F">
        <w:tab/>
        <w:t xml:space="preserve">ottaa huomioon, että Espanjassa ja Ranskassa raportoitu riski geenivirrasta luonnonvaraisiin sukulaislajeihin, kuten </w:t>
      </w:r>
      <w:proofErr w:type="spellStart"/>
      <w:r w:rsidRPr="00C30A4F">
        <w:t>teosinttiin</w:t>
      </w:r>
      <w:proofErr w:type="spellEnd"/>
      <w:r w:rsidRPr="00C30A4F">
        <w:t>, herättää huolta siirtogeenin pysyvyydestä ja ympäristövaikutuksista;</w:t>
      </w:r>
    </w:p>
    <w:p w:rsidR="004D10DC" w:rsidRPr="00C30A4F" w:rsidRDefault="004D10DC" w:rsidP="008B36A0">
      <w:pPr>
        <w:pStyle w:val="NormalHanging12a"/>
        <w:widowControl/>
        <w:rPr>
          <w:szCs w:val="24"/>
        </w:rPr>
      </w:pPr>
      <w:r w:rsidRPr="00C30A4F">
        <w:lastRenderedPageBreak/>
        <w:t>T.</w:t>
      </w:r>
      <w:r w:rsidRPr="00C30A4F">
        <w:tab/>
        <w:t>ottaa huomioon, ettei täytäntöönpanoasetuksen (EU) </w:t>
      </w:r>
      <w:proofErr w:type="gramStart"/>
      <w:r w:rsidRPr="00C30A4F">
        <w:t>N:o</w:t>
      </w:r>
      <w:proofErr w:type="gramEnd"/>
      <w:r w:rsidRPr="00C30A4F">
        <w:t> 503/2013 mukaisia seurantavaatimuksia ole otettu riittävästi huomioon eikä toimitettuja tietoja ole todennettu riippumattomasti;</w:t>
      </w:r>
    </w:p>
    <w:p w:rsidR="004D10DC" w:rsidRPr="00C30A4F" w:rsidRDefault="004D10DC" w:rsidP="008B36A0">
      <w:pPr>
        <w:pStyle w:val="NormalHanging12a"/>
        <w:keepNext/>
        <w:widowControl/>
        <w:ind w:left="0" w:firstLine="0"/>
        <w:rPr>
          <w:b/>
          <w:i/>
          <w:szCs w:val="24"/>
        </w:rPr>
      </w:pPr>
      <w:r w:rsidRPr="00C30A4F">
        <w:rPr>
          <w:b/>
          <w:i/>
        </w:rPr>
        <w:t>Maailmanlaajuisesti tasapuolisten toimintaedellytysten varmistaminen ja unionin kansainvälisten velvoitteiden noudattaminen</w:t>
      </w:r>
    </w:p>
    <w:p w:rsidR="004D10DC" w:rsidRPr="00C30A4F" w:rsidRDefault="004D10DC" w:rsidP="008B36A0">
      <w:pPr>
        <w:pStyle w:val="NormalHanging12a"/>
        <w:widowControl/>
        <w:rPr>
          <w:szCs w:val="24"/>
        </w:rPr>
      </w:pPr>
      <w:r w:rsidRPr="00C30A4F">
        <w:t>U.</w:t>
      </w:r>
      <w:r w:rsidRPr="00C30A4F">
        <w:tab/>
        <w:t>ottaa huomioon, että EU:n maatalouden tulevaisuudesta käytävän strategisen vuoropuhelun päätelmissä</w:t>
      </w:r>
      <w:r w:rsidRPr="00C30A4F">
        <w:rPr>
          <w:rStyle w:val="FootnoteReference"/>
        </w:rPr>
        <w:footnoteReference w:id="11"/>
      </w:r>
      <w:r w:rsidRPr="00C30A4F">
        <w:t xml:space="preserve"> kehotetaan komissiota arvioimaan uudelleen lähestymistapaansa tuotavien ja vietävien maatalouselintarvikkeiden markkinoille pääsyyn, kun otetaan huomioon unionin ja sen kauppakumppanien toisistaan poikkeavien normien aiheuttama haaste; ottaa huomioon, että maailmanlaajuisesti oikeudenmukaisemmat kauppasuhteet, jotka ovat johdonmukaisia terveellistä ympäristöä koskevien tavoitteiden kanssa, olivat yksi viljelijöiden keskeisistä vaatimuksista vuosien 2023 ja 2024 mielenosoituksissa;</w:t>
      </w:r>
    </w:p>
    <w:p w:rsidR="004D10DC" w:rsidRDefault="004D10DC" w:rsidP="008B36A0">
      <w:pPr>
        <w:pStyle w:val="NormalHanging12a"/>
        <w:widowControl/>
      </w:pPr>
      <w:r w:rsidRPr="00C30A4F">
        <w:t>V.</w:t>
      </w:r>
      <w:r w:rsidRPr="00C30A4F">
        <w:tab/>
        <w:t>ottaa huomioon, että oikeutta ruokaan käsittelevän YK:n erityisraportoijan vuonna 2017 julkaistussa raportissa todettiin, että vaarallisilla torjunta-aineilla on katastrofaalisia vaikutuksia terveyteen erityisesti kehitysmaissa</w:t>
      </w:r>
      <w:r w:rsidRPr="00C30A4F">
        <w:rPr>
          <w:rStyle w:val="FootnoteReference"/>
        </w:rPr>
        <w:footnoteReference w:id="12"/>
      </w:r>
      <w:r w:rsidRPr="00C30A4F">
        <w:t>; toteaa, että YK:n kestävän kehityksen tavoitteiden alatavoitteessa 3.9 pyrkimyksenä on vähentää vuoteen 2030 mennessä merkittävästi vaarallisista kemikaaleista ja ilman, veden ja maaperän saastumisesta sekä pilaantumisesta johtuvia kuolemia ja sairauksia</w:t>
      </w:r>
      <w:r w:rsidRPr="00C30A4F">
        <w:rPr>
          <w:rStyle w:val="FootnoteReference"/>
          <w:szCs w:val="24"/>
        </w:rPr>
        <w:footnoteReference w:id="13"/>
      </w:r>
      <w:r w:rsidRPr="00C30A4F">
        <w:t>;</w:t>
      </w:r>
    </w:p>
    <w:p w:rsidR="00CE2041" w:rsidRPr="00C30A4F" w:rsidRDefault="00CE2041" w:rsidP="008B36A0">
      <w:pPr>
        <w:pStyle w:val="NormalHanging12a"/>
        <w:widowControl/>
        <w:rPr>
          <w:szCs w:val="24"/>
        </w:rPr>
      </w:pPr>
      <w:r>
        <w:rPr>
          <w:szCs w:val="24"/>
        </w:rPr>
        <w:t>W</w:t>
      </w:r>
      <w:r w:rsidRPr="00CE2041">
        <w:rPr>
          <w:szCs w:val="24"/>
        </w:rPr>
        <w:t>.</w:t>
      </w:r>
      <w:r w:rsidRPr="00CE2041">
        <w:rPr>
          <w:szCs w:val="24"/>
        </w:rPr>
        <w:tab/>
        <w:t xml:space="preserve">ottaa huomioon, että EU:n ja Mercosurin välinen kauppasopimus kannustaa tuomaan unioniin muuntogeenisiä organismeja sisältäviä, niistä koostuvia tai niistä valmistettuja elintarvikkeita ja rehuja; toteaa, että Brasilia ja Argentiina ovat maailman suurimpia muuntogeenisten organismien tuottajia ja torjunta-aineiden käyttäjiä, mukaan lukien muuntogeeniset organismit ja torjunta-aineet, jotka on kielletty unionissa terveys- tai ympäristösyistä; </w:t>
      </w:r>
    </w:p>
    <w:p w:rsidR="004D10DC" w:rsidRPr="00C30A4F" w:rsidRDefault="00CE2041" w:rsidP="008B36A0">
      <w:pPr>
        <w:pStyle w:val="NormalHanging12a"/>
        <w:widowControl/>
        <w:rPr>
          <w:szCs w:val="24"/>
        </w:rPr>
      </w:pPr>
      <w:r>
        <w:t>X</w:t>
      </w:r>
      <w:r w:rsidR="004D10DC" w:rsidRPr="00C30A4F">
        <w:t>.</w:t>
      </w:r>
      <w:r w:rsidR="004D10DC" w:rsidRPr="00C30A4F">
        <w:tab/>
        <w:t xml:space="preserve">ottaa huomioon, että Kunmingin-Montrealin maailmanlaajuinen luonnon monimuotoisuuskehys, josta sovittiin biologista monimuotoisuutta koskevan Yhdistyneiden kansakuntien yleissopimuksen (YK:n </w:t>
      </w:r>
      <w:proofErr w:type="spellStart"/>
      <w:r w:rsidR="004D10DC" w:rsidRPr="00C30A4F">
        <w:t>biodiversiteettisopimus</w:t>
      </w:r>
      <w:proofErr w:type="spellEnd"/>
      <w:r w:rsidR="004D10DC" w:rsidRPr="00C30A4F">
        <w:t>) sopimuspuolten 15. konferenssissa joulukuussa 2022, sisältää maailmanlaajuisen tavoitteen vähentää torjunta-aineista aiheutuvia riskejä vähintään 50 prosentilla vuoteen 2030 mennessä</w:t>
      </w:r>
      <w:r w:rsidR="004D10DC" w:rsidRPr="00C30A4F">
        <w:rPr>
          <w:rStyle w:val="FootnoteReference"/>
        </w:rPr>
        <w:footnoteReference w:id="14"/>
      </w:r>
      <w:r w:rsidR="004D10DC" w:rsidRPr="00C30A4F">
        <w:t>;</w:t>
      </w:r>
    </w:p>
    <w:p w:rsidR="004D10DC" w:rsidRPr="00C30A4F" w:rsidRDefault="00CE2041" w:rsidP="008B36A0">
      <w:pPr>
        <w:pStyle w:val="NormalHanging12a"/>
        <w:widowControl/>
        <w:rPr>
          <w:szCs w:val="24"/>
        </w:rPr>
      </w:pPr>
      <w:r>
        <w:t>Y</w:t>
      </w:r>
      <w:r w:rsidR="004D10DC" w:rsidRPr="00C30A4F">
        <w:t>.</w:t>
      </w:r>
      <w:r w:rsidR="004D10DC" w:rsidRPr="00C30A4F">
        <w:tab/>
        <w:t xml:space="preserve">panee merkille, että asetuksessa (EY) N:o 1829/2003 todetaan, että muuntogeeniset elintarvikkeet tai rehut eivät saa vaikuttaa haitallisesti ihmisten terveyteen, eläinten terveyteen tai ympäristöön, ja edellytetään komission ottavan päätöstään laatiessaan huomioon kaikki unionin lainsäädännön asiaankuuluvat säännökset sekä muut perustellut tekijät, jotka liittyvät tarkasteltavaan asiaan; katsoo, että tällaisiin </w:t>
      </w:r>
      <w:r w:rsidR="004D10DC" w:rsidRPr="00C30A4F">
        <w:lastRenderedPageBreak/>
        <w:t xml:space="preserve">perusteltuihin tekijöihin olisi sisällyttävä YK:n kestävän kehityksen tavoitteista ja YK:n </w:t>
      </w:r>
      <w:proofErr w:type="spellStart"/>
      <w:r w:rsidR="004D10DC" w:rsidRPr="00C30A4F">
        <w:t>biodiversiteettisopimuksesta</w:t>
      </w:r>
      <w:proofErr w:type="spellEnd"/>
      <w:r w:rsidR="004D10DC" w:rsidRPr="00C30A4F">
        <w:t xml:space="preserve"> johtuvat unionin velvoitteet;</w:t>
      </w:r>
    </w:p>
    <w:p w:rsidR="004D10DC" w:rsidRPr="00C30A4F" w:rsidRDefault="004D10DC" w:rsidP="008B36A0">
      <w:pPr>
        <w:pStyle w:val="NormalHanging12a"/>
        <w:keepNext/>
        <w:widowControl/>
        <w:ind w:left="0" w:firstLine="0"/>
        <w:rPr>
          <w:b/>
          <w:i/>
          <w:szCs w:val="24"/>
        </w:rPr>
      </w:pPr>
      <w:r w:rsidRPr="00C30A4F">
        <w:rPr>
          <w:b/>
          <w:i/>
        </w:rPr>
        <w:t>Riippuvuuden vähentäminen tuontirehuista</w:t>
      </w:r>
    </w:p>
    <w:p w:rsidR="004D10DC" w:rsidRPr="00C30A4F" w:rsidRDefault="00CE2041" w:rsidP="008B36A0">
      <w:pPr>
        <w:pStyle w:val="NormalHanging12a"/>
        <w:widowControl/>
        <w:rPr>
          <w:b/>
          <w:i/>
          <w:szCs w:val="24"/>
        </w:rPr>
      </w:pPr>
      <w:r>
        <w:t>Z</w:t>
      </w:r>
      <w:r w:rsidR="004D10DC" w:rsidRPr="00C30A4F">
        <w:t>.</w:t>
      </w:r>
      <w:r w:rsidR="004D10DC" w:rsidRPr="00C30A4F">
        <w:tab/>
        <w:t xml:space="preserve">ottaa huomioon, että yksi covid-19-kriisistä ja Ukrainassa edelleen jatkuvasta sodasta saatu opetus on se, että unioni ei saa enää olla riippuvainen eräistä kriittisistä materiaaleista; ottaa huomioon, että komission puheenjohtaja Ursula von </w:t>
      </w:r>
      <w:proofErr w:type="spellStart"/>
      <w:r w:rsidR="004D10DC" w:rsidRPr="00C30A4F">
        <w:t>der</w:t>
      </w:r>
      <w:proofErr w:type="spellEnd"/>
      <w:r w:rsidR="004D10DC" w:rsidRPr="00C30A4F">
        <w:t xml:space="preserve"> </w:t>
      </w:r>
      <w:proofErr w:type="spellStart"/>
      <w:r w:rsidR="004D10DC" w:rsidRPr="00C30A4F">
        <w:t>Leyen</w:t>
      </w:r>
      <w:proofErr w:type="spellEnd"/>
      <w:r w:rsidR="004D10DC" w:rsidRPr="00C30A4F">
        <w:t xml:space="preserve"> pyytää komission jäsenelle </w:t>
      </w:r>
      <w:proofErr w:type="spellStart"/>
      <w:r w:rsidR="004D10DC" w:rsidRPr="00C30A4F">
        <w:t>Christophe</w:t>
      </w:r>
      <w:proofErr w:type="spellEnd"/>
      <w:r w:rsidR="004D10DC" w:rsidRPr="00C30A4F">
        <w:t xml:space="preserve"> Hansenille osoitetussa toimeksiantokirjeessä häntä tarkastelemaan keinoja vähentää kriittisten hyödykkeiden tuontia</w:t>
      </w:r>
      <w:r w:rsidR="004D10DC" w:rsidRPr="00C30A4F">
        <w:rPr>
          <w:rStyle w:val="FootnoteReference"/>
          <w:szCs w:val="24"/>
        </w:rPr>
        <w:footnoteReference w:id="15"/>
      </w:r>
      <w:r w:rsidR="004D10DC" w:rsidRPr="00C30A4F">
        <w:t xml:space="preserve">; </w:t>
      </w:r>
    </w:p>
    <w:p w:rsidR="004D10DC" w:rsidRPr="00C30A4F" w:rsidRDefault="004D10DC" w:rsidP="008B36A0">
      <w:pPr>
        <w:pStyle w:val="NormalHanging12a"/>
        <w:keepNext/>
        <w:widowControl/>
        <w:ind w:left="0" w:firstLine="0"/>
        <w:rPr>
          <w:b/>
          <w:i/>
          <w:szCs w:val="24"/>
        </w:rPr>
      </w:pPr>
      <w:r w:rsidRPr="00C30A4F">
        <w:rPr>
          <w:b/>
          <w:i/>
        </w:rPr>
        <w:t>Epädemokraattinen päätöksenteko</w:t>
      </w:r>
    </w:p>
    <w:p w:rsidR="004D10DC" w:rsidRPr="00C30A4F" w:rsidRDefault="00CE2041" w:rsidP="008B36A0">
      <w:pPr>
        <w:pStyle w:val="NormalHanging12a"/>
        <w:widowControl/>
        <w:rPr>
          <w:szCs w:val="24"/>
        </w:rPr>
      </w:pPr>
      <w:r>
        <w:t>AA</w:t>
      </w:r>
      <w:r w:rsidR="004D10DC" w:rsidRPr="00C30A4F">
        <w:t>.</w:t>
      </w:r>
      <w:r w:rsidR="004D10DC" w:rsidRPr="00C30A4F">
        <w:tab/>
        <w:t>ottaa huomioon, että parlamentti antoi kahdeksannella vaalikaudella kaikkiaan 36 päätöslauselmaa, joissa vastustettiin elintarvike- ja rehukäyttöön tarkoitettujen muuntogeenisten organismien markkinoille saattamista (33 päätöslauselmaa) ja muuntogeenisten organismien viljelyä unionissa (kolme päätöslauselmaa); ottaa huomioon, että parlamentti antoi yhdeksän</w:t>
      </w:r>
      <w:bookmarkStart w:id="8" w:name="_GoBack"/>
      <w:bookmarkEnd w:id="8"/>
      <w:r w:rsidR="004D10DC" w:rsidRPr="00C30A4F">
        <w:t>nellä vaalikaudella 38 päätöslauselmaa, joissa vastustettiin muuntogeenisten organismien markkinoille saattamista, ja on nykyisellä kymmenennellä vaalikaudella antanut jo kahdeksan tällaista päätöslauselmaa;</w:t>
      </w:r>
    </w:p>
    <w:p w:rsidR="004D10DC" w:rsidRPr="00C30A4F" w:rsidRDefault="004D10DC" w:rsidP="008B36A0">
      <w:pPr>
        <w:pStyle w:val="NormalHanging12a"/>
        <w:widowControl/>
        <w:rPr>
          <w:szCs w:val="24"/>
        </w:rPr>
      </w:pPr>
      <w:r w:rsidRPr="00C30A4F">
        <w:t>A</w:t>
      </w:r>
      <w:r w:rsidR="00CE2041">
        <w:t>B</w:t>
      </w:r>
      <w:r w:rsidRPr="00C30A4F">
        <w:t>.</w:t>
      </w:r>
      <w:r w:rsidRPr="00C30A4F">
        <w:tab/>
        <w:t>toteaa, että komissio jatkaa lupien myöntämistä muuntogeenisille organismeille, vaikka se itse myöntää demokraattisuuden puutteen, ja huolimatta jäsenvaltioiden tuen puuttumisesta ja parlamentin vastustuksesta;</w:t>
      </w:r>
    </w:p>
    <w:p w:rsidR="004D10DC" w:rsidRPr="00C30A4F" w:rsidRDefault="004D10DC" w:rsidP="008B36A0">
      <w:pPr>
        <w:pStyle w:val="NormalHanging12a"/>
        <w:widowControl/>
        <w:rPr>
          <w:szCs w:val="24"/>
        </w:rPr>
      </w:pPr>
      <w:r w:rsidRPr="00C30A4F">
        <w:t>A</w:t>
      </w:r>
      <w:r w:rsidR="00CE2041">
        <w:t>C</w:t>
      </w:r>
      <w:r w:rsidRPr="00C30A4F">
        <w:t>.</w:t>
      </w:r>
      <w:r w:rsidRPr="00C30A4F">
        <w:tab/>
        <w:t>ottaa huomioon, että komissio voi olla antamatta lupaa muuntogeenisille organismeille ilman, että lainsäädäntöä tarvitsee muuttaa, kun jäsenvaltioiden määräenemmistö ei muutoksenhakukomiteassa puolla luvan myöntämistä</w:t>
      </w:r>
      <w:r w:rsidRPr="00C30A4F">
        <w:rPr>
          <w:rStyle w:val="FootnoteReference"/>
          <w:szCs w:val="24"/>
        </w:rPr>
        <w:footnoteReference w:id="16"/>
      </w:r>
      <w:r w:rsidRPr="00C30A4F">
        <w:t>;</w:t>
      </w:r>
    </w:p>
    <w:p w:rsidR="004D10DC" w:rsidRPr="00C30A4F" w:rsidRDefault="004D10DC" w:rsidP="008B36A0">
      <w:pPr>
        <w:pStyle w:val="NormalHanging12a"/>
        <w:widowControl/>
      </w:pPr>
      <w:r w:rsidRPr="00C30A4F">
        <w:t>A</w:t>
      </w:r>
      <w:r w:rsidR="00CE2041">
        <w:t>D</w:t>
      </w:r>
      <w:r w:rsidRPr="00C30A4F">
        <w:t>.</w:t>
      </w:r>
      <w:r w:rsidRPr="00C30A4F">
        <w:tab/>
        <w:t xml:space="preserve">ottaa huomioon, että asetuksen (EY) </w:t>
      </w:r>
      <w:proofErr w:type="gramStart"/>
      <w:r w:rsidRPr="00C30A4F">
        <w:t>N:o</w:t>
      </w:r>
      <w:proofErr w:type="gramEnd"/>
      <w:r w:rsidRPr="00C30A4F">
        <w:t xml:space="preserve"> 1829/2003 35 artiklassa tarkoitetussa pysyvässä kasvi-, eläin-, elintarvike- ja rehukomiteassa 22. marraskuuta 2024 toimitetussa äänestyksessä päätettiin olla antamatta lausuntoa, mikä tarkoittaa, että jäsenvaltioiden määräenemmistö ei tukenut luvan myöntämistä; ottaa huomioon, että muutoksenhakukomiteassa 17. joulukuuta 2024 toimitetussa äänestyksessä päätettiin niin ikään olla antamatta lausuntoa;</w:t>
      </w:r>
    </w:p>
    <w:p w:rsidR="004D10DC" w:rsidRPr="00C30A4F" w:rsidRDefault="004D10DC" w:rsidP="008B36A0">
      <w:pPr>
        <w:pStyle w:val="NormalHanging12a"/>
        <w:widowControl/>
        <w:rPr>
          <w:szCs w:val="24"/>
        </w:rPr>
      </w:pPr>
      <w:r w:rsidRPr="00C30A4F">
        <w:t>1.</w:t>
      </w:r>
      <w:r w:rsidRPr="00C30A4F">
        <w:tab/>
        <w:t>katsoo, että ehdotus komission täytäntöönpanopäätökseksi ylittää asetuksessa (EY) </w:t>
      </w:r>
      <w:proofErr w:type="gramStart"/>
      <w:r w:rsidRPr="00C30A4F">
        <w:t>N:o</w:t>
      </w:r>
      <w:proofErr w:type="gramEnd"/>
      <w:r w:rsidRPr="00C30A4F">
        <w:t> 1829/2003 säädetyn täytäntöönpanovallan;</w:t>
      </w:r>
    </w:p>
    <w:p w:rsidR="004D10DC" w:rsidRPr="00C30A4F" w:rsidRDefault="004D10DC" w:rsidP="008B36A0">
      <w:pPr>
        <w:pStyle w:val="NormalHanging12a"/>
        <w:widowControl/>
        <w:rPr>
          <w:szCs w:val="24"/>
        </w:rPr>
      </w:pPr>
      <w:r w:rsidRPr="00C30A4F">
        <w:t>2.</w:t>
      </w:r>
      <w:r w:rsidRPr="00C30A4F">
        <w:tab/>
        <w:t xml:space="preserve">katsoo, että ehdotus komission täytäntöönpanopäätökseksi ei ole unionin oikeuden mukainen, sillä se ei ole sopusoinnussa asetuksen (EY) N:o 1829/2003 tavoitteen kanssa; toteaa, että kyseisen asetuksen tavoitteena on Euroopan parlamentin ja </w:t>
      </w:r>
      <w:r w:rsidRPr="00C30A4F">
        <w:lastRenderedPageBreak/>
        <w:t>neuvoston asetuksessa (EY) N:o 178/2002</w:t>
      </w:r>
      <w:r w:rsidRPr="00C30A4F">
        <w:rPr>
          <w:rStyle w:val="FootnoteReference"/>
          <w:szCs w:val="24"/>
        </w:rPr>
        <w:footnoteReference w:id="17"/>
      </w:r>
      <w:r w:rsidRPr="00C30A4F">
        <w:t xml:space="preserve"> säädettyjen yleisten periaatteiden mukaisesti luoda perusta ihmisten elämän ja terveyden, eläinten terveyden ja hyvinvoinnin sekä ympäristön ja kuluttajien etujen korkeatasoisen suojelun varmistamiselle muuntogeenisten elintarvikkeiden ja rehujen suhteen sekä varmistaa samalla sisämarkkinoiden tehokas toiminta;</w:t>
      </w:r>
    </w:p>
    <w:p w:rsidR="004D10DC" w:rsidRPr="00C30A4F" w:rsidRDefault="004D10DC" w:rsidP="008B36A0">
      <w:pPr>
        <w:pStyle w:val="NormalHanging12a"/>
        <w:widowControl/>
        <w:rPr>
          <w:szCs w:val="24"/>
        </w:rPr>
      </w:pPr>
      <w:r w:rsidRPr="00C30A4F">
        <w:t>3.</w:t>
      </w:r>
      <w:r w:rsidRPr="00C30A4F">
        <w:tab/>
        <w:t>pyytää komissiota peruuttamaan ehdotuksen täytäntöönpanopäätökseksi ja toimittamaan komitealle uuden ehdotuksen;</w:t>
      </w:r>
    </w:p>
    <w:p w:rsidR="004D10DC" w:rsidRPr="00C30A4F" w:rsidRDefault="004D10DC" w:rsidP="008B36A0">
      <w:pPr>
        <w:pStyle w:val="NormalHanging12a"/>
        <w:widowControl/>
        <w:rPr>
          <w:szCs w:val="24"/>
        </w:rPr>
      </w:pPr>
      <w:r w:rsidRPr="00C30A4F">
        <w:t>4.</w:t>
      </w:r>
      <w:r w:rsidRPr="00C30A4F">
        <w:tab/>
        <w:t>kehottaa komissiota varmistamaan normien lähentämisen unionin ja sen kumppaneiden välillä vapaakauppasopimusneuvotteluissa, jotta unionin turvallisuusnormit voidaan täyttää;</w:t>
      </w:r>
    </w:p>
    <w:p w:rsidR="004D10DC" w:rsidRPr="00C30A4F" w:rsidRDefault="004D10DC" w:rsidP="008B36A0">
      <w:pPr>
        <w:pStyle w:val="NormalHanging12a"/>
        <w:widowControl/>
        <w:rPr>
          <w:szCs w:val="24"/>
        </w:rPr>
      </w:pPr>
      <w:r w:rsidRPr="00C30A4F">
        <w:t>5.</w:t>
      </w:r>
      <w:r w:rsidRPr="00C30A4F">
        <w:tab/>
        <w:t>pyytää komissiota olemaan myöntämättä lupaa muuntogeeniselle maissille biologiseen monimuotoisuuteen, elintarviketurvallisuuteen ja työntekijöiden terveyteen kohdistuvien kasvavien riskien vuoksi yhteinen terveys -mallin mukaisesti;</w:t>
      </w:r>
    </w:p>
    <w:p w:rsidR="004D10DC" w:rsidRPr="00C30A4F" w:rsidRDefault="004D10DC" w:rsidP="008B36A0">
      <w:pPr>
        <w:pStyle w:val="NormalHanging12a"/>
        <w:widowControl/>
        <w:rPr>
          <w:szCs w:val="24"/>
        </w:rPr>
      </w:pPr>
      <w:r w:rsidRPr="00C30A4F">
        <w:t>6.</w:t>
      </w:r>
      <w:r w:rsidRPr="00C30A4F">
        <w:tab/>
        <w:t>odottaa, että komissio noudattaa kiireellisesti sitoumustaan</w:t>
      </w:r>
      <w:r w:rsidRPr="00C30A4F">
        <w:rPr>
          <w:rStyle w:val="FootnoteReference"/>
          <w:szCs w:val="24"/>
        </w:rPr>
        <w:footnoteReference w:id="18"/>
      </w:r>
      <w:r w:rsidRPr="00C30A4F">
        <w:t xml:space="preserve"> esittää ehdotus sen varmistamiseksi, että unionissa kiellettyjä vaarallisia kemikaaleja ei tuoteta vientiin;</w:t>
      </w:r>
    </w:p>
    <w:p w:rsidR="004D10DC" w:rsidRPr="00C30A4F" w:rsidRDefault="004D10DC" w:rsidP="008B36A0">
      <w:pPr>
        <w:pStyle w:val="NormalHanging12a"/>
        <w:widowControl/>
        <w:rPr>
          <w:szCs w:val="24"/>
        </w:rPr>
      </w:pPr>
      <w:r w:rsidRPr="00C30A4F">
        <w:t>7.</w:t>
      </w:r>
      <w:r w:rsidRPr="00C30A4F">
        <w:tab/>
        <w:t>on tyytyväinen siihen, että komissio myönsi lopulta 11. syyskuuta 2020 päivätyssä kirjeessään parlamentin jäsenille, että muuntogeenisiä organismeja koskevissa lupapäätöksissä on tarpeen ottaa huomioon kestävyysnäkökohdat</w:t>
      </w:r>
      <w:r w:rsidRPr="00C30A4F">
        <w:rPr>
          <w:rStyle w:val="FootnoteReference"/>
          <w:szCs w:val="24"/>
        </w:rPr>
        <w:footnoteReference w:id="19"/>
      </w:r>
      <w:r w:rsidRPr="00C30A4F">
        <w:t>; on kuitenkin erittäin pettynyt siihen, että komissio on sen jälkeen edelleen myöntänyt lupia muuntogeenisten organismien tuonnille unioniin, vaikka parlamentti vastustaa sitä jatkuvasti ja jäsenvaltioiden enemmistö äänestää sitä vastaan;</w:t>
      </w:r>
    </w:p>
    <w:p w:rsidR="004D10DC" w:rsidRPr="00C30A4F" w:rsidRDefault="004D10DC" w:rsidP="008B36A0">
      <w:pPr>
        <w:pStyle w:val="NormalHanging12a"/>
        <w:widowControl/>
      </w:pPr>
      <w:r w:rsidRPr="00C30A4F">
        <w:t>8.</w:t>
      </w:r>
      <w:r w:rsidRPr="00C30A4F">
        <w:tab/>
        <w:t xml:space="preserve">kehottaa jälleen kerran komissiota ottamaan huomioon kansainvälisistä sopimuksista, kuten Pariisin ilmastosopimuksesta, YK:n </w:t>
      </w:r>
      <w:proofErr w:type="spellStart"/>
      <w:r w:rsidRPr="00C30A4F">
        <w:t>biodiversiteettisopimuksesta</w:t>
      </w:r>
      <w:proofErr w:type="spellEnd"/>
      <w:r w:rsidRPr="00C30A4F">
        <w:t xml:space="preserve"> ja YK:n kestävän kehityksen tavoitteista, johtuvat unionin velvoitteet; toistaa jälleen kehotuksensa liittää ehdotuksiin täytäntöönpanosäädöksiksi perustelut, joissa selitetään, miten niissä varmistetaan vahingon välttämisen periaatteen noudattaminen</w:t>
      </w:r>
      <w:r w:rsidRPr="00C30A4F">
        <w:rPr>
          <w:rStyle w:val="FootnoteReference"/>
          <w:szCs w:val="24"/>
        </w:rPr>
        <w:footnoteReference w:id="20"/>
      </w:r>
      <w:r w:rsidRPr="00C30A4F">
        <w:t xml:space="preserve">; </w:t>
      </w:r>
    </w:p>
    <w:p w:rsidR="00E365E1" w:rsidRPr="00C30A4F" w:rsidRDefault="004D10DC" w:rsidP="008B36A0">
      <w:pPr>
        <w:widowControl/>
        <w:spacing w:after="240"/>
        <w:ind w:left="567" w:hanging="567"/>
      </w:pPr>
      <w:r w:rsidRPr="00C30A4F">
        <w:t>9.</w:t>
      </w:r>
      <w:r w:rsidRPr="00C30A4F">
        <w:tab/>
        <w:t>kehottaa puhemiestä välittämään tämän päätöslauselman neuvostolle ja komissiolle sekä jäsenvaltioiden hallituksille ja parlamenteille.</w:t>
      </w:r>
    </w:p>
    <w:sectPr w:rsidR="00E365E1" w:rsidRPr="00C30A4F" w:rsidSect="00A30A5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06BB" w:rsidRPr="00A30A5A" w:rsidRDefault="007C06BB">
      <w:r w:rsidRPr="00A30A5A">
        <w:separator/>
      </w:r>
    </w:p>
  </w:endnote>
  <w:endnote w:type="continuationSeparator" w:id="0">
    <w:p w:rsidR="007C06BB" w:rsidRPr="00A30A5A" w:rsidRDefault="007C06BB">
      <w:r w:rsidRPr="00A30A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06BB" w:rsidRPr="00A30A5A" w:rsidRDefault="007C06BB">
      <w:r w:rsidRPr="00A30A5A">
        <w:separator/>
      </w:r>
    </w:p>
  </w:footnote>
  <w:footnote w:type="continuationSeparator" w:id="0">
    <w:p w:rsidR="007C06BB" w:rsidRPr="00A30A5A" w:rsidRDefault="007C06BB">
      <w:r w:rsidRPr="00A30A5A">
        <w:continuationSeparator/>
      </w:r>
    </w:p>
  </w:footnote>
  <w:footnote w:id="1">
    <w:p w:rsidR="004D10DC" w:rsidRPr="00186E7A" w:rsidRDefault="004D10DC" w:rsidP="00A30A5A">
      <w:pPr>
        <w:pStyle w:val="FootnoteText"/>
        <w:ind w:left="567" w:hanging="567"/>
        <w:rPr>
          <w:color w:val="000000" w:themeColor="text1"/>
          <w:sz w:val="24"/>
          <w:szCs w:val="24"/>
          <w:lang w:val="fr-BE"/>
        </w:rPr>
      </w:pPr>
      <w:r w:rsidRPr="00A30A5A">
        <w:rPr>
          <w:rStyle w:val="Funotenzeichen"/>
          <w:color w:val="000000" w:themeColor="text1"/>
          <w:sz w:val="24"/>
          <w:lang w:val="fi-FI"/>
        </w:rPr>
        <w:footnoteRef/>
      </w:r>
      <w:r w:rsidR="00A30A5A" w:rsidRPr="00772E05">
        <w:rPr>
          <w:color w:val="000000" w:themeColor="text1"/>
          <w:sz w:val="24"/>
          <w:lang w:val="fr-BE"/>
        </w:rPr>
        <w:t xml:space="preserve"> </w:t>
      </w:r>
      <w:r w:rsidR="00A30A5A" w:rsidRPr="00772E05">
        <w:rPr>
          <w:color w:val="000000" w:themeColor="text1"/>
          <w:sz w:val="24"/>
          <w:lang w:val="fr-BE"/>
        </w:rPr>
        <w:tab/>
      </w:r>
      <w:r w:rsidRPr="00772E05">
        <w:rPr>
          <w:color w:val="000000" w:themeColor="text1"/>
          <w:sz w:val="24"/>
          <w:lang w:val="fr-BE"/>
        </w:rPr>
        <w:t>EUVL L 268, 18.10.2003, s. 1, ELI:</w:t>
      </w:r>
      <w:r w:rsidRPr="00186E7A">
        <w:rPr>
          <w:color w:val="000000" w:themeColor="text1"/>
          <w:sz w:val="24"/>
          <w:szCs w:val="24"/>
          <w:lang w:val="fr-BE"/>
        </w:rPr>
        <w:t> </w:t>
      </w:r>
      <w:hyperlink r:id="rId1" w:history="1">
        <w:r w:rsidR="00186E7A" w:rsidRPr="00B6576D">
          <w:rPr>
            <w:rStyle w:val="Hyperlink"/>
            <w:sz w:val="24"/>
            <w:szCs w:val="24"/>
          </w:rPr>
          <w:t>http://data.europa.eu/eli/reg/2003/1829/o</w:t>
        </w:r>
        <w:r w:rsidR="00186E7A" w:rsidRPr="00043529">
          <w:rPr>
            <w:rStyle w:val="Hyperlink"/>
            <w:sz w:val="24"/>
            <w:szCs w:val="24"/>
            <w:lang w:val="fr-BE"/>
          </w:rPr>
          <w:t>j</w:t>
        </w:r>
      </w:hyperlink>
      <w:r w:rsidRPr="00186E7A">
        <w:rPr>
          <w:color w:val="000000" w:themeColor="text1"/>
          <w:sz w:val="24"/>
          <w:szCs w:val="24"/>
          <w:lang w:val="fr-BE"/>
        </w:rPr>
        <w:t>.</w:t>
      </w:r>
    </w:p>
  </w:footnote>
  <w:footnote w:id="2">
    <w:p w:rsidR="004D10DC" w:rsidRPr="00186E7A" w:rsidRDefault="004D10DC" w:rsidP="00A30A5A">
      <w:pPr>
        <w:pStyle w:val="FootnoteText"/>
        <w:ind w:left="567" w:hanging="567"/>
        <w:rPr>
          <w:color w:val="000000" w:themeColor="text1"/>
          <w:sz w:val="24"/>
          <w:szCs w:val="24"/>
          <w:lang w:val="fr-BE"/>
        </w:rPr>
      </w:pPr>
      <w:r w:rsidRPr="00A30A5A">
        <w:rPr>
          <w:rStyle w:val="Funotenzeichen"/>
          <w:color w:val="000000" w:themeColor="text1"/>
          <w:sz w:val="24"/>
          <w:lang w:val="fi-FI"/>
        </w:rPr>
        <w:footnoteRef/>
      </w:r>
      <w:r w:rsidR="00A30A5A" w:rsidRPr="00772E05">
        <w:rPr>
          <w:color w:val="000000" w:themeColor="text1"/>
          <w:sz w:val="24"/>
          <w:lang w:val="fr-BE"/>
        </w:rPr>
        <w:t xml:space="preserve"> </w:t>
      </w:r>
      <w:r w:rsidR="00A30A5A" w:rsidRPr="00772E05">
        <w:rPr>
          <w:color w:val="000000" w:themeColor="text1"/>
          <w:sz w:val="24"/>
          <w:lang w:val="fr-BE"/>
        </w:rPr>
        <w:tab/>
      </w:r>
      <w:r w:rsidRPr="00772E05">
        <w:rPr>
          <w:color w:val="000000" w:themeColor="text1"/>
          <w:sz w:val="24"/>
          <w:lang w:val="fr-BE"/>
        </w:rPr>
        <w:t>EUVL L 55, 28.2.2011, s. 13, ELI: </w:t>
      </w:r>
      <w:hyperlink r:id="rId2" w:history="1">
        <w:r w:rsidR="00186E7A" w:rsidRPr="00B6576D">
          <w:rPr>
            <w:rStyle w:val="Hyperlink"/>
            <w:sz w:val="24"/>
            <w:szCs w:val="24"/>
          </w:rPr>
          <w:t>http://data.europa.eu/eli/reg/2011/182/o</w:t>
        </w:r>
        <w:r w:rsidR="00186E7A" w:rsidRPr="00043529">
          <w:rPr>
            <w:rStyle w:val="Hyperlink"/>
            <w:sz w:val="24"/>
            <w:szCs w:val="24"/>
            <w:lang w:val="fr-BE"/>
          </w:rPr>
          <w:t>j</w:t>
        </w:r>
      </w:hyperlink>
      <w:r w:rsidRPr="00186E7A">
        <w:rPr>
          <w:color w:val="000000" w:themeColor="text1"/>
          <w:sz w:val="24"/>
          <w:szCs w:val="24"/>
          <w:lang w:val="fr-BE"/>
        </w:rPr>
        <w:t>.</w:t>
      </w:r>
    </w:p>
  </w:footnote>
  <w:footnote w:id="3">
    <w:p w:rsidR="004D10DC" w:rsidRPr="00772E05" w:rsidRDefault="004D10DC" w:rsidP="00A30A5A">
      <w:pPr>
        <w:pStyle w:val="FootnoteText"/>
        <w:ind w:left="567" w:hanging="567"/>
        <w:rPr>
          <w:color w:val="000000" w:themeColor="text1"/>
          <w:sz w:val="24"/>
          <w:lang w:val="fr-BE"/>
        </w:rPr>
      </w:pPr>
      <w:r w:rsidRPr="00A30A5A">
        <w:rPr>
          <w:rStyle w:val="Funotenzeichen"/>
          <w:color w:val="000000" w:themeColor="text1"/>
          <w:sz w:val="24"/>
          <w:lang w:val="fi-FI"/>
        </w:rPr>
        <w:footnoteRef/>
      </w:r>
      <w:r w:rsidR="00A30A5A" w:rsidRPr="00772E05">
        <w:rPr>
          <w:color w:val="000000" w:themeColor="text1"/>
          <w:sz w:val="24"/>
          <w:lang w:val="fr-BE"/>
        </w:rPr>
        <w:t xml:space="preserve"> </w:t>
      </w:r>
      <w:r w:rsidR="00A30A5A" w:rsidRPr="00772E05">
        <w:rPr>
          <w:color w:val="000000" w:themeColor="text1"/>
          <w:sz w:val="24"/>
          <w:lang w:val="fr-BE"/>
        </w:rPr>
        <w:tab/>
      </w:r>
      <w:proofErr w:type="spellStart"/>
      <w:r w:rsidRPr="00772E05">
        <w:rPr>
          <w:color w:val="000000" w:themeColor="text1"/>
          <w:sz w:val="24"/>
          <w:lang w:val="fr-BE"/>
        </w:rPr>
        <w:t>Muuntogeenisiä</w:t>
      </w:r>
      <w:proofErr w:type="spellEnd"/>
      <w:r w:rsidRPr="00772E05">
        <w:rPr>
          <w:color w:val="000000" w:themeColor="text1"/>
          <w:sz w:val="24"/>
          <w:lang w:val="fr-BE"/>
        </w:rPr>
        <w:t xml:space="preserve"> </w:t>
      </w:r>
      <w:proofErr w:type="spellStart"/>
      <w:r w:rsidRPr="00772E05">
        <w:rPr>
          <w:color w:val="000000" w:themeColor="text1"/>
          <w:sz w:val="24"/>
          <w:lang w:val="fr-BE"/>
        </w:rPr>
        <w:t>organismeja</w:t>
      </w:r>
      <w:proofErr w:type="spellEnd"/>
      <w:r w:rsidRPr="00772E05">
        <w:rPr>
          <w:color w:val="000000" w:themeColor="text1"/>
          <w:sz w:val="24"/>
          <w:lang w:val="fr-BE"/>
        </w:rPr>
        <w:t xml:space="preserve"> </w:t>
      </w:r>
      <w:proofErr w:type="spellStart"/>
      <w:r w:rsidRPr="00772E05">
        <w:rPr>
          <w:color w:val="000000" w:themeColor="text1"/>
          <w:sz w:val="24"/>
          <w:lang w:val="fr-BE"/>
        </w:rPr>
        <w:t>käsittelevän</w:t>
      </w:r>
      <w:proofErr w:type="spellEnd"/>
      <w:r w:rsidRPr="00772E05">
        <w:rPr>
          <w:color w:val="000000" w:themeColor="text1"/>
          <w:sz w:val="24"/>
          <w:lang w:val="fr-BE"/>
        </w:rPr>
        <w:t xml:space="preserve"> </w:t>
      </w:r>
      <w:proofErr w:type="spellStart"/>
      <w:r w:rsidRPr="00772E05">
        <w:rPr>
          <w:color w:val="000000" w:themeColor="text1"/>
          <w:sz w:val="24"/>
          <w:lang w:val="fr-BE"/>
        </w:rPr>
        <w:t>EFSAn</w:t>
      </w:r>
      <w:proofErr w:type="spellEnd"/>
      <w:r w:rsidRPr="00772E05">
        <w:rPr>
          <w:color w:val="000000" w:themeColor="text1"/>
          <w:sz w:val="24"/>
          <w:lang w:val="fr-BE"/>
        </w:rPr>
        <w:t xml:space="preserve"> </w:t>
      </w:r>
      <w:proofErr w:type="spellStart"/>
      <w:r w:rsidRPr="00772E05">
        <w:rPr>
          <w:color w:val="000000" w:themeColor="text1"/>
          <w:sz w:val="24"/>
          <w:lang w:val="fr-BE"/>
        </w:rPr>
        <w:t>tiedelautakunnan</w:t>
      </w:r>
      <w:proofErr w:type="spellEnd"/>
      <w:r w:rsidRPr="00772E05">
        <w:rPr>
          <w:color w:val="000000" w:themeColor="text1"/>
          <w:sz w:val="24"/>
          <w:lang w:val="fr-BE"/>
        </w:rPr>
        <w:t xml:space="preserve"> </w:t>
      </w:r>
      <w:proofErr w:type="spellStart"/>
      <w:r w:rsidRPr="00772E05">
        <w:rPr>
          <w:color w:val="000000" w:themeColor="text1"/>
          <w:sz w:val="24"/>
          <w:lang w:val="fr-BE"/>
        </w:rPr>
        <w:t>tieteellinen</w:t>
      </w:r>
      <w:proofErr w:type="spellEnd"/>
      <w:r w:rsidRPr="00772E05">
        <w:rPr>
          <w:color w:val="000000" w:themeColor="text1"/>
          <w:sz w:val="24"/>
          <w:lang w:val="fr-BE"/>
        </w:rPr>
        <w:t xml:space="preserve"> </w:t>
      </w:r>
      <w:proofErr w:type="spellStart"/>
      <w:r w:rsidRPr="00772E05">
        <w:rPr>
          <w:color w:val="000000" w:themeColor="text1"/>
          <w:sz w:val="24"/>
          <w:lang w:val="fr-BE"/>
        </w:rPr>
        <w:t>lausunto</w:t>
      </w:r>
      <w:proofErr w:type="spellEnd"/>
      <w:r w:rsidRPr="00772E05">
        <w:rPr>
          <w:color w:val="000000" w:themeColor="text1"/>
          <w:sz w:val="24"/>
          <w:lang w:val="fr-BE"/>
        </w:rPr>
        <w:t xml:space="preserve"> ”</w:t>
      </w:r>
      <w:proofErr w:type="spellStart"/>
      <w:r w:rsidRPr="00772E05">
        <w:rPr>
          <w:color w:val="000000" w:themeColor="text1"/>
          <w:sz w:val="24"/>
          <w:lang w:val="fr-BE"/>
        </w:rPr>
        <w:t>Assessment</w:t>
      </w:r>
      <w:proofErr w:type="spellEnd"/>
      <w:r w:rsidRPr="00772E05">
        <w:rPr>
          <w:color w:val="000000" w:themeColor="text1"/>
          <w:sz w:val="24"/>
          <w:lang w:val="fr-BE"/>
        </w:rPr>
        <w:t xml:space="preserve"> of </w:t>
      </w:r>
      <w:proofErr w:type="spellStart"/>
      <w:r w:rsidRPr="00772E05">
        <w:rPr>
          <w:color w:val="000000" w:themeColor="text1"/>
          <w:sz w:val="24"/>
          <w:lang w:val="fr-BE"/>
        </w:rPr>
        <w:t>genetically</w:t>
      </w:r>
      <w:proofErr w:type="spellEnd"/>
      <w:r w:rsidRPr="00772E05">
        <w:rPr>
          <w:color w:val="000000" w:themeColor="text1"/>
          <w:sz w:val="24"/>
          <w:lang w:val="fr-BE"/>
        </w:rPr>
        <w:t xml:space="preserve"> </w:t>
      </w:r>
      <w:proofErr w:type="spellStart"/>
      <w:r w:rsidRPr="00772E05">
        <w:rPr>
          <w:color w:val="000000" w:themeColor="text1"/>
          <w:sz w:val="24"/>
          <w:lang w:val="fr-BE"/>
        </w:rPr>
        <w:t>modified</w:t>
      </w:r>
      <w:proofErr w:type="spellEnd"/>
      <w:r w:rsidRPr="00772E05">
        <w:rPr>
          <w:color w:val="000000" w:themeColor="text1"/>
          <w:sz w:val="24"/>
          <w:lang w:val="fr-BE"/>
        </w:rPr>
        <w:t xml:space="preserve"> </w:t>
      </w:r>
      <w:proofErr w:type="spellStart"/>
      <w:r w:rsidRPr="00772E05">
        <w:rPr>
          <w:color w:val="000000" w:themeColor="text1"/>
          <w:sz w:val="24"/>
          <w:lang w:val="fr-BE"/>
        </w:rPr>
        <w:t>maize</w:t>
      </w:r>
      <w:proofErr w:type="spellEnd"/>
      <w:r w:rsidRPr="00772E05">
        <w:rPr>
          <w:color w:val="000000" w:themeColor="text1"/>
          <w:sz w:val="24"/>
          <w:lang w:val="fr-BE"/>
        </w:rPr>
        <w:t xml:space="preserve"> DP910521 (application GMFF-2021-2473)”, EFSA Journal 2024;22(8):e8887</w:t>
      </w:r>
      <w:r w:rsidR="00186E7A">
        <w:rPr>
          <w:color w:val="000000" w:themeColor="text1"/>
          <w:sz w:val="24"/>
          <w:lang w:val="fr-BE"/>
        </w:rPr>
        <w:t>,</w:t>
      </w:r>
      <w:r w:rsidR="00186E7A" w:rsidRPr="00186E7A">
        <w:rPr>
          <w:color w:val="000000" w:themeColor="text1"/>
          <w:sz w:val="24"/>
          <w:szCs w:val="24"/>
          <w:lang w:val="fr-BE"/>
        </w:rPr>
        <w:t xml:space="preserve"> </w:t>
      </w:r>
      <w:hyperlink r:id="rId3" w:history="1">
        <w:r w:rsidR="00186E7A" w:rsidRPr="00B6576D">
          <w:rPr>
            <w:rStyle w:val="Hyperlink"/>
            <w:sz w:val="24"/>
            <w:szCs w:val="24"/>
          </w:rPr>
          <w:t>https://doi.org/10.2903/j.efsa.2024.888</w:t>
        </w:r>
        <w:r w:rsidR="00186E7A" w:rsidRPr="00043529">
          <w:rPr>
            <w:rStyle w:val="Hyperlink"/>
            <w:sz w:val="24"/>
            <w:szCs w:val="24"/>
            <w:lang w:val="fr-BE"/>
          </w:rPr>
          <w:t>7</w:t>
        </w:r>
      </w:hyperlink>
      <w:r w:rsidRPr="00772E05">
        <w:rPr>
          <w:color w:val="000000" w:themeColor="text1"/>
          <w:sz w:val="24"/>
          <w:lang w:val="fr-BE"/>
        </w:rPr>
        <w:t xml:space="preserve">. </w:t>
      </w:r>
    </w:p>
  </w:footnote>
  <w:footnote w:id="4">
    <w:p w:rsidR="004D10DC" w:rsidRPr="00A30A5A" w:rsidRDefault="004D10DC" w:rsidP="00A30A5A">
      <w:pPr>
        <w:pStyle w:val="FootnoteText"/>
        <w:ind w:left="567" w:hanging="567"/>
        <w:rPr>
          <w:color w:val="000000" w:themeColor="text1"/>
          <w:sz w:val="24"/>
          <w:vertAlign w:val="superscript"/>
          <w:lang w:val="fi-FI"/>
        </w:rPr>
      </w:pPr>
      <w:r w:rsidRPr="00A30A5A">
        <w:rPr>
          <w:rStyle w:val="Funotenzeichen"/>
          <w:color w:val="000000" w:themeColor="text1"/>
          <w:sz w:val="24"/>
          <w:lang w:val="fi-FI"/>
        </w:rPr>
        <w:footnoteRef/>
      </w:r>
      <w:r w:rsidR="00A30A5A" w:rsidRPr="00A30A5A">
        <w:rPr>
          <w:color w:val="000000" w:themeColor="text1"/>
          <w:sz w:val="24"/>
          <w:lang w:val="fi-FI"/>
        </w:rPr>
        <w:t xml:space="preserve"> </w:t>
      </w:r>
      <w:r w:rsidR="00A30A5A" w:rsidRPr="00A30A5A">
        <w:rPr>
          <w:color w:val="000000" w:themeColor="text1"/>
          <w:sz w:val="24"/>
          <w:lang w:val="fi-FI"/>
        </w:rPr>
        <w:tab/>
      </w:r>
      <w:r w:rsidRPr="00A30A5A">
        <w:rPr>
          <w:color w:val="000000" w:themeColor="text1"/>
          <w:sz w:val="24"/>
          <w:lang w:val="fi-FI"/>
        </w:rPr>
        <w:t>Kahdeksannella vaalikaudella parlamentti hyväksyi 36 päätöslauselmaa ja yhdeksännellä vaalikaudella 38 päätöslauselmaa, joissa vastustettiin lupien myöntämistä muuntogeenisille organismeille. Lisäksi parlamentti on antanut kymmenennellä vaalikaudella seuraavat päätöslauselmat:</w:t>
      </w:r>
    </w:p>
    <w:p w:rsidR="004D10DC" w:rsidRPr="00A30A5A" w:rsidRDefault="00A30A5A" w:rsidP="00A30A5A">
      <w:pPr>
        <w:pStyle w:val="FootnoteText"/>
        <w:ind w:left="567" w:hanging="567"/>
        <w:rPr>
          <w:color w:val="000000" w:themeColor="text1"/>
          <w:sz w:val="24"/>
          <w:vertAlign w:val="superscript"/>
          <w:lang w:val="fi-FI"/>
        </w:rPr>
      </w:pPr>
      <w:r w:rsidRPr="00A30A5A">
        <w:rPr>
          <w:color w:val="000000" w:themeColor="text1"/>
          <w:sz w:val="24"/>
          <w:lang w:val="fi-FI"/>
        </w:rPr>
        <w:t xml:space="preserve"> </w:t>
      </w:r>
      <w:r w:rsidRPr="00A30A5A">
        <w:rPr>
          <w:color w:val="000000" w:themeColor="text1"/>
          <w:sz w:val="24"/>
          <w:lang w:val="fi-FI"/>
        </w:rPr>
        <w:tab/>
      </w:r>
      <w:r w:rsidR="004D10DC" w:rsidRPr="00A30A5A">
        <w:rPr>
          <w:color w:val="000000" w:themeColor="text1"/>
          <w:sz w:val="24"/>
          <w:lang w:val="fi-FI"/>
        </w:rPr>
        <w:t>–</w:t>
      </w:r>
      <w:r w:rsidR="004D10DC" w:rsidRPr="00A30A5A">
        <w:rPr>
          <w:color w:val="000000" w:themeColor="text1"/>
          <w:sz w:val="24"/>
          <w:lang w:val="fi-FI"/>
        </w:rPr>
        <w:tab/>
        <w:t>Euroopan parlamentin päätöslauselma 26. marraskuuta 2024 komission täytäntöönpanopäätöksestä (EU) 2024/2628 muuntogeenistä maissia MON 89034 × 1507 × NK603 sisältävien, siitä koostuvien tai siitä valmistettujen tuotteiden markkinoille saattamista koskevan luvan uusimisesta Euroopan parlamentin ja neuvoston asetuksen (EY) </w:t>
      </w:r>
      <w:proofErr w:type="gramStart"/>
      <w:r w:rsidR="004D10DC" w:rsidRPr="00A30A5A">
        <w:rPr>
          <w:color w:val="000000" w:themeColor="text1"/>
          <w:sz w:val="24"/>
          <w:lang w:val="fi-FI"/>
        </w:rPr>
        <w:t>N:o</w:t>
      </w:r>
      <w:proofErr w:type="gramEnd"/>
      <w:r w:rsidR="004D10DC" w:rsidRPr="00A30A5A">
        <w:rPr>
          <w:color w:val="000000" w:themeColor="text1"/>
          <w:sz w:val="24"/>
          <w:lang w:val="fi-FI"/>
        </w:rPr>
        <w:t> 1829/2003 mukaisesti (P10_TA(2024)0038)</w:t>
      </w:r>
    </w:p>
    <w:p w:rsidR="004D10DC" w:rsidRPr="00A30A5A" w:rsidRDefault="00A30A5A" w:rsidP="00A30A5A">
      <w:pPr>
        <w:pStyle w:val="FootnoteText"/>
        <w:ind w:left="567" w:hanging="567"/>
        <w:rPr>
          <w:color w:val="000000" w:themeColor="text1"/>
          <w:sz w:val="24"/>
          <w:vertAlign w:val="superscript"/>
          <w:lang w:val="fi-FI"/>
        </w:rPr>
      </w:pPr>
      <w:r w:rsidRPr="00A30A5A">
        <w:rPr>
          <w:color w:val="000000" w:themeColor="text1"/>
          <w:sz w:val="24"/>
          <w:lang w:val="fi-FI"/>
        </w:rPr>
        <w:t xml:space="preserve"> </w:t>
      </w:r>
      <w:r w:rsidRPr="00A30A5A">
        <w:rPr>
          <w:color w:val="000000" w:themeColor="text1"/>
          <w:sz w:val="24"/>
          <w:lang w:val="fi-FI"/>
        </w:rPr>
        <w:tab/>
      </w:r>
      <w:r w:rsidR="004D10DC" w:rsidRPr="00A30A5A">
        <w:rPr>
          <w:color w:val="000000" w:themeColor="text1"/>
          <w:sz w:val="24"/>
          <w:lang w:val="fi-FI"/>
        </w:rPr>
        <w:t>–</w:t>
      </w:r>
      <w:r w:rsidR="004D10DC" w:rsidRPr="00A30A5A">
        <w:rPr>
          <w:color w:val="000000" w:themeColor="text1"/>
          <w:sz w:val="24"/>
          <w:lang w:val="fi-FI"/>
        </w:rPr>
        <w:tab/>
        <w:t>Euroopan parlamentin päätöslauselma 26. marraskuuta 2024 komission täytäntöönpanopäätöksestä (EU) 2024/2627 luvan myöntämisestä muuntogeenistä puuvillaa COT102 sisältävien, siitä koostuvien tai siitä valmistettujen tuotteiden markkinoille saattamiseen Euroopan parlamentin ja neuvoston asetuksen (EY) </w:t>
      </w:r>
      <w:proofErr w:type="gramStart"/>
      <w:r w:rsidR="004D10DC" w:rsidRPr="00A30A5A">
        <w:rPr>
          <w:color w:val="000000" w:themeColor="text1"/>
          <w:sz w:val="24"/>
          <w:lang w:val="fi-FI"/>
        </w:rPr>
        <w:t>N:o</w:t>
      </w:r>
      <w:proofErr w:type="gramEnd"/>
      <w:r w:rsidR="004D10DC" w:rsidRPr="00A30A5A">
        <w:rPr>
          <w:color w:val="000000" w:themeColor="text1"/>
          <w:sz w:val="24"/>
          <w:lang w:val="fi-FI"/>
        </w:rPr>
        <w:t> 1829/2003 mukaisesti (P10_TA(2024)0039)</w:t>
      </w:r>
    </w:p>
    <w:p w:rsidR="004D10DC" w:rsidRPr="00A30A5A" w:rsidRDefault="00A30A5A" w:rsidP="00A30A5A">
      <w:pPr>
        <w:pStyle w:val="FootnoteText"/>
        <w:ind w:left="567" w:hanging="567"/>
        <w:rPr>
          <w:color w:val="000000" w:themeColor="text1"/>
          <w:sz w:val="24"/>
          <w:vertAlign w:val="superscript"/>
          <w:lang w:val="fi-FI"/>
        </w:rPr>
      </w:pPr>
      <w:r w:rsidRPr="00A30A5A">
        <w:rPr>
          <w:color w:val="000000" w:themeColor="text1"/>
          <w:sz w:val="24"/>
          <w:lang w:val="fi-FI"/>
        </w:rPr>
        <w:t xml:space="preserve"> </w:t>
      </w:r>
      <w:r w:rsidRPr="00A30A5A">
        <w:rPr>
          <w:color w:val="000000" w:themeColor="text1"/>
          <w:sz w:val="24"/>
          <w:lang w:val="fi-FI"/>
        </w:rPr>
        <w:tab/>
      </w:r>
      <w:r w:rsidR="004D10DC" w:rsidRPr="00A30A5A">
        <w:rPr>
          <w:color w:val="000000" w:themeColor="text1"/>
          <w:sz w:val="24"/>
          <w:lang w:val="fi-FI"/>
        </w:rPr>
        <w:t>–</w:t>
      </w:r>
      <w:r w:rsidR="004D10DC" w:rsidRPr="00A30A5A">
        <w:rPr>
          <w:color w:val="000000" w:themeColor="text1"/>
          <w:sz w:val="24"/>
          <w:lang w:val="fi-FI"/>
        </w:rPr>
        <w:tab/>
        <w:t>Euroopan parlamentin päätöslauselma 26. marraskuuta 2024 komission täytäntöönpanopäätöksestä (EU) 2024/2629 muuntogeenistä maissia MON 89034 × 1507 × MON 88017 × 59122 ja sen kahdeksaa alayhdistelmää sisältävien, niistä koostuvien tai niistä valmistettujen tuotteiden markkinoille saattamista koskevan luvan uusimisesta Euroopan parlamentin ja neuvoston asetuksen (EY) </w:t>
      </w:r>
      <w:proofErr w:type="gramStart"/>
      <w:r w:rsidR="004D10DC" w:rsidRPr="00A30A5A">
        <w:rPr>
          <w:color w:val="000000" w:themeColor="text1"/>
          <w:sz w:val="24"/>
          <w:lang w:val="fi-FI"/>
        </w:rPr>
        <w:t>N:o</w:t>
      </w:r>
      <w:proofErr w:type="gramEnd"/>
      <w:r w:rsidR="004D10DC" w:rsidRPr="00A30A5A">
        <w:rPr>
          <w:color w:val="000000" w:themeColor="text1"/>
          <w:sz w:val="24"/>
          <w:lang w:val="fi-FI"/>
        </w:rPr>
        <w:t> 1829/2003 mukaisesti (P10_TA(2024)0040)</w:t>
      </w:r>
    </w:p>
    <w:p w:rsidR="004D10DC" w:rsidRPr="00A30A5A" w:rsidRDefault="00A30A5A" w:rsidP="00A30A5A">
      <w:pPr>
        <w:pStyle w:val="FootnoteText"/>
        <w:ind w:left="567" w:hanging="567"/>
        <w:rPr>
          <w:color w:val="000000" w:themeColor="text1"/>
          <w:sz w:val="24"/>
          <w:vertAlign w:val="superscript"/>
          <w:lang w:val="fi-FI"/>
        </w:rPr>
      </w:pPr>
      <w:r w:rsidRPr="00A30A5A">
        <w:rPr>
          <w:color w:val="000000" w:themeColor="text1"/>
          <w:sz w:val="24"/>
          <w:lang w:val="fi-FI"/>
        </w:rPr>
        <w:t xml:space="preserve"> </w:t>
      </w:r>
      <w:r w:rsidRPr="00A30A5A">
        <w:rPr>
          <w:color w:val="000000" w:themeColor="text1"/>
          <w:sz w:val="24"/>
          <w:lang w:val="fi-FI"/>
        </w:rPr>
        <w:tab/>
      </w:r>
      <w:r w:rsidR="004D10DC" w:rsidRPr="00A30A5A">
        <w:rPr>
          <w:color w:val="000000" w:themeColor="text1"/>
          <w:sz w:val="24"/>
          <w:lang w:val="fi-FI"/>
        </w:rPr>
        <w:t>–</w:t>
      </w:r>
      <w:r w:rsidR="004D10DC" w:rsidRPr="00A30A5A">
        <w:rPr>
          <w:color w:val="000000" w:themeColor="text1"/>
          <w:sz w:val="24"/>
          <w:lang w:val="fi-FI"/>
        </w:rPr>
        <w:tab/>
        <w:t>Euroopan parlamentin päätöslauselma 26. marraskuuta 2024 komission täytäntöönpanopäätöksestä (EU) 2024/1828 muuntogeenistä maissia MON 810 sisältävien tai siitä koostuvien rehujen sekä siitä valmistettujen elintarvikkeiden ja rehujen markkinoille saattamista koskevan luvan uusimisesta Euroopan parlamentin ja neuvoston asetuksen (EY) </w:t>
      </w:r>
      <w:proofErr w:type="gramStart"/>
      <w:r w:rsidR="004D10DC" w:rsidRPr="00A30A5A">
        <w:rPr>
          <w:color w:val="000000" w:themeColor="text1"/>
          <w:sz w:val="24"/>
          <w:lang w:val="fi-FI"/>
        </w:rPr>
        <w:t>N:o</w:t>
      </w:r>
      <w:proofErr w:type="gramEnd"/>
      <w:r w:rsidR="004D10DC" w:rsidRPr="00A30A5A">
        <w:rPr>
          <w:color w:val="000000" w:themeColor="text1"/>
          <w:sz w:val="24"/>
          <w:lang w:val="fi-FI"/>
        </w:rPr>
        <w:t> 1829/2003 mukaisesti ja komission täytäntöönpanopäätöksen (EU) 2017/1207 kumoamisesta (P10_TA(2024)0041)</w:t>
      </w:r>
    </w:p>
    <w:p w:rsidR="004D10DC" w:rsidRPr="00A30A5A" w:rsidRDefault="00A30A5A" w:rsidP="00A30A5A">
      <w:pPr>
        <w:pStyle w:val="FootnoteText"/>
        <w:ind w:left="567" w:hanging="567"/>
        <w:rPr>
          <w:color w:val="000000" w:themeColor="text1"/>
          <w:sz w:val="24"/>
          <w:vertAlign w:val="superscript"/>
          <w:lang w:val="fi-FI"/>
        </w:rPr>
      </w:pPr>
      <w:r w:rsidRPr="00A30A5A">
        <w:rPr>
          <w:color w:val="000000" w:themeColor="text1"/>
          <w:sz w:val="24"/>
          <w:lang w:val="fi-FI"/>
        </w:rPr>
        <w:t xml:space="preserve"> </w:t>
      </w:r>
      <w:r w:rsidRPr="00A30A5A">
        <w:rPr>
          <w:color w:val="000000" w:themeColor="text1"/>
          <w:sz w:val="24"/>
          <w:lang w:val="fi-FI"/>
        </w:rPr>
        <w:tab/>
      </w:r>
      <w:r w:rsidR="004D10DC" w:rsidRPr="00A30A5A">
        <w:rPr>
          <w:color w:val="000000" w:themeColor="text1"/>
          <w:sz w:val="24"/>
          <w:lang w:val="fi-FI"/>
        </w:rPr>
        <w:t>–</w:t>
      </w:r>
      <w:r w:rsidR="004D10DC" w:rsidRPr="00A30A5A">
        <w:rPr>
          <w:color w:val="000000" w:themeColor="text1"/>
          <w:sz w:val="24"/>
          <w:lang w:val="fi-FI"/>
        </w:rPr>
        <w:tab/>
        <w:t>Euroopan parlamentin päätöslauselma 26. marraskuuta 2024 komission täytäntöönpanopäätöksestä (EU) 2024/1822 luvan antamisesta muuntogeenistä maissia DP915635 sisältävien, siitä koostuvien tai siitä valmistettujen tuotteiden saattamiseksi markkinoille Euroopan parlamentin ja neuvoston asetuksen (EY) </w:t>
      </w:r>
      <w:proofErr w:type="gramStart"/>
      <w:r w:rsidR="004D10DC" w:rsidRPr="00A30A5A">
        <w:rPr>
          <w:color w:val="000000" w:themeColor="text1"/>
          <w:sz w:val="24"/>
          <w:lang w:val="fi-FI"/>
        </w:rPr>
        <w:t>N:o</w:t>
      </w:r>
      <w:proofErr w:type="gramEnd"/>
      <w:r w:rsidR="004D10DC" w:rsidRPr="00A30A5A">
        <w:rPr>
          <w:color w:val="000000" w:themeColor="text1"/>
          <w:sz w:val="24"/>
          <w:lang w:val="fi-FI"/>
        </w:rPr>
        <w:t> 1829/2003 mukaisesti (P10_TA(2024)0042)</w:t>
      </w:r>
    </w:p>
    <w:p w:rsidR="004D10DC" w:rsidRPr="00A30A5A" w:rsidRDefault="00A30A5A" w:rsidP="00A30A5A">
      <w:pPr>
        <w:pStyle w:val="FootnoteText"/>
        <w:ind w:left="567" w:hanging="567"/>
        <w:rPr>
          <w:color w:val="000000" w:themeColor="text1"/>
          <w:sz w:val="24"/>
          <w:vertAlign w:val="superscript"/>
          <w:lang w:val="fi-FI"/>
        </w:rPr>
      </w:pPr>
      <w:r w:rsidRPr="00A30A5A">
        <w:rPr>
          <w:color w:val="000000" w:themeColor="text1"/>
          <w:sz w:val="24"/>
          <w:lang w:val="fi-FI"/>
        </w:rPr>
        <w:t xml:space="preserve"> </w:t>
      </w:r>
      <w:r w:rsidRPr="00A30A5A">
        <w:rPr>
          <w:color w:val="000000" w:themeColor="text1"/>
          <w:sz w:val="24"/>
          <w:lang w:val="fi-FI"/>
        </w:rPr>
        <w:tab/>
      </w:r>
      <w:r w:rsidR="004D10DC" w:rsidRPr="00A30A5A">
        <w:rPr>
          <w:color w:val="000000" w:themeColor="text1"/>
          <w:sz w:val="24"/>
          <w:lang w:val="fi-FI"/>
        </w:rPr>
        <w:t>–</w:t>
      </w:r>
      <w:r w:rsidR="004D10DC" w:rsidRPr="00A30A5A">
        <w:rPr>
          <w:color w:val="000000" w:themeColor="text1"/>
          <w:sz w:val="24"/>
          <w:lang w:val="fi-FI"/>
        </w:rPr>
        <w:tab/>
        <w:t>Euroopan parlamentin päätöslauselma 26. marraskuuta 2024 komission täytäntöönpanopäätöksestä (EU) 2024/1826 luvan antamisesta muuntogeenistä maissia DP23211 sisältävien, siitä koostuvien tai siitä valmistettujen tuotteiden saattamiseksi markkinoille Euroopan parlamentin ja neuvoston asetuksen (EY) </w:t>
      </w:r>
      <w:proofErr w:type="gramStart"/>
      <w:r w:rsidR="004D10DC" w:rsidRPr="00A30A5A">
        <w:rPr>
          <w:color w:val="000000" w:themeColor="text1"/>
          <w:sz w:val="24"/>
          <w:lang w:val="fi-FI"/>
        </w:rPr>
        <w:t>N:o</w:t>
      </w:r>
      <w:proofErr w:type="gramEnd"/>
      <w:r w:rsidR="004D10DC" w:rsidRPr="00A30A5A">
        <w:rPr>
          <w:color w:val="000000" w:themeColor="text1"/>
          <w:sz w:val="24"/>
          <w:lang w:val="fi-FI"/>
        </w:rPr>
        <w:t> 1829/2003 mukaisesti (P10_TA(2024)0043)</w:t>
      </w:r>
    </w:p>
    <w:p w:rsidR="004D10DC" w:rsidRPr="00A30A5A" w:rsidRDefault="00A30A5A" w:rsidP="00A30A5A">
      <w:pPr>
        <w:pStyle w:val="FootnoteText"/>
        <w:ind w:left="567" w:hanging="567"/>
        <w:rPr>
          <w:color w:val="000000" w:themeColor="text1"/>
          <w:sz w:val="24"/>
          <w:vertAlign w:val="superscript"/>
          <w:lang w:val="fi-FI"/>
        </w:rPr>
      </w:pPr>
      <w:r w:rsidRPr="00A30A5A">
        <w:rPr>
          <w:color w:val="000000" w:themeColor="text1"/>
          <w:sz w:val="24"/>
          <w:lang w:val="fi-FI"/>
        </w:rPr>
        <w:t xml:space="preserve"> </w:t>
      </w:r>
      <w:r w:rsidRPr="00A30A5A">
        <w:rPr>
          <w:color w:val="000000" w:themeColor="text1"/>
          <w:sz w:val="24"/>
          <w:lang w:val="fi-FI"/>
        </w:rPr>
        <w:tab/>
      </w:r>
      <w:r w:rsidR="004D10DC" w:rsidRPr="00A30A5A">
        <w:rPr>
          <w:color w:val="000000" w:themeColor="text1"/>
          <w:sz w:val="24"/>
          <w:lang w:val="fi-FI"/>
        </w:rPr>
        <w:t>–</w:t>
      </w:r>
      <w:r w:rsidR="004D10DC" w:rsidRPr="00A30A5A">
        <w:rPr>
          <w:color w:val="000000" w:themeColor="text1"/>
          <w:sz w:val="24"/>
          <w:lang w:val="fi-FI"/>
        </w:rPr>
        <w:tab/>
        <w:t>Euroopan parlamentin päätöslauselma 26. marraskuuta 2024 komission täytäntöönpanopäätöksestä (EU) 2024/2618 luvan antamisesta muuntogeenistä maissia DP202216 sisältävien, siitä koostuvien tai siitä valmistettujen tuotteiden saattamiseksi markkinoille Euroopan parlamentin ja neuvoston asetuksen (EY) </w:t>
      </w:r>
      <w:proofErr w:type="gramStart"/>
      <w:r w:rsidR="004D10DC" w:rsidRPr="00A30A5A">
        <w:rPr>
          <w:color w:val="000000" w:themeColor="text1"/>
          <w:sz w:val="24"/>
          <w:lang w:val="fi-FI"/>
        </w:rPr>
        <w:t>N:o</w:t>
      </w:r>
      <w:proofErr w:type="gramEnd"/>
      <w:r w:rsidR="004D10DC" w:rsidRPr="00A30A5A">
        <w:rPr>
          <w:color w:val="000000" w:themeColor="text1"/>
          <w:sz w:val="24"/>
          <w:lang w:val="fi-FI"/>
        </w:rPr>
        <w:t> 1829/2003 mukaisesti (P10_TA(2024)0044)</w:t>
      </w:r>
    </w:p>
    <w:p w:rsidR="004D10DC" w:rsidRPr="00A30A5A" w:rsidRDefault="00A30A5A" w:rsidP="00A30A5A">
      <w:pPr>
        <w:pStyle w:val="FootnoteText"/>
        <w:ind w:left="567" w:hanging="567"/>
        <w:rPr>
          <w:color w:val="000000" w:themeColor="text1"/>
          <w:sz w:val="24"/>
          <w:lang w:val="fi-FI"/>
        </w:rPr>
      </w:pPr>
      <w:r w:rsidRPr="00A30A5A">
        <w:rPr>
          <w:color w:val="000000" w:themeColor="text1"/>
          <w:sz w:val="24"/>
          <w:lang w:val="fi-FI"/>
        </w:rPr>
        <w:t xml:space="preserve"> </w:t>
      </w:r>
      <w:r w:rsidRPr="00A30A5A">
        <w:rPr>
          <w:color w:val="000000" w:themeColor="text1"/>
          <w:sz w:val="24"/>
          <w:lang w:val="fi-FI"/>
        </w:rPr>
        <w:tab/>
      </w:r>
      <w:r w:rsidR="004D10DC" w:rsidRPr="00A30A5A">
        <w:rPr>
          <w:color w:val="000000" w:themeColor="text1"/>
          <w:sz w:val="24"/>
          <w:lang w:val="fi-FI"/>
        </w:rPr>
        <w:t>–</w:t>
      </w:r>
      <w:r w:rsidR="004D10DC" w:rsidRPr="00A30A5A">
        <w:rPr>
          <w:color w:val="000000" w:themeColor="text1"/>
          <w:sz w:val="24"/>
          <w:lang w:val="fi-FI"/>
        </w:rPr>
        <w:tab/>
        <w:t>Euroopan parlamentin päätöslauselma 26. marraskuuta 2024 ehdotuksesta komission täytäntöönpanopäätökseksi luvan antamisesta muuntogeenistä maissia MON 94804 sisältävien, siitä koostuvien tai siitä valmistettujen tuotteiden saattamiseksi markkinoille Euroopan parlamentin ja neuvoston asetuksen (EY) </w:t>
      </w:r>
      <w:proofErr w:type="gramStart"/>
      <w:r w:rsidR="004D10DC" w:rsidRPr="00A30A5A">
        <w:rPr>
          <w:color w:val="000000" w:themeColor="text1"/>
          <w:sz w:val="24"/>
          <w:lang w:val="fi-FI"/>
        </w:rPr>
        <w:t>N:o</w:t>
      </w:r>
      <w:proofErr w:type="gramEnd"/>
      <w:r w:rsidR="004D10DC" w:rsidRPr="00A30A5A">
        <w:rPr>
          <w:color w:val="000000" w:themeColor="text1"/>
          <w:sz w:val="24"/>
          <w:lang w:val="fi-FI"/>
        </w:rPr>
        <w:t> 1829/2003 mukaisesti (P10_TA(2024)0045).</w:t>
      </w:r>
    </w:p>
  </w:footnote>
  <w:footnote w:id="5">
    <w:p w:rsidR="004D10DC" w:rsidRPr="00A30A5A" w:rsidRDefault="004D10DC" w:rsidP="00A30A5A">
      <w:pPr>
        <w:pStyle w:val="FootnoteText"/>
        <w:ind w:left="567" w:hanging="567"/>
        <w:rPr>
          <w:color w:val="000000" w:themeColor="text1"/>
          <w:sz w:val="24"/>
          <w:lang w:val="fi-FI"/>
        </w:rPr>
      </w:pPr>
      <w:r w:rsidRPr="00A30A5A">
        <w:rPr>
          <w:rStyle w:val="FootnoteReference"/>
          <w:color w:val="000000" w:themeColor="text1"/>
          <w:sz w:val="24"/>
          <w:lang w:val="fi-FI"/>
        </w:rPr>
        <w:footnoteRef/>
      </w:r>
      <w:r w:rsidR="00A30A5A" w:rsidRPr="00A30A5A">
        <w:rPr>
          <w:color w:val="000000" w:themeColor="text1"/>
          <w:sz w:val="24"/>
          <w:lang w:val="fi-FI"/>
        </w:rPr>
        <w:t xml:space="preserve"> </w:t>
      </w:r>
      <w:r w:rsidR="00A30A5A" w:rsidRPr="00A30A5A">
        <w:rPr>
          <w:color w:val="000000" w:themeColor="text1"/>
          <w:sz w:val="24"/>
          <w:lang w:val="fi-FI"/>
        </w:rPr>
        <w:tab/>
      </w:r>
      <w:r w:rsidRPr="00A30A5A">
        <w:rPr>
          <w:color w:val="000000" w:themeColor="text1"/>
          <w:sz w:val="24"/>
          <w:lang w:val="fi-FI"/>
        </w:rPr>
        <w:t xml:space="preserve">Euroopan parlamentin ja neuvoston asetus (EY) N:o 1107/2009, annettu 21. lokakuuta 2009, kasvinsuojeluaineiden markkinoille saattamisesta sekä neuvoston direktiivien 79/117/ETY ja 91/414/ETY kumoamisesta (EUVL L 309, 24.11.2009, s. 1, ELI: </w:t>
      </w:r>
      <w:hyperlink r:id="rId4" w:history="1">
        <w:r w:rsidRPr="008B36A0">
          <w:rPr>
            <w:rStyle w:val="Hyperlink"/>
            <w:sz w:val="24"/>
            <w:lang w:val="fi-FI"/>
          </w:rPr>
          <w:t>https://eur-lex.europa.eu/eli/reg/2009/1107/oj</w:t>
        </w:r>
      </w:hyperlink>
      <w:r w:rsidRPr="00A30A5A">
        <w:rPr>
          <w:rStyle w:val="Hyperlink"/>
          <w:color w:val="000000" w:themeColor="text1"/>
          <w:sz w:val="24"/>
          <w:lang w:val="fi-FI"/>
        </w:rPr>
        <w:t>).</w:t>
      </w:r>
    </w:p>
  </w:footnote>
  <w:footnote w:id="6">
    <w:p w:rsidR="004D10DC" w:rsidRPr="00A30A5A" w:rsidRDefault="004D10DC" w:rsidP="00A30A5A">
      <w:pPr>
        <w:pStyle w:val="FootnoteText"/>
        <w:ind w:left="567" w:hanging="567"/>
        <w:rPr>
          <w:color w:val="000000" w:themeColor="text1"/>
          <w:sz w:val="24"/>
          <w:lang w:val="fi-FI"/>
        </w:rPr>
      </w:pPr>
      <w:r w:rsidRPr="00A30A5A">
        <w:rPr>
          <w:rStyle w:val="Funotenzeichen"/>
          <w:color w:val="000000" w:themeColor="text1"/>
          <w:sz w:val="24"/>
          <w:lang w:val="fi-FI"/>
        </w:rPr>
        <w:footnoteRef/>
      </w:r>
      <w:r w:rsidR="00A30A5A" w:rsidRPr="00A30A5A">
        <w:rPr>
          <w:color w:val="000000" w:themeColor="text1"/>
          <w:sz w:val="24"/>
          <w:lang w:val="fi-FI"/>
        </w:rPr>
        <w:t xml:space="preserve"> </w:t>
      </w:r>
      <w:r w:rsidR="00A30A5A" w:rsidRPr="00A30A5A">
        <w:rPr>
          <w:color w:val="000000" w:themeColor="text1"/>
          <w:sz w:val="24"/>
          <w:lang w:val="fi-FI"/>
        </w:rPr>
        <w:tab/>
      </w:r>
      <w:r w:rsidRPr="00A30A5A">
        <w:rPr>
          <w:color w:val="000000" w:themeColor="text1"/>
          <w:sz w:val="24"/>
          <w:lang w:val="fi-FI"/>
        </w:rPr>
        <w:t>Komission täytäntöönpanoasetus (EU) N:o 503/2013, annettu 3. huhtikuuta 2013, Euroopan parlamentin ja neuvoston asetuksen (EY) N:o 1829/2003 mukaisista muuntogeenisten elintarvikkeiden ja rehujen lupahakemuksista sekä asetusten (EY) N:o 641/2004 ja (EY) N:o 1981/2006 muuttamisesta (EUVL L 157, 8.6.2013, s. 1, ELI</w:t>
      </w:r>
      <w:r w:rsidRPr="008B36A0">
        <w:rPr>
          <w:color w:val="000000" w:themeColor="text1"/>
          <w:sz w:val="24"/>
          <w:lang w:val="fi-FI"/>
        </w:rPr>
        <w:t>:</w:t>
      </w:r>
      <w:r w:rsidRPr="008B36A0">
        <w:rPr>
          <w:rStyle w:val="Hyperlink"/>
          <w:lang w:val="fi-FI"/>
        </w:rPr>
        <w:t xml:space="preserve"> </w:t>
      </w:r>
      <w:hyperlink r:id="rId5" w:tgtFrame="Gives access to this document through its ELI URI." w:history="1">
        <w:r w:rsidRPr="008B36A0">
          <w:rPr>
            <w:rStyle w:val="Hyperlink"/>
            <w:sz w:val="24"/>
            <w:lang w:val="fi-FI"/>
          </w:rPr>
          <w:t>http://data.europa.eu/eli/reg_impl/2013/503/oj</w:t>
        </w:r>
      </w:hyperlink>
      <w:r w:rsidRPr="00A30A5A">
        <w:rPr>
          <w:color w:val="000000" w:themeColor="text1"/>
          <w:sz w:val="24"/>
          <w:lang w:val="fi-FI"/>
        </w:rPr>
        <w:t>).</w:t>
      </w:r>
    </w:p>
  </w:footnote>
  <w:footnote w:id="7">
    <w:p w:rsidR="004D10DC" w:rsidRPr="00A30A5A" w:rsidRDefault="004D10DC" w:rsidP="00A30A5A">
      <w:pPr>
        <w:pStyle w:val="FootnoteText"/>
        <w:ind w:left="567" w:hanging="567"/>
        <w:rPr>
          <w:color w:val="000000" w:themeColor="text1"/>
          <w:sz w:val="24"/>
          <w:lang w:val="fi-FI"/>
        </w:rPr>
      </w:pPr>
      <w:r w:rsidRPr="00A30A5A">
        <w:rPr>
          <w:rStyle w:val="Funotenzeichen"/>
          <w:color w:val="000000" w:themeColor="text1"/>
          <w:sz w:val="24"/>
          <w:lang w:val="fi-FI"/>
        </w:rPr>
        <w:footnoteRef/>
      </w:r>
      <w:r w:rsidR="00A30A5A" w:rsidRPr="00A30A5A">
        <w:rPr>
          <w:color w:val="000000" w:themeColor="text1"/>
          <w:sz w:val="24"/>
          <w:lang w:val="fi-FI"/>
        </w:rPr>
        <w:t xml:space="preserve"> </w:t>
      </w:r>
      <w:r w:rsidR="00A30A5A" w:rsidRPr="00A30A5A">
        <w:rPr>
          <w:color w:val="000000" w:themeColor="text1"/>
          <w:sz w:val="24"/>
          <w:lang w:val="fi-FI"/>
        </w:rPr>
        <w:tab/>
      </w:r>
      <w:r w:rsidRPr="00A30A5A">
        <w:rPr>
          <w:color w:val="000000" w:themeColor="text1"/>
          <w:sz w:val="24"/>
          <w:lang w:val="fi-FI"/>
        </w:rPr>
        <w:t xml:space="preserve">Ks. esim. </w:t>
      </w:r>
      <w:proofErr w:type="spellStart"/>
      <w:r w:rsidRPr="00A30A5A">
        <w:rPr>
          <w:color w:val="000000" w:themeColor="text1"/>
          <w:sz w:val="24"/>
          <w:lang w:val="fi-FI"/>
        </w:rPr>
        <w:t>Schulz</w:t>
      </w:r>
      <w:proofErr w:type="spellEnd"/>
      <w:r w:rsidRPr="00A30A5A">
        <w:rPr>
          <w:color w:val="000000" w:themeColor="text1"/>
          <w:sz w:val="24"/>
          <w:lang w:val="fi-FI"/>
        </w:rPr>
        <w:t xml:space="preserve">, R., </w:t>
      </w:r>
      <w:proofErr w:type="spellStart"/>
      <w:r w:rsidRPr="00A30A5A">
        <w:rPr>
          <w:color w:val="000000" w:themeColor="text1"/>
          <w:sz w:val="24"/>
          <w:lang w:val="fi-FI"/>
        </w:rPr>
        <w:t>Bub</w:t>
      </w:r>
      <w:proofErr w:type="spellEnd"/>
      <w:r w:rsidRPr="00A30A5A">
        <w:rPr>
          <w:color w:val="000000" w:themeColor="text1"/>
          <w:sz w:val="24"/>
          <w:lang w:val="fi-FI"/>
        </w:rPr>
        <w:t xml:space="preserve">, S., </w:t>
      </w:r>
      <w:proofErr w:type="spellStart"/>
      <w:r w:rsidRPr="00A30A5A">
        <w:rPr>
          <w:color w:val="000000" w:themeColor="text1"/>
          <w:sz w:val="24"/>
          <w:lang w:val="fi-FI"/>
        </w:rPr>
        <w:t>Petschick</w:t>
      </w:r>
      <w:proofErr w:type="spellEnd"/>
      <w:r w:rsidRPr="00A30A5A">
        <w:rPr>
          <w:color w:val="000000" w:themeColor="text1"/>
          <w:sz w:val="24"/>
          <w:lang w:val="fi-FI"/>
        </w:rPr>
        <w:t xml:space="preserve">, L. L., </w:t>
      </w:r>
      <w:proofErr w:type="spellStart"/>
      <w:r w:rsidRPr="00A30A5A">
        <w:rPr>
          <w:color w:val="000000" w:themeColor="text1"/>
          <w:sz w:val="24"/>
          <w:lang w:val="fi-FI"/>
        </w:rPr>
        <w:t>Stehle</w:t>
      </w:r>
      <w:proofErr w:type="spellEnd"/>
      <w:r w:rsidRPr="00A30A5A">
        <w:rPr>
          <w:color w:val="000000" w:themeColor="text1"/>
          <w:sz w:val="24"/>
          <w:lang w:val="fi-FI"/>
        </w:rPr>
        <w:t xml:space="preserve">, S., </w:t>
      </w:r>
      <w:proofErr w:type="spellStart"/>
      <w:r w:rsidRPr="00A30A5A">
        <w:rPr>
          <w:color w:val="000000" w:themeColor="text1"/>
          <w:sz w:val="24"/>
          <w:lang w:val="fi-FI"/>
        </w:rPr>
        <w:t>Wolfram</w:t>
      </w:r>
      <w:proofErr w:type="spellEnd"/>
      <w:r w:rsidRPr="00A30A5A">
        <w:rPr>
          <w:color w:val="000000" w:themeColor="text1"/>
          <w:sz w:val="24"/>
          <w:lang w:val="fi-FI"/>
        </w:rPr>
        <w:t>, J. (2021) ”</w:t>
      </w:r>
      <w:proofErr w:type="spellStart"/>
      <w:r w:rsidRPr="00A30A5A">
        <w:rPr>
          <w:color w:val="000000" w:themeColor="text1"/>
          <w:sz w:val="24"/>
          <w:lang w:val="fi-FI"/>
        </w:rPr>
        <w:t>Applied</w:t>
      </w:r>
      <w:proofErr w:type="spellEnd"/>
      <w:r w:rsidRPr="00A30A5A">
        <w:rPr>
          <w:color w:val="000000" w:themeColor="text1"/>
          <w:sz w:val="24"/>
          <w:lang w:val="fi-FI"/>
        </w:rPr>
        <w:t xml:space="preserve"> </w:t>
      </w:r>
      <w:proofErr w:type="spellStart"/>
      <w:r w:rsidRPr="00A30A5A">
        <w:rPr>
          <w:color w:val="000000" w:themeColor="text1"/>
          <w:sz w:val="24"/>
          <w:lang w:val="fi-FI"/>
        </w:rPr>
        <w:t>pesticide</w:t>
      </w:r>
      <w:proofErr w:type="spellEnd"/>
      <w:r w:rsidRPr="00A30A5A">
        <w:rPr>
          <w:color w:val="000000" w:themeColor="text1"/>
          <w:sz w:val="24"/>
          <w:lang w:val="fi-FI"/>
        </w:rPr>
        <w:t xml:space="preserve"> </w:t>
      </w:r>
      <w:proofErr w:type="spellStart"/>
      <w:r w:rsidRPr="00A30A5A">
        <w:rPr>
          <w:color w:val="000000" w:themeColor="text1"/>
          <w:sz w:val="24"/>
          <w:lang w:val="fi-FI"/>
        </w:rPr>
        <w:t>toxicity</w:t>
      </w:r>
      <w:proofErr w:type="spellEnd"/>
      <w:r w:rsidRPr="00A30A5A">
        <w:rPr>
          <w:color w:val="000000" w:themeColor="text1"/>
          <w:sz w:val="24"/>
          <w:lang w:val="fi-FI"/>
        </w:rPr>
        <w:t xml:space="preserve"> </w:t>
      </w:r>
      <w:proofErr w:type="spellStart"/>
      <w:r w:rsidRPr="00A30A5A">
        <w:rPr>
          <w:color w:val="000000" w:themeColor="text1"/>
          <w:sz w:val="24"/>
          <w:lang w:val="fi-FI"/>
        </w:rPr>
        <w:t>shifts</w:t>
      </w:r>
      <w:proofErr w:type="spellEnd"/>
      <w:r w:rsidRPr="00A30A5A">
        <w:rPr>
          <w:color w:val="000000" w:themeColor="text1"/>
          <w:sz w:val="24"/>
          <w:lang w:val="fi-FI"/>
        </w:rPr>
        <w:t xml:space="preserve"> </w:t>
      </w:r>
      <w:proofErr w:type="spellStart"/>
      <w:r w:rsidRPr="00A30A5A">
        <w:rPr>
          <w:color w:val="000000" w:themeColor="text1"/>
          <w:sz w:val="24"/>
          <w:lang w:val="fi-FI"/>
        </w:rPr>
        <w:t>toward</w:t>
      </w:r>
      <w:proofErr w:type="spellEnd"/>
      <w:r w:rsidRPr="00A30A5A">
        <w:rPr>
          <w:color w:val="000000" w:themeColor="text1"/>
          <w:sz w:val="24"/>
          <w:lang w:val="fi-FI"/>
        </w:rPr>
        <w:t xml:space="preserve"> </w:t>
      </w:r>
      <w:proofErr w:type="spellStart"/>
      <w:r w:rsidRPr="00A30A5A">
        <w:rPr>
          <w:color w:val="000000" w:themeColor="text1"/>
          <w:sz w:val="24"/>
          <w:lang w:val="fi-FI"/>
        </w:rPr>
        <w:t>plants</w:t>
      </w:r>
      <w:proofErr w:type="spellEnd"/>
      <w:r w:rsidRPr="00A30A5A">
        <w:rPr>
          <w:color w:val="000000" w:themeColor="text1"/>
          <w:sz w:val="24"/>
          <w:lang w:val="fi-FI"/>
        </w:rPr>
        <w:t xml:space="preserve"> and </w:t>
      </w:r>
      <w:proofErr w:type="spellStart"/>
      <w:r w:rsidRPr="00A30A5A">
        <w:rPr>
          <w:color w:val="000000" w:themeColor="text1"/>
          <w:sz w:val="24"/>
          <w:lang w:val="fi-FI"/>
        </w:rPr>
        <w:t>invertebrates</w:t>
      </w:r>
      <w:proofErr w:type="spellEnd"/>
      <w:r w:rsidRPr="00A30A5A">
        <w:rPr>
          <w:color w:val="000000" w:themeColor="text1"/>
          <w:sz w:val="24"/>
          <w:lang w:val="fi-FI"/>
        </w:rPr>
        <w:t xml:space="preserve">, </w:t>
      </w:r>
      <w:proofErr w:type="spellStart"/>
      <w:r w:rsidRPr="00A30A5A">
        <w:rPr>
          <w:color w:val="000000" w:themeColor="text1"/>
          <w:sz w:val="24"/>
          <w:lang w:val="fi-FI"/>
        </w:rPr>
        <w:t>even</w:t>
      </w:r>
      <w:proofErr w:type="spellEnd"/>
      <w:r w:rsidRPr="00A30A5A">
        <w:rPr>
          <w:color w:val="000000" w:themeColor="text1"/>
          <w:sz w:val="24"/>
          <w:lang w:val="fi-FI"/>
        </w:rPr>
        <w:t xml:space="preserve"> in GM </w:t>
      </w:r>
      <w:proofErr w:type="spellStart"/>
      <w:r w:rsidRPr="00A30A5A">
        <w:rPr>
          <w:color w:val="000000" w:themeColor="text1"/>
          <w:sz w:val="24"/>
          <w:lang w:val="fi-FI"/>
        </w:rPr>
        <w:t>crops</w:t>
      </w:r>
      <w:proofErr w:type="spellEnd"/>
      <w:r w:rsidRPr="00A30A5A">
        <w:rPr>
          <w:color w:val="000000" w:themeColor="text1"/>
          <w:sz w:val="24"/>
          <w:lang w:val="fi-FI"/>
        </w:rPr>
        <w:t xml:space="preserve">”, Science 372(6537), s. 81–84, </w:t>
      </w:r>
      <w:hyperlink r:id="rId6" w:history="1">
        <w:r w:rsidRPr="008B36A0">
          <w:rPr>
            <w:rStyle w:val="Hyperlink"/>
            <w:sz w:val="24"/>
            <w:lang w:val="fi-FI"/>
          </w:rPr>
          <w:t>https://doi.org/10.1126/science.abe1148</w:t>
        </w:r>
      </w:hyperlink>
      <w:r w:rsidRPr="00A30A5A">
        <w:rPr>
          <w:color w:val="000000" w:themeColor="text1"/>
          <w:sz w:val="24"/>
          <w:lang w:val="fi-FI"/>
        </w:rPr>
        <w:t xml:space="preserve">; </w:t>
      </w:r>
      <w:proofErr w:type="spellStart"/>
      <w:r w:rsidRPr="00A30A5A">
        <w:rPr>
          <w:color w:val="000000" w:themeColor="text1"/>
          <w:sz w:val="24"/>
          <w:lang w:val="fi-FI"/>
        </w:rPr>
        <w:t>Bonny</w:t>
      </w:r>
      <w:proofErr w:type="spellEnd"/>
      <w:r w:rsidRPr="00A30A5A">
        <w:rPr>
          <w:color w:val="000000" w:themeColor="text1"/>
          <w:sz w:val="24"/>
          <w:lang w:val="fi-FI"/>
        </w:rPr>
        <w:t>, S., ”</w:t>
      </w:r>
      <w:proofErr w:type="spellStart"/>
      <w:r w:rsidRPr="00A30A5A">
        <w:rPr>
          <w:color w:val="000000" w:themeColor="text1"/>
          <w:sz w:val="24"/>
          <w:lang w:val="fi-FI"/>
        </w:rPr>
        <w:t>Genetically</w:t>
      </w:r>
      <w:proofErr w:type="spellEnd"/>
      <w:r w:rsidRPr="00A30A5A">
        <w:rPr>
          <w:color w:val="000000" w:themeColor="text1"/>
          <w:sz w:val="24"/>
          <w:lang w:val="fi-FI"/>
        </w:rPr>
        <w:t xml:space="preserve"> </w:t>
      </w:r>
      <w:proofErr w:type="spellStart"/>
      <w:r w:rsidRPr="00A30A5A">
        <w:rPr>
          <w:color w:val="000000" w:themeColor="text1"/>
          <w:sz w:val="24"/>
          <w:lang w:val="fi-FI"/>
        </w:rPr>
        <w:t>Modified</w:t>
      </w:r>
      <w:proofErr w:type="spellEnd"/>
      <w:r w:rsidRPr="00A30A5A">
        <w:rPr>
          <w:color w:val="000000" w:themeColor="text1"/>
          <w:sz w:val="24"/>
          <w:lang w:val="fi-FI"/>
        </w:rPr>
        <w:t xml:space="preserve"> </w:t>
      </w:r>
      <w:proofErr w:type="spellStart"/>
      <w:r w:rsidRPr="00A30A5A">
        <w:rPr>
          <w:color w:val="000000" w:themeColor="text1"/>
          <w:sz w:val="24"/>
          <w:lang w:val="fi-FI"/>
        </w:rPr>
        <w:t>Herbicide-Tolerant</w:t>
      </w:r>
      <w:proofErr w:type="spellEnd"/>
      <w:r w:rsidRPr="00A30A5A">
        <w:rPr>
          <w:color w:val="000000" w:themeColor="text1"/>
          <w:sz w:val="24"/>
          <w:lang w:val="fi-FI"/>
        </w:rPr>
        <w:t xml:space="preserve"> </w:t>
      </w:r>
      <w:proofErr w:type="spellStart"/>
      <w:r w:rsidRPr="00A30A5A">
        <w:rPr>
          <w:color w:val="000000" w:themeColor="text1"/>
          <w:sz w:val="24"/>
          <w:lang w:val="fi-FI"/>
        </w:rPr>
        <w:t>Crops</w:t>
      </w:r>
      <w:proofErr w:type="spellEnd"/>
      <w:r w:rsidRPr="00A30A5A">
        <w:rPr>
          <w:color w:val="000000" w:themeColor="text1"/>
          <w:sz w:val="24"/>
          <w:lang w:val="fi-FI"/>
        </w:rPr>
        <w:t xml:space="preserve">, </w:t>
      </w:r>
      <w:proofErr w:type="spellStart"/>
      <w:r w:rsidRPr="00A30A5A">
        <w:rPr>
          <w:color w:val="000000" w:themeColor="text1"/>
          <w:sz w:val="24"/>
          <w:lang w:val="fi-FI"/>
        </w:rPr>
        <w:t>Weeds</w:t>
      </w:r>
      <w:proofErr w:type="spellEnd"/>
      <w:r w:rsidRPr="00A30A5A">
        <w:rPr>
          <w:color w:val="000000" w:themeColor="text1"/>
          <w:sz w:val="24"/>
          <w:lang w:val="fi-FI"/>
        </w:rPr>
        <w:t xml:space="preserve">, and </w:t>
      </w:r>
      <w:proofErr w:type="spellStart"/>
      <w:r w:rsidRPr="00A30A5A">
        <w:rPr>
          <w:color w:val="000000" w:themeColor="text1"/>
          <w:sz w:val="24"/>
          <w:lang w:val="fi-FI"/>
        </w:rPr>
        <w:t>Herbicides</w:t>
      </w:r>
      <w:proofErr w:type="spellEnd"/>
      <w:r w:rsidRPr="00A30A5A">
        <w:rPr>
          <w:color w:val="000000" w:themeColor="text1"/>
          <w:sz w:val="24"/>
          <w:lang w:val="fi-FI"/>
        </w:rPr>
        <w:t xml:space="preserve">: </w:t>
      </w:r>
      <w:proofErr w:type="spellStart"/>
      <w:r w:rsidRPr="00A30A5A">
        <w:rPr>
          <w:color w:val="000000" w:themeColor="text1"/>
          <w:sz w:val="24"/>
          <w:lang w:val="fi-FI"/>
        </w:rPr>
        <w:t>Overview</w:t>
      </w:r>
      <w:proofErr w:type="spellEnd"/>
      <w:r w:rsidRPr="00A30A5A">
        <w:rPr>
          <w:color w:val="000000" w:themeColor="text1"/>
          <w:sz w:val="24"/>
          <w:lang w:val="fi-FI"/>
        </w:rPr>
        <w:t xml:space="preserve"> and </w:t>
      </w:r>
      <w:proofErr w:type="spellStart"/>
      <w:r w:rsidRPr="00A30A5A">
        <w:rPr>
          <w:color w:val="000000" w:themeColor="text1"/>
          <w:sz w:val="24"/>
          <w:lang w:val="fi-FI"/>
        </w:rPr>
        <w:t>Impact</w:t>
      </w:r>
      <w:proofErr w:type="spellEnd"/>
      <w:r w:rsidRPr="00A30A5A">
        <w:rPr>
          <w:color w:val="000000" w:themeColor="text1"/>
          <w:sz w:val="24"/>
          <w:lang w:val="fi-FI"/>
        </w:rPr>
        <w:t xml:space="preserve">”, </w:t>
      </w:r>
      <w:proofErr w:type="spellStart"/>
      <w:r w:rsidRPr="00A30A5A">
        <w:rPr>
          <w:color w:val="000000" w:themeColor="text1"/>
          <w:sz w:val="24"/>
          <w:lang w:val="fi-FI"/>
        </w:rPr>
        <w:t>Environmental</w:t>
      </w:r>
      <w:proofErr w:type="spellEnd"/>
      <w:r w:rsidRPr="00A30A5A">
        <w:rPr>
          <w:color w:val="000000" w:themeColor="text1"/>
          <w:sz w:val="24"/>
          <w:lang w:val="fi-FI"/>
        </w:rPr>
        <w:t xml:space="preserve"> Management, tammikuu 2016;57(1), s. 31–48, </w:t>
      </w:r>
      <w:hyperlink r:id="rId7" w:history="1">
        <w:r w:rsidRPr="008B36A0">
          <w:rPr>
            <w:rStyle w:val="Hyperlink"/>
            <w:sz w:val="24"/>
            <w:lang w:val="fi-FI"/>
          </w:rPr>
          <w:t>https://www.ncbi.nlm.nih.gov/pubmed/26296738</w:t>
        </w:r>
      </w:hyperlink>
      <w:r w:rsidRPr="00A30A5A">
        <w:rPr>
          <w:color w:val="000000" w:themeColor="text1"/>
          <w:sz w:val="24"/>
          <w:lang w:val="fi-FI"/>
        </w:rPr>
        <w:t xml:space="preserve"> sekä </w:t>
      </w:r>
      <w:proofErr w:type="spellStart"/>
      <w:r w:rsidRPr="00A30A5A">
        <w:rPr>
          <w:color w:val="000000" w:themeColor="text1"/>
          <w:sz w:val="24"/>
          <w:lang w:val="fi-FI"/>
        </w:rPr>
        <w:t>Benbrook</w:t>
      </w:r>
      <w:proofErr w:type="spellEnd"/>
      <w:r w:rsidRPr="00A30A5A">
        <w:rPr>
          <w:color w:val="000000" w:themeColor="text1"/>
          <w:sz w:val="24"/>
          <w:lang w:val="fi-FI"/>
        </w:rPr>
        <w:t>, C. M., ”</w:t>
      </w:r>
      <w:proofErr w:type="spellStart"/>
      <w:r w:rsidRPr="00A30A5A">
        <w:rPr>
          <w:color w:val="000000" w:themeColor="text1"/>
          <w:sz w:val="24"/>
          <w:lang w:val="fi-FI"/>
        </w:rPr>
        <w:t>Impacts</w:t>
      </w:r>
      <w:proofErr w:type="spellEnd"/>
      <w:r w:rsidRPr="00A30A5A">
        <w:rPr>
          <w:color w:val="000000" w:themeColor="text1"/>
          <w:sz w:val="24"/>
          <w:lang w:val="fi-FI"/>
        </w:rPr>
        <w:t xml:space="preserve"> of </w:t>
      </w:r>
      <w:proofErr w:type="spellStart"/>
      <w:r w:rsidRPr="00A30A5A">
        <w:rPr>
          <w:color w:val="000000" w:themeColor="text1"/>
          <w:sz w:val="24"/>
          <w:lang w:val="fi-FI"/>
        </w:rPr>
        <w:t>genetically</w:t>
      </w:r>
      <w:proofErr w:type="spellEnd"/>
      <w:r w:rsidRPr="00A30A5A">
        <w:rPr>
          <w:color w:val="000000" w:themeColor="text1"/>
          <w:sz w:val="24"/>
          <w:lang w:val="fi-FI"/>
        </w:rPr>
        <w:t xml:space="preserve"> </w:t>
      </w:r>
      <w:proofErr w:type="spellStart"/>
      <w:r w:rsidRPr="00A30A5A">
        <w:rPr>
          <w:color w:val="000000" w:themeColor="text1"/>
          <w:sz w:val="24"/>
          <w:lang w:val="fi-FI"/>
        </w:rPr>
        <w:t>engineered</w:t>
      </w:r>
      <w:proofErr w:type="spellEnd"/>
      <w:r w:rsidRPr="00A30A5A">
        <w:rPr>
          <w:color w:val="000000" w:themeColor="text1"/>
          <w:sz w:val="24"/>
          <w:lang w:val="fi-FI"/>
        </w:rPr>
        <w:t xml:space="preserve"> </w:t>
      </w:r>
      <w:proofErr w:type="spellStart"/>
      <w:r w:rsidRPr="00A30A5A">
        <w:rPr>
          <w:color w:val="000000" w:themeColor="text1"/>
          <w:sz w:val="24"/>
          <w:lang w:val="fi-FI"/>
        </w:rPr>
        <w:t>crops</w:t>
      </w:r>
      <w:proofErr w:type="spellEnd"/>
      <w:r w:rsidRPr="00A30A5A">
        <w:rPr>
          <w:color w:val="000000" w:themeColor="text1"/>
          <w:sz w:val="24"/>
          <w:lang w:val="fi-FI"/>
        </w:rPr>
        <w:t xml:space="preserve"> on </w:t>
      </w:r>
      <w:proofErr w:type="spellStart"/>
      <w:r w:rsidRPr="00A30A5A">
        <w:rPr>
          <w:color w:val="000000" w:themeColor="text1"/>
          <w:sz w:val="24"/>
          <w:lang w:val="fi-FI"/>
        </w:rPr>
        <w:t>pesticide</w:t>
      </w:r>
      <w:proofErr w:type="spellEnd"/>
      <w:r w:rsidRPr="00A30A5A">
        <w:rPr>
          <w:color w:val="000000" w:themeColor="text1"/>
          <w:sz w:val="24"/>
          <w:lang w:val="fi-FI"/>
        </w:rPr>
        <w:t xml:space="preserve"> </w:t>
      </w:r>
      <w:proofErr w:type="spellStart"/>
      <w:r w:rsidRPr="00A30A5A">
        <w:rPr>
          <w:color w:val="000000" w:themeColor="text1"/>
          <w:sz w:val="24"/>
          <w:lang w:val="fi-FI"/>
        </w:rPr>
        <w:t>use</w:t>
      </w:r>
      <w:proofErr w:type="spellEnd"/>
      <w:r w:rsidRPr="00A30A5A">
        <w:rPr>
          <w:color w:val="000000" w:themeColor="text1"/>
          <w:sz w:val="24"/>
          <w:lang w:val="fi-FI"/>
        </w:rPr>
        <w:t xml:space="preserve"> in </w:t>
      </w:r>
      <w:proofErr w:type="spellStart"/>
      <w:r w:rsidRPr="00A30A5A">
        <w:rPr>
          <w:color w:val="000000" w:themeColor="text1"/>
          <w:sz w:val="24"/>
          <w:lang w:val="fi-FI"/>
        </w:rPr>
        <w:t>the</w:t>
      </w:r>
      <w:proofErr w:type="spellEnd"/>
      <w:r w:rsidRPr="00A30A5A">
        <w:rPr>
          <w:color w:val="000000" w:themeColor="text1"/>
          <w:sz w:val="24"/>
          <w:lang w:val="fi-FI"/>
        </w:rPr>
        <w:t xml:space="preserve"> U.S. - </w:t>
      </w:r>
      <w:proofErr w:type="spellStart"/>
      <w:r w:rsidRPr="00A30A5A">
        <w:rPr>
          <w:color w:val="000000" w:themeColor="text1"/>
          <w:sz w:val="24"/>
          <w:lang w:val="fi-FI"/>
        </w:rPr>
        <w:t>the</w:t>
      </w:r>
      <w:proofErr w:type="spellEnd"/>
      <w:r w:rsidRPr="00A30A5A">
        <w:rPr>
          <w:color w:val="000000" w:themeColor="text1"/>
          <w:sz w:val="24"/>
          <w:lang w:val="fi-FI"/>
        </w:rPr>
        <w:t xml:space="preserve"> </w:t>
      </w:r>
      <w:proofErr w:type="spellStart"/>
      <w:r w:rsidRPr="00A30A5A">
        <w:rPr>
          <w:color w:val="000000" w:themeColor="text1"/>
          <w:sz w:val="24"/>
          <w:lang w:val="fi-FI"/>
        </w:rPr>
        <w:t>first</w:t>
      </w:r>
      <w:proofErr w:type="spellEnd"/>
      <w:r w:rsidRPr="00A30A5A">
        <w:rPr>
          <w:color w:val="000000" w:themeColor="text1"/>
          <w:sz w:val="24"/>
          <w:lang w:val="fi-FI"/>
        </w:rPr>
        <w:t xml:space="preserve"> </w:t>
      </w:r>
      <w:proofErr w:type="spellStart"/>
      <w:r w:rsidRPr="00A30A5A">
        <w:rPr>
          <w:color w:val="000000" w:themeColor="text1"/>
          <w:sz w:val="24"/>
          <w:lang w:val="fi-FI"/>
        </w:rPr>
        <w:t>sixteen</w:t>
      </w:r>
      <w:proofErr w:type="spellEnd"/>
      <w:r w:rsidRPr="00A30A5A">
        <w:rPr>
          <w:color w:val="000000" w:themeColor="text1"/>
          <w:sz w:val="24"/>
          <w:lang w:val="fi-FI"/>
        </w:rPr>
        <w:t xml:space="preserve"> </w:t>
      </w:r>
      <w:proofErr w:type="spellStart"/>
      <w:r w:rsidRPr="00A30A5A">
        <w:rPr>
          <w:color w:val="000000" w:themeColor="text1"/>
          <w:sz w:val="24"/>
          <w:lang w:val="fi-FI"/>
        </w:rPr>
        <w:t>years</w:t>
      </w:r>
      <w:proofErr w:type="spellEnd"/>
      <w:r w:rsidRPr="00A30A5A">
        <w:rPr>
          <w:color w:val="000000" w:themeColor="text1"/>
          <w:sz w:val="24"/>
          <w:lang w:val="fi-FI"/>
        </w:rPr>
        <w:t xml:space="preserve">”, </w:t>
      </w:r>
      <w:proofErr w:type="spellStart"/>
      <w:r w:rsidRPr="00A30A5A">
        <w:rPr>
          <w:color w:val="000000" w:themeColor="text1"/>
          <w:sz w:val="24"/>
          <w:lang w:val="fi-FI"/>
        </w:rPr>
        <w:t>Environmental</w:t>
      </w:r>
      <w:proofErr w:type="spellEnd"/>
      <w:r w:rsidRPr="00A30A5A">
        <w:rPr>
          <w:color w:val="000000" w:themeColor="text1"/>
          <w:sz w:val="24"/>
          <w:lang w:val="fi-FI"/>
        </w:rPr>
        <w:t xml:space="preserve"> Sciences Europe, 28. syyskuuta 2012, Vol. 24(24), </w:t>
      </w:r>
      <w:hyperlink r:id="rId8" w:history="1">
        <w:r w:rsidRPr="008B36A0">
          <w:rPr>
            <w:rStyle w:val="Hyperlink"/>
            <w:sz w:val="24"/>
            <w:lang w:val="fi-FI"/>
          </w:rPr>
          <w:t>https://enveurope.springeropen.com/articles/10.1186/2190-4715-24-24</w:t>
        </w:r>
      </w:hyperlink>
      <w:r w:rsidRPr="00A30A5A">
        <w:rPr>
          <w:color w:val="000000" w:themeColor="text1"/>
          <w:sz w:val="24"/>
          <w:lang w:val="fi-FI"/>
        </w:rPr>
        <w:t>.</w:t>
      </w:r>
    </w:p>
  </w:footnote>
  <w:footnote w:id="8">
    <w:p w:rsidR="004D10DC" w:rsidRPr="00B6576D" w:rsidRDefault="004D10DC" w:rsidP="00A30A5A">
      <w:pPr>
        <w:pStyle w:val="FootnoteText"/>
        <w:ind w:left="567" w:hanging="567"/>
        <w:rPr>
          <w:color w:val="000000" w:themeColor="text1"/>
          <w:sz w:val="24"/>
          <w:lang w:val="en-GB"/>
        </w:rPr>
      </w:pPr>
      <w:r w:rsidRPr="00A30A5A">
        <w:rPr>
          <w:rStyle w:val="Funotenzeichen"/>
          <w:color w:val="000000" w:themeColor="text1"/>
          <w:sz w:val="24"/>
          <w:lang w:val="fi-FI"/>
        </w:rPr>
        <w:footnoteRef/>
      </w:r>
      <w:r w:rsidR="00A30A5A" w:rsidRPr="00A30A5A">
        <w:rPr>
          <w:color w:val="000000" w:themeColor="text1"/>
          <w:sz w:val="24"/>
          <w:lang w:val="fi-FI"/>
        </w:rPr>
        <w:t xml:space="preserve"> </w:t>
      </w:r>
      <w:r w:rsidR="00A30A5A" w:rsidRPr="00A30A5A">
        <w:rPr>
          <w:color w:val="000000" w:themeColor="text1"/>
          <w:sz w:val="24"/>
          <w:lang w:val="fi-FI"/>
        </w:rPr>
        <w:tab/>
      </w:r>
      <w:r w:rsidRPr="00A30A5A">
        <w:rPr>
          <w:color w:val="000000" w:themeColor="text1"/>
          <w:sz w:val="24"/>
          <w:lang w:val="fi-FI"/>
        </w:rPr>
        <w:t xml:space="preserve">Katsaus aiheeseen, ks. </w:t>
      </w:r>
      <w:r w:rsidRPr="00B6576D">
        <w:rPr>
          <w:color w:val="000000" w:themeColor="text1"/>
          <w:sz w:val="24"/>
          <w:lang w:val="en-GB"/>
        </w:rPr>
        <w:t>Rubio-</w:t>
      </w:r>
      <w:proofErr w:type="spellStart"/>
      <w:r w:rsidRPr="00B6576D">
        <w:rPr>
          <w:color w:val="000000" w:themeColor="text1"/>
          <w:sz w:val="24"/>
          <w:lang w:val="en-GB"/>
        </w:rPr>
        <w:t>Infante</w:t>
      </w:r>
      <w:proofErr w:type="spellEnd"/>
      <w:r w:rsidRPr="00B6576D">
        <w:rPr>
          <w:color w:val="000000" w:themeColor="text1"/>
          <w:sz w:val="24"/>
          <w:lang w:val="en-GB"/>
        </w:rPr>
        <w:t>, N., Moreno-</w:t>
      </w:r>
      <w:proofErr w:type="spellStart"/>
      <w:r w:rsidRPr="00B6576D">
        <w:rPr>
          <w:color w:val="000000" w:themeColor="text1"/>
          <w:sz w:val="24"/>
          <w:lang w:val="en-GB"/>
        </w:rPr>
        <w:t>Fierros</w:t>
      </w:r>
      <w:proofErr w:type="spellEnd"/>
      <w:r w:rsidRPr="00B6576D">
        <w:rPr>
          <w:color w:val="000000" w:themeColor="text1"/>
          <w:sz w:val="24"/>
          <w:lang w:val="en-GB"/>
        </w:rPr>
        <w:t xml:space="preserve">, L., ”An overview of the safety and biological effects of Bacillus </w:t>
      </w:r>
      <w:proofErr w:type="spellStart"/>
      <w:r w:rsidRPr="00B6576D">
        <w:rPr>
          <w:color w:val="000000" w:themeColor="text1"/>
          <w:sz w:val="24"/>
          <w:lang w:val="en-GB"/>
        </w:rPr>
        <w:t>thuringiensis</w:t>
      </w:r>
      <w:proofErr w:type="spellEnd"/>
      <w:r w:rsidRPr="00B6576D">
        <w:rPr>
          <w:color w:val="000000" w:themeColor="text1"/>
          <w:sz w:val="24"/>
          <w:lang w:val="en-GB"/>
        </w:rPr>
        <w:t xml:space="preserve"> Cry toxins in mammals”, Journal of Applied Toxicology, </w:t>
      </w:r>
      <w:proofErr w:type="spellStart"/>
      <w:r w:rsidRPr="00B6576D">
        <w:rPr>
          <w:color w:val="000000" w:themeColor="text1"/>
          <w:sz w:val="24"/>
          <w:lang w:val="en-GB"/>
        </w:rPr>
        <w:t>toukokuu</w:t>
      </w:r>
      <w:proofErr w:type="spellEnd"/>
      <w:r w:rsidRPr="00B6576D">
        <w:rPr>
          <w:color w:val="000000" w:themeColor="text1"/>
          <w:sz w:val="24"/>
          <w:lang w:val="en-GB"/>
        </w:rPr>
        <w:t xml:space="preserve"> 2016, 36(5), s. 630–648, </w:t>
      </w:r>
      <w:hyperlink r:id="rId9" w:history="1">
        <w:r w:rsidRPr="00B6576D">
          <w:rPr>
            <w:rStyle w:val="Hyperlink"/>
            <w:sz w:val="24"/>
            <w:lang w:val="en-GB"/>
          </w:rPr>
          <w:t>https://onlinelibrary.wiley.com/doi/full/10.1002/jat.3252</w:t>
        </w:r>
      </w:hyperlink>
      <w:r w:rsidRPr="00B6576D">
        <w:rPr>
          <w:color w:val="000000" w:themeColor="text1"/>
          <w:sz w:val="24"/>
          <w:lang w:val="en-GB"/>
        </w:rPr>
        <w:t>.</w:t>
      </w:r>
    </w:p>
  </w:footnote>
  <w:footnote w:id="9">
    <w:p w:rsidR="004D10DC" w:rsidRPr="00772E05" w:rsidRDefault="004D10DC" w:rsidP="00A30A5A">
      <w:pPr>
        <w:pStyle w:val="FootnoteText"/>
        <w:ind w:left="567" w:hanging="567"/>
        <w:rPr>
          <w:color w:val="000000" w:themeColor="text1"/>
          <w:sz w:val="24"/>
          <w:lang w:val="en-GB"/>
        </w:rPr>
      </w:pPr>
      <w:r w:rsidRPr="00A30A5A">
        <w:rPr>
          <w:rStyle w:val="Funotenzeichen"/>
          <w:color w:val="000000" w:themeColor="text1"/>
          <w:sz w:val="24"/>
          <w:lang w:val="fi-FI"/>
        </w:rPr>
        <w:footnoteRef/>
      </w:r>
      <w:r w:rsidR="00A30A5A" w:rsidRPr="00772E05">
        <w:rPr>
          <w:color w:val="000000" w:themeColor="text1"/>
          <w:sz w:val="24"/>
          <w:lang w:val="en-GB"/>
        </w:rPr>
        <w:t xml:space="preserve"> </w:t>
      </w:r>
      <w:r w:rsidR="00A30A5A" w:rsidRPr="00772E05">
        <w:rPr>
          <w:color w:val="000000" w:themeColor="text1"/>
          <w:sz w:val="24"/>
          <w:lang w:val="en-GB"/>
        </w:rPr>
        <w:tab/>
      </w:r>
      <w:proofErr w:type="spellStart"/>
      <w:r w:rsidRPr="00772E05">
        <w:rPr>
          <w:color w:val="000000" w:themeColor="text1"/>
          <w:sz w:val="24"/>
          <w:lang w:val="en-GB"/>
        </w:rPr>
        <w:t>Bøhn</w:t>
      </w:r>
      <w:proofErr w:type="spellEnd"/>
      <w:r w:rsidRPr="00772E05">
        <w:rPr>
          <w:color w:val="000000" w:themeColor="text1"/>
          <w:sz w:val="24"/>
          <w:lang w:val="en-GB"/>
        </w:rPr>
        <w:t xml:space="preserve">, T., </w:t>
      </w:r>
      <w:proofErr w:type="spellStart"/>
      <w:r w:rsidRPr="00772E05">
        <w:rPr>
          <w:color w:val="000000" w:themeColor="text1"/>
          <w:sz w:val="24"/>
          <w:lang w:val="en-GB"/>
        </w:rPr>
        <w:t>Macagnan</w:t>
      </w:r>
      <w:proofErr w:type="spellEnd"/>
      <w:r w:rsidRPr="00772E05">
        <w:rPr>
          <w:color w:val="000000" w:themeColor="text1"/>
          <w:sz w:val="24"/>
          <w:lang w:val="en-GB"/>
        </w:rPr>
        <w:t xml:space="preserve"> Rover, C., </w:t>
      </w:r>
      <w:proofErr w:type="spellStart"/>
      <w:r w:rsidRPr="00772E05">
        <w:rPr>
          <w:color w:val="000000" w:themeColor="text1"/>
          <w:sz w:val="24"/>
          <w:lang w:val="en-GB"/>
        </w:rPr>
        <w:t>Semenchuk</w:t>
      </w:r>
      <w:proofErr w:type="spellEnd"/>
      <w:r w:rsidRPr="00772E05">
        <w:rPr>
          <w:color w:val="000000" w:themeColor="text1"/>
          <w:sz w:val="24"/>
          <w:lang w:val="en-GB"/>
        </w:rPr>
        <w:t>, P. R.</w:t>
      </w:r>
      <w:proofErr w:type="gramStart"/>
      <w:r w:rsidRPr="00772E05">
        <w:rPr>
          <w:color w:val="000000" w:themeColor="text1"/>
          <w:sz w:val="24"/>
          <w:lang w:val="en-GB"/>
        </w:rPr>
        <w:t>, ”</w:t>
      </w:r>
      <w:proofErr w:type="gramEnd"/>
      <w:r w:rsidRPr="00772E05">
        <w:rPr>
          <w:color w:val="000000" w:themeColor="text1"/>
          <w:sz w:val="24"/>
          <w:lang w:val="en-GB"/>
        </w:rPr>
        <w:t xml:space="preserve">Daphnia magna negatively affected by chronic exposure to purified Cry-toxins”, Food and Chemical Toxicology, </w:t>
      </w:r>
      <w:proofErr w:type="spellStart"/>
      <w:r w:rsidRPr="00772E05">
        <w:rPr>
          <w:color w:val="000000" w:themeColor="text1"/>
          <w:sz w:val="24"/>
          <w:lang w:val="en-GB"/>
        </w:rPr>
        <w:t>toukokuu</w:t>
      </w:r>
      <w:proofErr w:type="spellEnd"/>
      <w:r w:rsidRPr="00772E05">
        <w:rPr>
          <w:color w:val="000000" w:themeColor="text1"/>
          <w:sz w:val="24"/>
          <w:lang w:val="en-GB"/>
        </w:rPr>
        <w:t xml:space="preserve"> 2016, Volume 91, s. 130–140, </w:t>
      </w:r>
      <w:hyperlink r:id="rId10" w:history="1">
        <w:r w:rsidRPr="00772E05">
          <w:rPr>
            <w:rStyle w:val="Hyperlink"/>
            <w:sz w:val="24"/>
            <w:lang w:val="en-GB"/>
          </w:rPr>
          <w:t>https://www.sciencedirect.com/science/article/pii/S0278691516300722</w:t>
        </w:r>
      </w:hyperlink>
      <w:r w:rsidRPr="00772E05">
        <w:rPr>
          <w:rStyle w:val="Hyperlink"/>
          <w:sz w:val="24"/>
          <w:lang w:val="en-GB"/>
        </w:rPr>
        <w:t>.</w:t>
      </w:r>
    </w:p>
  </w:footnote>
  <w:footnote w:id="10">
    <w:p w:rsidR="004D10DC" w:rsidRPr="00772E05" w:rsidRDefault="004D10DC" w:rsidP="00A30A5A">
      <w:pPr>
        <w:pStyle w:val="FootnoteText"/>
        <w:ind w:left="567" w:hanging="567"/>
        <w:rPr>
          <w:color w:val="000000" w:themeColor="text1"/>
          <w:sz w:val="24"/>
          <w:lang w:val="en-GB"/>
        </w:rPr>
      </w:pPr>
      <w:r w:rsidRPr="00A30A5A">
        <w:rPr>
          <w:rStyle w:val="Funotenzeichen"/>
          <w:color w:val="000000" w:themeColor="text1"/>
          <w:sz w:val="24"/>
          <w:lang w:val="fi-FI"/>
        </w:rPr>
        <w:footnoteRef/>
      </w:r>
      <w:r w:rsidR="00A30A5A" w:rsidRPr="00772E05">
        <w:rPr>
          <w:sz w:val="24"/>
          <w:lang w:val="en-GB"/>
        </w:rPr>
        <w:t xml:space="preserve"> </w:t>
      </w:r>
      <w:r w:rsidR="00A30A5A" w:rsidRPr="00772E05">
        <w:rPr>
          <w:sz w:val="24"/>
          <w:lang w:val="en-GB"/>
        </w:rPr>
        <w:tab/>
      </w:r>
      <w:hyperlink r:id="rId11" w:history="1">
        <w:r w:rsidRPr="00772E05">
          <w:rPr>
            <w:rStyle w:val="Hyperlink"/>
            <w:sz w:val="24"/>
            <w:lang w:val="en-GB"/>
          </w:rPr>
          <w:t>https://efsa.onlinelibrary.wiley.com/action/downloadSupplement?doi=10.2903%2Fj.‌efsa.2024.8716&amp;file=efs28716-sup-0012-Annex8.pdf</w:t>
        </w:r>
      </w:hyperlink>
      <w:r w:rsidRPr="00772E05">
        <w:rPr>
          <w:rStyle w:val="Hyperlink"/>
          <w:sz w:val="24"/>
          <w:lang w:val="en-GB"/>
        </w:rPr>
        <w:t>.</w:t>
      </w:r>
    </w:p>
  </w:footnote>
  <w:footnote w:id="11">
    <w:p w:rsidR="004D10DC" w:rsidRPr="00772E05" w:rsidRDefault="004D10DC" w:rsidP="00A30A5A">
      <w:pPr>
        <w:pStyle w:val="FootnoteText"/>
        <w:ind w:left="567" w:hanging="567"/>
        <w:rPr>
          <w:color w:val="000000" w:themeColor="text1"/>
          <w:sz w:val="24"/>
          <w:lang w:val="en-GB"/>
        </w:rPr>
      </w:pPr>
      <w:r w:rsidRPr="00A30A5A">
        <w:rPr>
          <w:rStyle w:val="Funotenzeichen"/>
          <w:color w:val="000000" w:themeColor="text1"/>
          <w:sz w:val="24"/>
          <w:lang w:val="fi-FI"/>
        </w:rPr>
        <w:footnoteRef/>
      </w:r>
      <w:r w:rsidR="00A30A5A" w:rsidRPr="00772E05">
        <w:rPr>
          <w:color w:val="000000" w:themeColor="text1"/>
          <w:sz w:val="24"/>
          <w:lang w:val="en-GB"/>
        </w:rPr>
        <w:t xml:space="preserve"> </w:t>
      </w:r>
      <w:r w:rsidR="00A30A5A" w:rsidRPr="00772E05">
        <w:rPr>
          <w:color w:val="000000" w:themeColor="text1"/>
          <w:sz w:val="24"/>
          <w:lang w:val="en-GB"/>
        </w:rPr>
        <w:tab/>
      </w:r>
      <w:r w:rsidRPr="00772E05">
        <w:rPr>
          <w:color w:val="000000" w:themeColor="text1"/>
          <w:sz w:val="24"/>
          <w:lang w:val="en-GB"/>
        </w:rPr>
        <w:t xml:space="preserve">”Strategic Dialogue on the Future of EU Agriculture - A shared prospect for farming and food in Europe”, </w:t>
      </w:r>
      <w:proofErr w:type="spellStart"/>
      <w:r w:rsidRPr="00772E05">
        <w:rPr>
          <w:color w:val="000000" w:themeColor="text1"/>
          <w:sz w:val="24"/>
          <w:lang w:val="en-GB"/>
        </w:rPr>
        <w:t>syyskuu</w:t>
      </w:r>
      <w:proofErr w:type="spellEnd"/>
      <w:r w:rsidRPr="00772E05">
        <w:rPr>
          <w:color w:val="000000" w:themeColor="text1"/>
          <w:sz w:val="24"/>
          <w:lang w:val="en-GB"/>
        </w:rPr>
        <w:t xml:space="preserve"> 2024, </w:t>
      </w:r>
      <w:hyperlink r:id="rId12" w:history="1">
        <w:r w:rsidRPr="00772E05">
          <w:rPr>
            <w:rStyle w:val="Hyperlink"/>
            <w:sz w:val="24"/>
            <w:lang w:val="en-GB"/>
          </w:rPr>
          <w:t>https://agriculture.ec.europa.eu/document/download/171329ff-0f50-4fa5-946f-aea11032172e_en?filename=strategic-dialogue-report-2024_en.pdf</w:t>
        </w:r>
      </w:hyperlink>
      <w:r w:rsidRPr="00772E05">
        <w:rPr>
          <w:rStyle w:val="Hyperlink"/>
          <w:sz w:val="24"/>
          <w:lang w:val="en-GB"/>
        </w:rPr>
        <w:t>.</w:t>
      </w:r>
    </w:p>
  </w:footnote>
  <w:footnote w:id="12">
    <w:p w:rsidR="004D10DC" w:rsidRPr="00772E05" w:rsidRDefault="004D10DC" w:rsidP="00A30A5A">
      <w:pPr>
        <w:pStyle w:val="FootnoteText"/>
        <w:ind w:left="567" w:hanging="567"/>
        <w:rPr>
          <w:color w:val="000000" w:themeColor="text1"/>
          <w:sz w:val="24"/>
          <w:lang w:val="en-GB"/>
        </w:rPr>
      </w:pPr>
      <w:r w:rsidRPr="00A30A5A">
        <w:rPr>
          <w:rStyle w:val="Funotenzeichen"/>
          <w:color w:val="000000" w:themeColor="text1"/>
          <w:sz w:val="24"/>
          <w:lang w:val="fi-FI"/>
        </w:rPr>
        <w:footnoteRef/>
      </w:r>
      <w:r w:rsidR="00A30A5A" w:rsidRPr="00772E05">
        <w:rPr>
          <w:sz w:val="24"/>
          <w:lang w:val="en-GB"/>
        </w:rPr>
        <w:t xml:space="preserve"> </w:t>
      </w:r>
      <w:r w:rsidR="00A30A5A" w:rsidRPr="00772E05">
        <w:rPr>
          <w:sz w:val="24"/>
          <w:lang w:val="en-GB"/>
        </w:rPr>
        <w:tab/>
      </w:r>
      <w:hyperlink r:id="rId13" w:history="1">
        <w:r w:rsidRPr="00772E05">
          <w:rPr>
            <w:rStyle w:val="Hyperlink"/>
            <w:sz w:val="24"/>
            <w:lang w:val="en-GB"/>
          </w:rPr>
          <w:t>https://www.ohchr.org/en/documents/thematic-reports/ahrc3448-report-special-rapporteur-right-food</w:t>
        </w:r>
      </w:hyperlink>
      <w:r w:rsidRPr="00772E05">
        <w:rPr>
          <w:color w:val="000000" w:themeColor="text1"/>
          <w:sz w:val="24"/>
          <w:lang w:val="en-GB"/>
        </w:rPr>
        <w:t>.</w:t>
      </w:r>
    </w:p>
  </w:footnote>
  <w:footnote w:id="13">
    <w:p w:rsidR="004D10DC" w:rsidRPr="00B6576D" w:rsidRDefault="004D10DC" w:rsidP="00A30A5A">
      <w:pPr>
        <w:pStyle w:val="FootnoteText"/>
        <w:ind w:left="567" w:hanging="567"/>
        <w:rPr>
          <w:sz w:val="24"/>
          <w:lang w:val="en-GB"/>
        </w:rPr>
      </w:pPr>
      <w:r w:rsidRPr="00A30A5A">
        <w:rPr>
          <w:rStyle w:val="FootnoteReference"/>
          <w:sz w:val="24"/>
          <w:lang w:val="fi-FI"/>
        </w:rPr>
        <w:footnoteRef/>
      </w:r>
      <w:r w:rsidR="00A30A5A" w:rsidRPr="00B6576D">
        <w:rPr>
          <w:sz w:val="24"/>
          <w:lang w:val="en-GB"/>
        </w:rPr>
        <w:t xml:space="preserve"> </w:t>
      </w:r>
      <w:r w:rsidR="00A30A5A" w:rsidRPr="00B6576D">
        <w:rPr>
          <w:sz w:val="24"/>
          <w:lang w:val="en-GB"/>
        </w:rPr>
        <w:tab/>
      </w:r>
      <w:hyperlink r:id="rId14" w:history="1">
        <w:r w:rsidRPr="00B6576D">
          <w:rPr>
            <w:rStyle w:val="Hyperlink"/>
            <w:sz w:val="24"/>
            <w:lang w:val="en-GB"/>
          </w:rPr>
          <w:t>https://indicators.report/targets/3-9/</w:t>
        </w:r>
      </w:hyperlink>
      <w:r w:rsidRPr="00B6576D">
        <w:rPr>
          <w:rStyle w:val="Hyperlink"/>
          <w:sz w:val="24"/>
          <w:lang w:val="en-GB"/>
        </w:rPr>
        <w:t>.</w:t>
      </w:r>
    </w:p>
  </w:footnote>
  <w:footnote w:id="14">
    <w:p w:rsidR="004D10DC" w:rsidRPr="00772E05" w:rsidRDefault="004D10DC" w:rsidP="00A30A5A">
      <w:pPr>
        <w:pStyle w:val="FootnoteText"/>
        <w:ind w:left="567" w:hanging="567"/>
        <w:rPr>
          <w:color w:val="000000" w:themeColor="text1"/>
          <w:sz w:val="24"/>
        </w:rPr>
      </w:pPr>
      <w:r w:rsidRPr="00A30A5A">
        <w:rPr>
          <w:rStyle w:val="Funotenzeichen"/>
          <w:color w:val="000000" w:themeColor="text1"/>
          <w:sz w:val="24"/>
          <w:lang w:val="fi-FI"/>
        </w:rPr>
        <w:footnoteRef/>
      </w:r>
      <w:r w:rsidR="00A30A5A" w:rsidRPr="00772E05">
        <w:rPr>
          <w:sz w:val="24"/>
          <w:lang w:val="pl-PL"/>
        </w:rPr>
        <w:t xml:space="preserve"> </w:t>
      </w:r>
      <w:r w:rsidR="00A30A5A" w:rsidRPr="00772E05">
        <w:rPr>
          <w:sz w:val="24"/>
          <w:lang w:val="pl-PL"/>
        </w:rPr>
        <w:tab/>
      </w:r>
      <w:r w:rsidRPr="00772E05">
        <w:rPr>
          <w:sz w:val="24"/>
          <w:lang w:val="pl-PL"/>
        </w:rPr>
        <w:t xml:space="preserve">Ks. </w:t>
      </w:r>
      <w:hyperlink r:id="rId15" w:history="1">
        <w:r w:rsidRPr="00772E05">
          <w:rPr>
            <w:rStyle w:val="Hyperlink"/>
            <w:sz w:val="24"/>
          </w:rPr>
          <w:t>https://ec.europa.eu/commission/presscorner/detail/en/ip_22_7834</w:t>
        </w:r>
      </w:hyperlink>
      <w:r w:rsidRPr="00772E05">
        <w:rPr>
          <w:sz w:val="24"/>
        </w:rPr>
        <w:t>.</w:t>
      </w:r>
    </w:p>
  </w:footnote>
  <w:footnote w:id="15">
    <w:p w:rsidR="004D10DC" w:rsidRPr="00772E05" w:rsidRDefault="004D10DC" w:rsidP="00A30A5A">
      <w:pPr>
        <w:pStyle w:val="FootnoteText"/>
        <w:ind w:left="567" w:hanging="567"/>
        <w:rPr>
          <w:color w:val="000000" w:themeColor="text1"/>
          <w:sz w:val="24"/>
        </w:rPr>
      </w:pPr>
      <w:r w:rsidRPr="00A30A5A">
        <w:rPr>
          <w:rStyle w:val="Funotenzeichen"/>
          <w:color w:val="000000" w:themeColor="text1"/>
          <w:sz w:val="24"/>
          <w:lang w:val="fi-FI"/>
        </w:rPr>
        <w:footnoteRef/>
      </w:r>
      <w:r w:rsidR="00A30A5A" w:rsidRPr="00772E05">
        <w:rPr>
          <w:sz w:val="24"/>
        </w:rPr>
        <w:t xml:space="preserve"> </w:t>
      </w:r>
      <w:r w:rsidR="00A30A5A" w:rsidRPr="00772E05">
        <w:rPr>
          <w:sz w:val="24"/>
        </w:rPr>
        <w:tab/>
      </w:r>
      <w:hyperlink r:id="rId16" w:history="1">
        <w:r w:rsidRPr="00772E05">
          <w:rPr>
            <w:rStyle w:val="Hyperlink"/>
            <w:sz w:val="24"/>
          </w:rPr>
          <w:t>https://commission.europa.eu/document/2c64e540-c07a-4376-a1da-368d289f4afe_en</w:t>
        </w:r>
      </w:hyperlink>
      <w:r w:rsidRPr="00772E05">
        <w:rPr>
          <w:rStyle w:val="Hyperlink"/>
          <w:color w:val="000000" w:themeColor="text1"/>
          <w:sz w:val="24"/>
        </w:rPr>
        <w:t>.</w:t>
      </w:r>
    </w:p>
  </w:footnote>
  <w:footnote w:id="16">
    <w:p w:rsidR="004D10DC" w:rsidRPr="00A30A5A" w:rsidRDefault="004D10DC" w:rsidP="00A30A5A">
      <w:pPr>
        <w:pStyle w:val="FootnoteText"/>
        <w:ind w:left="567" w:hanging="567"/>
        <w:rPr>
          <w:color w:val="000000" w:themeColor="text1"/>
          <w:sz w:val="24"/>
          <w:lang w:val="fi-FI"/>
        </w:rPr>
      </w:pPr>
      <w:r w:rsidRPr="00A30A5A">
        <w:rPr>
          <w:rStyle w:val="Funotenzeichen"/>
          <w:color w:val="000000" w:themeColor="text1"/>
          <w:sz w:val="24"/>
          <w:lang w:val="fi-FI"/>
        </w:rPr>
        <w:footnoteRef/>
      </w:r>
      <w:r w:rsidR="00A30A5A" w:rsidRPr="00A30A5A">
        <w:rPr>
          <w:color w:val="000000" w:themeColor="text1"/>
          <w:sz w:val="24"/>
          <w:lang w:val="fi-FI"/>
        </w:rPr>
        <w:t xml:space="preserve"> </w:t>
      </w:r>
      <w:r w:rsidR="00A30A5A" w:rsidRPr="00A30A5A">
        <w:rPr>
          <w:color w:val="000000" w:themeColor="text1"/>
          <w:sz w:val="24"/>
          <w:lang w:val="fi-FI"/>
        </w:rPr>
        <w:tab/>
      </w:r>
      <w:r w:rsidRPr="00A30A5A">
        <w:rPr>
          <w:color w:val="000000" w:themeColor="text1"/>
          <w:sz w:val="24"/>
          <w:lang w:val="fi-FI"/>
        </w:rPr>
        <w:t xml:space="preserve">Asetuksen (EU) </w:t>
      </w:r>
      <w:proofErr w:type="gramStart"/>
      <w:r w:rsidRPr="00A30A5A">
        <w:rPr>
          <w:color w:val="000000" w:themeColor="text1"/>
          <w:sz w:val="24"/>
          <w:lang w:val="fi-FI"/>
        </w:rPr>
        <w:t>N:o</w:t>
      </w:r>
      <w:proofErr w:type="gramEnd"/>
      <w:r w:rsidRPr="00A30A5A">
        <w:rPr>
          <w:color w:val="000000" w:themeColor="text1"/>
          <w:sz w:val="24"/>
          <w:lang w:val="fi-FI"/>
        </w:rPr>
        <w:t> 182/2011 6 artiklan 3 kohdan mukaisesti komissio ”voi hyväksyä” luvan – eikä ”hyväksyy” luvan –, jos jäsenvaltiot eivät muutoksenhakukomiteassa anna määräenemmistöllä puoltavaa lausuntoa.</w:t>
      </w:r>
    </w:p>
  </w:footnote>
  <w:footnote w:id="17">
    <w:p w:rsidR="004D10DC" w:rsidRPr="00A30A5A" w:rsidRDefault="004D10DC" w:rsidP="00A30A5A">
      <w:pPr>
        <w:pStyle w:val="FootnoteText"/>
        <w:ind w:left="567" w:hanging="567"/>
        <w:rPr>
          <w:color w:val="000000" w:themeColor="text1"/>
          <w:sz w:val="24"/>
          <w:lang w:val="fi-FI"/>
        </w:rPr>
      </w:pPr>
      <w:r w:rsidRPr="00A30A5A">
        <w:rPr>
          <w:rStyle w:val="Funotenzeichen"/>
          <w:color w:val="000000" w:themeColor="text1"/>
          <w:sz w:val="24"/>
          <w:lang w:val="fi-FI"/>
        </w:rPr>
        <w:footnoteRef/>
      </w:r>
      <w:r w:rsidR="00A30A5A" w:rsidRPr="00A30A5A">
        <w:rPr>
          <w:color w:val="000000" w:themeColor="text1"/>
          <w:sz w:val="24"/>
          <w:lang w:val="fi-FI"/>
        </w:rPr>
        <w:t xml:space="preserve"> </w:t>
      </w:r>
      <w:r w:rsidR="00A30A5A" w:rsidRPr="00A30A5A">
        <w:rPr>
          <w:color w:val="000000" w:themeColor="text1"/>
          <w:sz w:val="24"/>
          <w:lang w:val="fi-FI"/>
        </w:rPr>
        <w:tab/>
      </w:r>
      <w:r w:rsidRPr="00A30A5A">
        <w:rPr>
          <w:color w:val="000000" w:themeColor="text1"/>
          <w:sz w:val="24"/>
          <w:lang w:val="fi-FI"/>
        </w:rPr>
        <w:t>Euroopan parlamentin ja neuvoston asetus (EY) N:o 178/2002, annettu 28. tammikuuta 2002, elintarvikelainsäädäntöä koskevista yleisistä periaatteista ja vaatimuksista, Euroopan elintarviketurvallisuusviranomaisen perustamisesta sekä elintarvikkeiden turvallisuuteen liittyvistä menettelyistä (EYVL L 31, 1.2.2002, s. 1, ELI</w:t>
      </w:r>
      <w:r w:rsidRPr="008B36A0">
        <w:rPr>
          <w:rStyle w:val="Hyperlink"/>
          <w:lang w:val="fi-FI"/>
        </w:rPr>
        <w:t>: </w:t>
      </w:r>
      <w:hyperlink r:id="rId17" w:tgtFrame="Gives access to this document through its ELI URI." w:history="1">
        <w:r w:rsidRPr="008B36A0">
          <w:rPr>
            <w:rStyle w:val="Hyperlink"/>
            <w:sz w:val="24"/>
            <w:lang w:val="fi-FI"/>
          </w:rPr>
          <w:t>http://data.europa.eu/eli/reg/2002/178/oj</w:t>
        </w:r>
      </w:hyperlink>
      <w:r w:rsidRPr="00A30A5A">
        <w:rPr>
          <w:color w:val="000000" w:themeColor="text1"/>
          <w:sz w:val="24"/>
          <w:lang w:val="fi-FI"/>
        </w:rPr>
        <w:t>).</w:t>
      </w:r>
    </w:p>
  </w:footnote>
  <w:footnote w:id="18">
    <w:p w:rsidR="004D10DC" w:rsidRPr="00A30A5A" w:rsidRDefault="004D10DC" w:rsidP="00A30A5A">
      <w:pPr>
        <w:pStyle w:val="FootnoteText"/>
        <w:ind w:left="567" w:hanging="567"/>
        <w:rPr>
          <w:color w:val="000000" w:themeColor="text1"/>
          <w:sz w:val="24"/>
          <w:lang w:val="fi-FI"/>
        </w:rPr>
      </w:pPr>
      <w:r w:rsidRPr="00A30A5A">
        <w:rPr>
          <w:rStyle w:val="FootnoteReference"/>
          <w:color w:val="000000" w:themeColor="text1"/>
          <w:sz w:val="24"/>
          <w:lang w:val="fi-FI"/>
        </w:rPr>
        <w:footnoteRef/>
      </w:r>
      <w:r w:rsidR="00A30A5A" w:rsidRPr="00A30A5A">
        <w:rPr>
          <w:color w:val="000000" w:themeColor="text1"/>
          <w:sz w:val="24"/>
          <w:lang w:val="fi-FI"/>
        </w:rPr>
        <w:t xml:space="preserve"> </w:t>
      </w:r>
      <w:r w:rsidR="00A30A5A" w:rsidRPr="00A30A5A">
        <w:rPr>
          <w:color w:val="000000" w:themeColor="text1"/>
          <w:sz w:val="24"/>
          <w:lang w:val="fi-FI"/>
        </w:rPr>
        <w:tab/>
      </w:r>
      <w:r w:rsidRPr="00A30A5A">
        <w:rPr>
          <w:color w:val="000000" w:themeColor="text1"/>
          <w:sz w:val="24"/>
          <w:lang w:val="fi-FI"/>
        </w:rPr>
        <w:t xml:space="preserve">Kuten esitetään 14. lokakuuta 2020 annetun komission tiedonannon ”Kestävyyttä edistävä kemikaalistrategia – Kohti myrkytöntä ympäristöä” (COM(2020)0667) liitteessä, </w:t>
      </w:r>
      <w:hyperlink r:id="rId18" w:anchor="document2" w:history="1">
        <w:r w:rsidRPr="008B36A0">
          <w:rPr>
            <w:rStyle w:val="Hyperlink"/>
            <w:sz w:val="24"/>
            <w:lang w:val="fi-FI"/>
          </w:rPr>
          <w:t>https://eur-lex.europa.eu/legal-content/FI/TXT/?uri=COM%3A2020%3A667%3AFIN#document2</w:t>
        </w:r>
      </w:hyperlink>
      <w:r w:rsidRPr="00A30A5A">
        <w:rPr>
          <w:color w:val="000000" w:themeColor="text1"/>
          <w:sz w:val="24"/>
          <w:lang w:val="fi-FI"/>
        </w:rPr>
        <w:t xml:space="preserve">. </w:t>
      </w:r>
    </w:p>
  </w:footnote>
  <w:footnote w:id="19">
    <w:p w:rsidR="004D10DC" w:rsidRPr="00A30A5A" w:rsidRDefault="004D10DC" w:rsidP="00A30A5A">
      <w:pPr>
        <w:pStyle w:val="FootnoteText"/>
        <w:ind w:left="567" w:hanging="567"/>
        <w:rPr>
          <w:color w:val="000000" w:themeColor="text1"/>
          <w:sz w:val="24"/>
          <w:lang w:val="fi-FI"/>
        </w:rPr>
      </w:pPr>
      <w:r w:rsidRPr="00A30A5A">
        <w:rPr>
          <w:rStyle w:val="Funotenzeichen"/>
          <w:color w:val="000000" w:themeColor="text1"/>
          <w:sz w:val="24"/>
          <w:lang w:val="fi-FI"/>
        </w:rPr>
        <w:footnoteRef/>
      </w:r>
      <w:r w:rsidR="00A30A5A" w:rsidRPr="00A30A5A">
        <w:rPr>
          <w:sz w:val="24"/>
          <w:lang w:val="fi-FI"/>
        </w:rPr>
        <w:t xml:space="preserve"> </w:t>
      </w:r>
      <w:r w:rsidR="00A30A5A" w:rsidRPr="00A30A5A">
        <w:rPr>
          <w:sz w:val="24"/>
          <w:lang w:val="fi-FI"/>
        </w:rPr>
        <w:tab/>
      </w:r>
      <w:hyperlink r:id="rId19" w:history="1">
        <w:r w:rsidRPr="008B36A0">
          <w:rPr>
            <w:rStyle w:val="Hyperlink"/>
            <w:sz w:val="24"/>
            <w:lang w:val="fi-FI"/>
          </w:rPr>
          <w:t>https://tillymetz.lu/wp-content/uploads/2020/09/Co-signed-letter-MEP-Metz.pdf</w:t>
        </w:r>
      </w:hyperlink>
      <w:r w:rsidRPr="00A30A5A">
        <w:rPr>
          <w:rStyle w:val="Hyperlink"/>
          <w:color w:val="000000" w:themeColor="text1"/>
          <w:sz w:val="24"/>
          <w:lang w:val="fi-FI"/>
        </w:rPr>
        <w:t>.</w:t>
      </w:r>
    </w:p>
  </w:footnote>
  <w:footnote w:id="20">
    <w:p w:rsidR="004D10DC" w:rsidRPr="00A30A5A" w:rsidRDefault="004D10DC" w:rsidP="00A30A5A">
      <w:pPr>
        <w:pStyle w:val="FootnoteText"/>
        <w:ind w:left="567" w:hanging="567"/>
        <w:rPr>
          <w:color w:val="000000" w:themeColor="text1"/>
          <w:sz w:val="24"/>
          <w:lang w:val="fi-FI"/>
        </w:rPr>
      </w:pPr>
      <w:r w:rsidRPr="00A30A5A">
        <w:rPr>
          <w:rStyle w:val="Funotenzeichen"/>
          <w:color w:val="000000" w:themeColor="text1"/>
          <w:sz w:val="24"/>
          <w:lang w:val="fi-FI"/>
        </w:rPr>
        <w:footnoteRef/>
      </w:r>
      <w:r w:rsidR="00A30A5A" w:rsidRPr="00A30A5A">
        <w:rPr>
          <w:color w:val="000000" w:themeColor="text1"/>
          <w:sz w:val="24"/>
          <w:lang w:val="fi-FI"/>
        </w:rPr>
        <w:t xml:space="preserve"> </w:t>
      </w:r>
      <w:r w:rsidR="00A30A5A" w:rsidRPr="00A30A5A">
        <w:rPr>
          <w:color w:val="000000" w:themeColor="text1"/>
          <w:sz w:val="24"/>
          <w:lang w:val="fi-FI"/>
        </w:rPr>
        <w:tab/>
      </w:r>
      <w:r w:rsidRPr="00A30A5A">
        <w:rPr>
          <w:color w:val="000000" w:themeColor="text1"/>
          <w:sz w:val="24"/>
          <w:lang w:val="fi-FI"/>
        </w:rPr>
        <w:t>Euroopan parlamentin päätöslauselma, annettu 15. tammikuuta 2020, Euroopan vihreän kehityksen ohjelmasta (EUVL C 270, 7.7.2021, s. 2), 102 kohta.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1/2025"/>
    <w:docVar w:name="dvlangue" w:val="FI"/>
    <w:docVar w:name="dvnumam" w:val="0"/>
    <w:docVar w:name="dvpe" w:val="766.932"/>
    <w:docVar w:name="dvtitre" w:val="Euroopan parlamentin päätöslauselma xx. helmikuuta 2025 ehdotuksesta komission täytäntöönpanopäätökseksi luvan antamisesta muuntogeenistä maissia DP910521 sisältävien, siitä koostuvien tai siitä valmistettujen tuotteiden saattamiseksi markkinoille Euroopan parlamentin ja neuvoston asetuksen (EY) N:o 1829/2003 mukaisesti(D102174/03 – 2024/3010(RSP))"/>
  </w:docVars>
  <w:rsids>
    <w:rsidRoot w:val="007C06BB"/>
    <w:rsid w:val="00002272"/>
    <w:rsid w:val="000117C1"/>
    <w:rsid w:val="00064002"/>
    <w:rsid w:val="000677B9"/>
    <w:rsid w:val="000831BA"/>
    <w:rsid w:val="000A42CC"/>
    <w:rsid w:val="000E7DD9"/>
    <w:rsid w:val="0010095E"/>
    <w:rsid w:val="00125B37"/>
    <w:rsid w:val="00186E7A"/>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10DC"/>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2E05"/>
    <w:rsid w:val="00786EC0"/>
    <w:rsid w:val="007C06BB"/>
    <w:rsid w:val="007D1690"/>
    <w:rsid w:val="007E22AD"/>
    <w:rsid w:val="00817416"/>
    <w:rsid w:val="00842779"/>
    <w:rsid w:val="00865F67"/>
    <w:rsid w:val="00881A7B"/>
    <w:rsid w:val="008840E5"/>
    <w:rsid w:val="00887B3E"/>
    <w:rsid w:val="008B36A0"/>
    <w:rsid w:val="008C2AC6"/>
    <w:rsid w:val="00930C23"/>
    <w:rsid w:val="0093193B"/>
    <w:rsid w:val="009509D8"/>
    <w:rsid w:val="00950B64"/>
    <w:rsid w:val="00981893"/>
    <w:rsid w:val="00A1687D"/>
    <w:rsid w:val="00A30A5A"/>
    <w:rsid w:val="00A43E52"/>
    <w:rsid w:val="00A4678D"/>
    <w:rsid w:val="00A778C7"/>
    <w:rsid w:val="00AB441E"/>
    <w:rsid w:val="00AB6293"/>
    <w:rsid w:val="00AE0928"/>
    <w:rsid w:val="00AF3B82"/>
    <w:rsid w:val="00B12E95"/>
    <w:rsid w:val="00B22876"/>
    <w:rsid w:val="00B558F0"/>
    <w:rsid w:val="00B6576D"/>
    <w:rsid w:val="00BD48FE"/>
    <w:rsid w:val="00BD7BD8"/>
    <w:rsid w:val="00BE6ADC"/>
    <w:rsid w:val="00C05BFE"/>
    <w:rsid w:val="00C23CD4"/>
    <w:rsid w:val="00C30A4F"/>
    <w:rsid w:val="00C61C0C"/>
    <w:rsid w:val="00C941CB"/>
    <w:rsid w:val="00CC2357"/>
    <w:rsid w:val="00CE2041"/>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A209A75-A321-4E6A-A52A-EECB4601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6A0"/>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4D10DC"/>
    <w:pPr>
      <w:spacing w:before="480" w:after="240"/>
    </w:pPr>
  </w:style>
  <w:style w:type="paragraph" w:customStyle="1" w:styleId="NormalHanging12a">
    <w:name w:val="NormalHanging12a"/>
    <w:basedOn w:val="Normal"/>
    <w:qFormat/>
    <w:rsid w:val="004D10DC"/>
    <w:pPr>
      <w:spacing w:after="240"/>
      <w:ind w:left="567" w:hanging="567"/>
    </w:pPr>
  </w:style>
  <w:style w:type="character" w:styleId="Hyperlink">
    <w:name w:val="Hyperlink"/>
    <w:basedOn w:val="DefaultParagraphFont"/>
    <w:uiPriority w:val="99"/>
    <w:rsid w:val="004D10DC"/>
    <w:rPr>
      <w:color w:val="0563C1" w:themeColor="hyperlink"/>
      <w:u w:val="single"/>
    </w:rPr>
  </w:style>
  <w:style w:type="character" w:customStyle="1" w:styleId="Funotenzeichen">
    <w:name w:val="Fußnotenzeichen"/>
    <w:qFormat/>
    <w:rsid w:val="004D10DC"/>
    <w:rPr>
      <w:vertAlign w:val="superscript"/>
    </w:rPr>
  </w:style>
  <w:style w:type="paragraph" w:styleId="Footer">
    <w:name w:val="footer"/>
    <w:basedOn w:val="Normal"/>
    <w:link w:val="FooterChar"/>
    <w:rsid w:val="008B36A0"/>
    <w:pPr>
      <w:tabs>
        <w:tab w:val="center" w:pos="4513"/>
        <w:tab w:val="right" w:pos="9026"/>
      </w:tabs>
    </w:pPr>
  </w:style>
  <w:style w:type="character" w:customStyle="1" w:styleId="FooterChar">
    <w:name w:val="Footer Char"/>
    <w:basedOn w:val="DefaultParagraphFont"/>
    <w:link w:val="Footer"/>
    <w:rsid w:val="008B36A0"/>
    <w:rPr>
      <w:sz w:val="24"/>
      <w:lang w:val="fi-FI"/>
    </w:rPr>
  </w:style>
  <w:style w:type="paragraph" w:styleId="BalloonText">
    <w:name w:val="Balloon Text"/>
    <w:basedOn w:val="Normal"/>
    <w:link w:val="BalloonTextChar"/>
    <w:rsid w:val="00186E7A"/>
    <w:rPr>
      <w:rFonts w:ascii="Segoe UI" w:hAnsi="Segoe UI" w:cs="Segoe UI"/>
      <w:sz w:val="18"/>
      <w:szCs w:val="18"/>
    </w:rPr>
  </w:style>
  <w:style w:type="character" w:customStyle="1" w:styleId="BalloonTextChar">
    <w:name w:val="Balloon Text Char"/>
    <w:basedOn w:val="DefaultParagraphFont"/>
    <w:link w:val="BalloonText"/>
    <w:rsid w:val="00186E7A"/>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www.ohchr.org/en/documents/thematic-reports/ahrc3448-report-special-rapporteur-right-food" TargetMode="External"/><Relationship Id="rId18" Type="http://schemas.openxmlformats.org/officeDocument/2006/relationships/hyperlink" Target="https://eur-lex.europa.eu/legal-content/FI/TXT/?uri=COM:2020:667:FIN" TargetMode="External"/><Relationship Id="rId3" Type="http://schemas.openxmlformats.org/officeDocument/2006/relationships/hyperlink" Target="https://doi.org/10.2903/j.efsa.2024.8887" TargetMode="External"/><Relationship Id="rId7" Type="http://schemas.openxmlformats.org/officeDocument/2006/relationships/hyperlink" Target="https://www.ncbi.nlm.nih.gov/pubmed/26296738" TargetMode="External"/><Relationship Id="rId12" Type="http://schemas.openxmlformats.org/officeDocument/2006/relationships/hyperlink" Target="https://agriculture.ec.europa.eu/document/download/171329ff-0f50-4fa5-946f-aea11032172e_en?filename=strategic-dialogue-report-2024_en.pdf" TargetMode="External"/><Relationship Id="rId17"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reg/2003/1829/oj" TargetMode="External"/><Relationship Id="rId6" Type="http://schemas.openxmlformats.org/officeDocument/2006/relationships/hyperlink" Target="https://doi.org/10.1126/science.abe1148" TargetMode="External"/><Relationship Id="rId11" Type="http://schemas.openxmlformats.org/officeDocument/2006/relationships/hyperlink" Target="https://efsa.onlinelibrary.wiley.com/action/downloadSupplement?doi=10.2903/j.efsa.2024.8716&amp;file=efs28716-sup-0012-Annex8.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ec.europa.eu/commission/presscorner/detail/en/ip_22_7834" TargetMode="External"/><Relationship Id="rId10" Type="http://schemas.openxmlformats.org/officeDocument/2006/relationships/hyperlink" Target="https://www.sciencedirect.com/science/article/pii/S0278691516300722?via=ihub" TargetMode="External"/><Relationship Id="rId19" Type="http://schemas.openxmlformats.org/officeDocument/2006/relationships/hyperlink" Target="https://tillymetz.lu/wp-content/uploads/2020/09/Co-signed-letter-MEP-Metz.pdf" TargetMode="External"/><Relationship Id="rId4" Type="http://schemas.openxmlformats.org/officeDocument/2006/relationships/hyperlink" Target="https://eur-lex.europa.eu/eli/reg/2009/1107/oj" TargetMode="External"/><Relationship Id="rId9" Type="http://schemas.openxmlformats.org/officeDocument/2006/relationships/hyperlink" Target="https://onlinelibrary.wiley.com/doi/full/10.1002/jat.3252" TargetMode="External"/><Relationship Id="rId14" Type="http://schemas.openxmlformats.org/officeDocument/2006/relationships/hyperlink" Target="https://indicators.report/targets/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60C37-1EE2-4684-9FB2-60F951735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1701</Words>
  <Characters>14649</Characters>
  <Application>Microsoft Office Word</Application>
  <DocSecurity>0</DocSecurity>
  <Lines>122</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2025-02-12T13:38:00Z</dcterms:created>
  <dcterms:modified xsi:type="dcterms:W3CDTF">2025-02-12T13:38:00Z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B10-0061/2025</vt:lpwstr>
  </property>
  <property fmtid="{D5CDD505-2E9C-101B-9397-08002B2CF9AE}" pid="4" name="&lt;Type&gt;">
    <vt:lpwstr>RR</vt:lpwstr>
  </property>
</Properties>
</file>