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0001" w:rsidTr="0010095E">
        <w:trPr>
          <w:trHeight w:hRule="exact" w:val="1418"/>
        </w:trPr>
        <w:tc>
          <w:tcPr>
            <w:tcW w:w="6804" w:type="dxa"/>
            <w:shd w:val="clear" w:color="auto" w:fill="auto"/>
            <w:vAlign w:val="center"/>
          </w:tcPr>
          <w:p w:rsidR="00751A4A" w:rsidRPr="00E40001" w:rsidRDefault="00FE4D3F" w:rsidP="0010095E">
            <w:pPr>
              <w:pStyle w:val="EPName"/>
            </w:pPr>
            <w:r w:rsidRPr="00E40001">
              <w:t>Europski parlament</w:t>
            </w:r>
          </w:p>
          <w:p w:rsidR="00751A4A" w:rsidRPr="00E40001" w:rsidRDefault="005F1B17" w:rsidP="005F1B17">
            <w:pPr>
              <w:pStyle w:val="EPTerm"/>
              <w:rPr>
                <w:rStyle w:val="HideTWBExt"/>
                <w:noProof w:val="0"/>
                <w:vanish w:val="0"/>
                <w:color w:val="auto"/>
              </w:rPr>
            </w:pPr>
            <w:r w:rsidRPr="00E40001">
              <w:t>2024</w:t>
            </w:r>
            <w:r w:rsidR="00817416" w:rsidRPr="00E40001">
              <w:t>-202</w:t>
            </w:r>
            <w:r w:rsidRPr="00E40001">
              <w:t>9</w:t>
            </w:r>
          </w:p>
        </w:tc>
        <w:tc>
          <w:tcPr>
            <w:tcW w:w="2268" w:type="dxa"/>
            <w:shd w:val="clear" w:color="auto" w:fill="auto"/>
          </w:tcPr>
          <w:p w:rsidR="00751A4A" w:rsidRPr="00E40001" w:rsidRDefault="00187494" w:rsidP="0010095E">
            <w:pPr>
              <w:pStyle w:val="EPLogo"/>
            </w:pPr>
            <w:r w:rsidRPr="00E40001">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0001" w:rsidRDefault="00D058B8" w:rsidP="004C5D52">
      <w:pPr>
        <w:pStyle w:val="LineTop"/>
      </w:pPr>
    </w:p>
    <w:p w:rsidR="00680577" w:rsidRPr="00E40001" w:rsidRDefault="00FE4D3F" w:rsidP="00680577">
      <w:pPr>
        <w:pStyle w:val="EPBodyTA1"/>
      </w:pPr>
      <w:r w:rsidRPr="00E40001">
        <w:t>USVOJENI TEKSTOVI</w:t>
      </w:r>
    </w:p>
    <w:p w:rsidR="00D058B8" w:rsidRPr="00E40001" w:rsidRDefault="00D058B8" w:rsidP="00D058B8">
      <w:pPr>
        <w:pStyle w:val="LineBottom"/>
      </w:pPr>
    </w:p>
    <w:p w:rsidR="00FE4D3F" w:rsidRPr="00E40001" w:rsidRDefault="00FE4D3F" w:rsidP="00FE4D3F">
      <w:pPr>
        <w:pStyle w:val="ATHeading1"/>
      </w:pPr>
      <w:bookmarkStart w:id="0" w:name="TANumber"/>
      <w:r w:rsidRPr="00E40001">
        <w:t>P10_TA(2025)00</w:t>
      </w:r>
      <w:bookmarkEnd w:id="0"/>
      <w:r w:rsidR="003769D8" w:rsidRPr="00E40001">
        <w:t>14</w:t>
      </w:r>
    </w:p>
    <w:p w:rsidR="00FE4D3F" w:rsidRPr="00E40001" w:rsidRDefault="00907370" w:rsidP="00FE4D3F">
      <w:pPr>
        <w:pStyle w:val="ATHeading2"/>
      </w:pPr>
      <w:bookmarkStart w:id="1" w:name="title"/>
      <w:r w:rsidRPr="00E40001">
        <w:t>G</w:t>
      </w:r>
      <w:r w:rsidR="00FE4D3F" w:rsidRPr="00E40001">
        <w:t>enetski modificirani kukuruz DP910521</w:t>
      </w:r>
      <w:bookmarkEnd w:id="1"/>
    </w:p>
    <w:p w:rsidR="00FE4D3F" w:rsidRPr="00E40001" w:rsidRDefault="00FE4D3F" w:rsidP="00FE4D3F">
      <w:pPr>
        <w:rPr>
          <w:i/>
          <w:vanish/>
        </w:rPr>
      </w:pPr>
      <w:r w:rsidRPr="00E40001">
        <w:rPr>
          <w:i/>
        </w:rPr>
        <w:fldChar w:fldCharType="begin"/>
      </w:r>
      <w:r w:rsidRPr="00E40001">
        <w:rPr>
          <w:i/>
        </w:rPr>
        <w:instrText xml:space="preserve"> TC"(</w:instrText>
      </w:r>
      <w:bookmarkStart w:id="2" w:name="DocNumber"/>
      <w:r w:rsidRPr="00E40001">
        <w:rPr>
          <w:i/>
        </w:rPr>
        <w:instrText>B10-0061/2025</w:instrText>
      </w:r>
      <w:bookmarkEnd w:id="2"/>
      <w:r w:rsidRPr="00E40001">
        <w:rPr>
          <w:i/>
        </w:rPr>
        <w:instrText xml:space="preserve">)"\l3 \n&gt; \* MERGEFORMAT </w:instrText>
      </w:r>
      <w:r w:rsidRPr="00E40001">
        <w:rPr>
          <w:i/>
        </w:rPr>
        <w:fldChar w:fldCharType="end"/>
      </w:r>
    </w:p>
    <w:p w:rsidR="00FE4D3F" w:rsidRPr="00E40001" w:rsidRDefault="00FE4D3F" w:rsidP="00FE4D3F">
      <w:pPr>
        <w:rPr>
          <w:vanish/>
        </w:rPr>
      </w:pPr>
      <w:bookmarkStart w:id="3" w:name="PE"/>
      <w:r w:rsidRPr="00E40001">
        <w:rPr>
          <w:vanish/>
        </w:rPr>
        <w:t>PE766.932</w:t>
      </w:r>
      <w:bookmarkEnd w:id="3"/>
    </w:p>
    <w:p w:rsidR="00FE4D3F" w:rsidRPr="00E40001" w:rsidRDefault="00FE4D3F" w:rsidP="00FE4D3F">
      <w:pPr>
        <w:pStyle w:val="ATHeading3"/>
      </w:pPr>
      <w:bookmarkStart w:id="4" w:name="Sujet"/>
      <w:r w:rsidRPr="00E40001">
        <w:t>Rezoluc</w:t>
      </w:r>
      <w:r w:rsidR="00907370" w:rsidRPr="00E40001">
        <w:t>ija Europskog parlamenta od 12. veljače</w:t>
      </w:r>
      <w:r w:rsidRPr="00E40001">
        <w:t xml:space="preserve"> 2025. o Nacrtu provedbene odluke Komisije o odobravanju stavljanja na tržište proizvoda koji sadržavaju genetski modificirani kukuruz DP910521, sastoje se od njega ili su od njega proizvedeni, na temelju Uredbe (EZ) br. 1829/2003 Europskog parlamenta i Vijeća</w:t>
      </w:r>
      <w:bookmarkEnd w:id="4"/>
      <w:r w:rsidRPr="00E40001">
        <w:t xml:space="preserve"> </w:t>
      </w:r>
      <w:bookmarkStart w:id="5" w:name="References"/>
      <w:r w:rsidRPr="00E40001">
        <w:t>(D102174/03 – 2024/3010(RSP))</w:t>
      </w:r>
      <w:bookmarkEnd w:id="5"/>
    </w:p>
    <w:p w:rsidR="007E2AB6" w:rsidRPr="00E40001" w:rsidRDefault="007E2AB6" w:rsidP="007E2AB6">
      <w:pPr>
        <w:pStyle w:val="EPComma"/>
      </w:pPr>
      <w:bookmarkStart w:id="6" w:name="TextBodyBegin"/>
      <w:bookmarkEnd w:id="6"/>
      <w:r w:rsidRPr="00E40001">
        <w:rPr>
          <w:i/>
        </w:rPr>
        <w:t>Europski parlament</w:t>
      </w:r>
      <w:r w:rsidRPr="00E40001">
        <w:t>,</w:t>
      </w:r>
    </w:p>
    <w:p w:rsidR="007E2AB6" w:rsidRPr="00E40001" w:rsidRDefault="007E2AB6" w:rsidP="007E2AB6">
      <w:pPr>
        <w:pStyle w:val="NormalHanging12a"/>
      </w:pPr>
      <w:r w:rsidRPr="00E40001">
        <w:t>–</w:t>
      </w:r>
      <w:r w:rsidRPr="00E40001">
        <w:tab/>
        <w:t>uzimajući u obzir Nacrt provedbene odluke Komisije o odobravanju stavljanja na tržište proizvoda koji sadržavaju genetski modificirani kukuruz DP910521, sastoje se od njega ili su od njega proizvedeni, na temelju Uredbe (EZ) br. 1829/2003 Europskog parlamenta i Vijeća (D102174/03),</w:t>
      </w:r>
    </w:p>
    <w:p w:rsidR="007E2AB6" w:rsidRPr="00E40001" w:rsidRDefault="007E2AB6" w:rsidP="007E2AB6">
      <w:pPr>
        <w:pStyle w:val="NormalHanging12a"/>
        <w:rPr>
          <w:szCs w:val="24"/>
        </w:rPr>
      </w:pPr>
      <w:r w:rsidRPr="00E40001">
        <w:t>–</w:t>
      </w:r>
      <w:r w:rsidRPr="00E40001">
        <w:tab/>
        <w:t>uzimajući u obzir Uredbu (EZ) br. 1829/2003 Europskog parlamenta i Vijeća od 22. rujna 2003. o genetski modificiranoj hrani i hrani za životinje</w:t>
      </w:r>
      <w:r w:rsidRPr="00E40001">
        <w:rPr>
          <w:rStyle w:val="FootnoteReference"/>
          <w:szCs w:val="24"/>
        </w:rPr>
        <w:footnoteReference w:id="1"/>
      </w:r>
      <w:r w:rsidRPr="00E40001">
        <w:t>, a posebno njezin članak 7. stavak 3. i članak 19. stavak 3.,</w:t>
      </w:r>
    </w:p>
    <w:p w:rsidR="007E2AB6" w:rsidRPr="00E40001" w:rsidRDefault="007E2AB6" w:rsidP="007E2AB6">
      <w:pPr>
        <w:pStyle w:val="NormalHanging12a"/>
        <w:rPr>
          <w:szCs w:val="24"/>
        </w:rPr>
      </w:pPr>
      <w:r w:rsidRPr="00E40001">
        <w:t>–</w:t>
      </w:r>
      <w:r w:rsidRPr="00E40001">
        <w:tab/>
        <w:t xml:space="preserve">uzimajući u obzir glasovanje </w:t>
      </w:r>
      <w:r w:rsidRPr="00E40001">
        <w:rPr>
          <w:shd w:val="clear" w:color="auto" w:fill="FFFFFF"/>
        </w:rPr>
        <w:t>Stalnog odbora za bilje, životinje, hranu i hranu za životinje iz članka 35. Uredbe (EZ) br. 1829/2003, koje je održano 22. studenog</w:t>
      </w:r>
      <w:r w:rsidR="001C2A79">
        <w:rPr>
          <w:shd w:val="clear" w:color="auto" w:fill="FFFFFF"/>
        </w:rPr>
        <w:t>a</w:t>
      </w:r>
      <w:r w:rsidRPr="00E40001">
        <w:rPr>
          <w:shd w:val="clear" w:color="auto" w:fill="FFFFFF"/>
        </w:rPr>
        <w:t xml:space="preserve"> 2024. i tijekom kojeg nije doneseno mišljenje, te glasovanje žalbenog odbora od 17. prosinca 2024., kada, isto tako, nije doneseno</w:t>
      </w:r>
      <w:r w:rsidRPr="00E40001">
        <w:t xml:space="preserve"> mišljenje,</w:t>
      </w:r>
    </w:p>
    <w:p w:rsidR="007E2AB6" w:rsidRPr="00E40001" w:rsidRDefault="007E2AB6" w:rsidP="007E2AB6">
      <w:pPr>
        <w:pStyle w:val="NormalHanging12a"/>
        <w:rPr>
          <w:szCs w:val="24"/>
        </w:rPr>
      </w:pPr>
      <w:r w:rsidRPr="00E40001">
        <w:t>–</w:t>
      </w:r>
      <w:r w:rsidRPr="00E40001">
        <w:tab/>
        <w:t>uzimajući u obzir članak 11. Uredbe (EU) br. 182/2011 Europskog parlamenta i Vijeća od 16. veljače 2011. o utvrđivanju pravila i općih načela u vezi s mehanizmima nadzora država članica nad izvršavanjem provedbeni</w:t>
      </w:r>
      <w:bookmarkStart w:id="7" w:name="_GoBack"/>
      <w:bookmarkEnd w:id="7"/>
      <w:r w:rsidRPr="00E40001">
        <w:t>h ovlasti Komisije</w:t>
      </w:r>
      <w:r w:rsidRPr="00E40001">
        <w:rPr>
          <w:rStyle w:val="FootnoteReference"/>
          <w:szCs w:val="24"/>
        </w:rPr>
        <w:footnoteReference w:id="2"/>
      </w:r>
      <w:r w:rsidRPr="00E40001">
        <w:t>,</w:t>
      </w:r>
    </w:p>
    <w:p w:rsidR="007E2AB6" w:rsidRPr="00E40001" w:rsidRDefault="007E2AB6" w:rsidP="007E2AB6">
      <w:pPr>
        <w:pStyle w:val="NormalHanging12a"/>
        <w:rPr>
          <w:szCs w:val="24"/>
        </w:rPr>
      </w:pPr>
      <w:r w:rsidRPr="00E40001">
        <w:t>–</w:t>
      </w:r>
      <w:r w:rsidRPr="00E40001">
        <w:tab/>
        <w:t xml:space="preserve">uzimajući u obzir mišljenje Europske agencije za sigurnost hrane (EFSA) doneseno 19. </w:t>
      </w:r>
      <w:r w:rsidRPr="00E40001">
        <w:lastRenderedPageBreak/>
        <w:t>lipnja 2024. i objavljeno 1. kolovoza 2024.</w:t>
      </w:r>
      <w:r w:rsidRPr="00E40001">
        <w:rPr>
          <w:rStyle w:val="FootnoteReference"/>
          <w:szCs w:val="24"/>
        </w:rPr>
        <w:footnoteReference w:id="3"/>
      </w:r>
      <w:r w:rsidRPr="00E40001">
        <w:t>,</w:t>
      </w:r>
    </w:p>
    <w:p w:rsidR="007E2AB6" w:rsidRPr="00E40001" w:rsidRDefault="007E2AB6" w:rsidP="007E2AB6">
      <w:pPr>
        <w:pStyle w:val="NormalHanging12a"/>
        <w:rPr>
          <w:szCs w:val="24"/>
        </w:rPr>
      </w:pPr>
      <w:r w:rsidRPr="00E40001">
        <w:t>–</w:t>
      </w:r>
      <w:r w:rsidRPr="00E40001">
        <w:tab/>
      </w:r>
      <w:r w:rsidRPr="00E40001">
        <w:rPr>
          <w:shd w:val="clear" w:color="auto" w:fill="FFFFFF"/>
        </w:rPr>
        <w:t>uzimajući u obzir svoje prethodne rezolucije u kojima se protivi odobravanju genetski modificiranih organizama („GMO”)</w:t>
      </w:r>
      <w:r w:rsidRPr="00E40001">
        <w:rPr>
          <w:rStyle w:val="FootnoteReference"/>
          <w:szCs w:val="24"/>
          <w:shd w:val="clear" w:color="auto" w:fill="FFFFFF"/>
        </w:rPr>
        <w:footnoteReference w:id="4"/>
      </w:r>
      <w:r w:rsidRPr="00E40001">
        <w:rPr>
          <w:shd w:val="clear" w:color="auto" w:fill="FFFFFF"/>
        </w:rPr>
        <w:t>,</w:t>
      </w:r>
    </w:p>
    <w:p w:rsidR="007E2AB6" w:rsidRPr="00E40001" w:rsidRDefault="007E2AB6" w:rsidP="007E2AB6">
      <w:pPr>
        <w:pStyle w:val="NormalHanging12a"/>
        <w:rPr>
          <w:szCs w:val="24"/>
        </w:rPr>
      </w:pPr>
      <w:r w:rsidRPr="00E40001">
        <w:lastRenderedPageBreak/>
        <w:t>–</w:t>
      </w:r>
      <w:r w:rsidRPr="00E40001">
        <w:tab/>
        <w:t>uzimajući u obzir članak 115. stavke 2. i 3. Poslovnika,</w:t>
      </w:r>
    </w:p>
    <w:p w:rsidR="007E2AB6" w:rsidRPr="00E40001" w:rsidRDefault="007E2AB6" w:rsidP="007E2AB6">
      <w:pPr>
        <w:pStyle w:val="NormalHanging12a"/>
        <w:rPr>
          <w:szCs w:val="24"/>
        </w:rPr>
      </w:pPr>
      <w:r w:rsidRPr="00E40001">
        <w:t>–</w:t>
      </w:r>
      <w:r w:rsidRPr="00E40001">
        <w:tab/>
        <w:t xml:space="preserve">uzimajući u obzir prijedlog rezolucije Odbora za okoliš, </w:t>
      </w:r>
      <w:r w:rsidR="00907370" w:rsidRPr="00E40001">
        <w:t xml:space="preserve">klimu </w:t>
      </w:r>
      <w:r w:rsidRPr="00E40001">
        <w:t>i sigurnost hrane,</w:t>
      </w:r>
    </w:p>
    <w:p w:rsidR="007E2AB6" w:rsidRPr="00E40001" w:rsidRDefault="007E2AB6" w:rsidP="007E2AB6">
      <w:pPr>
        <w:pStyle w:val="NormalHanging12a"/>
        <w:rPr>
          <w:szCs w:val="24"/>
        </w:rPr>
      </w:pPr>
      <w:r w:rsidRPr="00E40001">
        <w:t>A.</w:t>
      </w:r>
      <w:r w:rsidRPr="00E40001">
        <w:tab/>
        <w:t xml:space="preserve">budući da je društvo </w:t>
      </w:r>
      <w:proofErr w:type="spellStart"/>
      <w:r w:rsidRPr="00E40001">
        <w:t>Corteva</w:t>
      </w:r>
      <w:proofErr w:type="spellEnd"/>
      <w:r w:rsidRPr="00E40001">
        <w:t xml:space="preserve"> </w:t>
      </w:r>
      <w:proofErr w:type="spellStart"/>
      <w:r w:rsidRPr="00E40001">
        <w:t>Agriscience</w:t>
      </w:r>
      <w:proofErr w:type="spellEnd"/>
      <w:r w:rsidRPr="00E40001">
        <w:t xml:space="preserve"> </w:t>
      </w:r>
      <w:proofErr w:type="spellStart"/>
      <w:r w:rsidRPr="00E40001">
        <w:t>Belgium</w:t>
      </w:r>
      <w:proofErr w:type="spellEnd"/>
      <w:r w:rsidRPr="00E40001">
        <w:t xml:space="preserve"> B.V., sa sjedištem u Belgiji, u ime društva </w:t>
      </w:r>
      <w:proofErr w:type="spellStart"/>
      <w:r w:rsidRPr="00E40001">
        <w:t>Corteva</w:t>
      </w:r>
      <w:proofErr w:type="spellEnd"/>
      <w:r w:rsidRPr="00E40001">
        <w:t xml:space="preserve"> </w:t>
      </w:r>
      <w:proofErr w:type="spellStart"/>
      <w:r w:rsidRPr="00E40001">
        <w:t>Agriscience</w:t>
      </w:r>
      <w:proofErr w:type="spellEnd"/>
      <w:r w:rsidRPr="00E40001">
        <w:t xml:space="preserve"> LLC, sa sjedištem u Sjedinjenim Američkim Državama, 27. lipnja 2022. nacionalnom </w:t>
      </w:r>
      <w:r w:rsidRPr="00E40001">
        <w:rPr>
          <w:snapToGrid w:val="0"/>
        </w:rPr>
        <w:t>nadležnom tijelu Nizozemske</w:t>
      </w:r>
      <w:r w:rsidRPr="00E40001">
        <w:t xml:space="preserve"> podnijelo zahtjev za stavljanje na tržište hrane, sastojaka hrane i hrane za životinje koji sadržavaju genetski modificirani kukuruz DP910521, sastoje se od njega ili su proizvedeni od njega („genetski modificirani kukuruz”);</w:t>
      </w:r>
    </w:p>
    <w:p w:rsidR="007E2AB6" w:rsidRPr="00E40001" w:rsidRDefault="007E2AB6" w:rsidP="007E2AB6">
      <w:pPr>
        <w:pStyle w:val="NormalHanging12a"/>
        <w:rPr>
          <w:szCs w:val="24"/>
        </w:rPr>
      </w:pPr>
      <w:r w:rsidRPr="00E40001">
        <w:t>B.</w:t>
      </w:r>
      <w:r w:rsidRPr="00E40001">
        <w:tab/>
        <w:t xml:space="preserve">budući da genetski modificirani kukuruz proizvodi toksin Cry1B.34 i otporan je na herbicid </w:t>
      </w:r>
      <w:proofErr w:type="spellStart"/>
      <w:r w:rsidRPr="00E40001">
        <w:t>glufosinat</w:t>
      </w:r>
      <w:proofErr w:type="spellEnd"/>
      <w:r w:rsidRPr="00E40001">
        <w:t>;</w:t>
      </w:r>
    </w:p>
    <w:p w:rsidR="007E2AB6" w:rsidRPr="00E40001" w:rsidRDefault="007E2AB6" w:rsidP="007E2AB6">
      <w:pPr>
        <w:pStyle w:val="NormalHanging12a"/>
        <w:tabs>
          <w:tab w:val="left" w:pos="0"/>
        </w:tabs>
        <w:suppressAutoHyphens/>
        <w:rPr>
          <w:szCs w:val="24"/>
        </w:rPr>
      </w:pPr>
      <w:r w:rsidRPr="00E40001">
        <w:t>C.</w:t>
      </w:r>
      <w:r w:rsidRPr="00E40001">
        <w:tab/>
        <w:t xml:space="preserve">budući da se </w:t>
      </w:r>
      <w:proofErr w:type="spellStart"/>
      <w:r w:rsidRPr="00E40001">
        <w:t>glufosinat</w:t>
      </w:r>
      <w:proofErr w:type="spellEnd"/>
      <w:r w:rsidRPr="00E40001">
        <w:t xml:space="preserve"> klasificira kao tvar koja je toksična za reproduktivno zdravlje (kategorija 1B) i stoga ispunjava kriterije za isključivanje iz Uredbe (EZ) br. 1107/2009 Europskog parlamenta i Vijeća</w:t>
      </w:r>
      <w:r w:rsidRPr="00E40001">
        <w:rPr>
          <w:rStyle w:val="FootnoteReference"/>
          <w:szCs w:val="24"/>
        </w:rPr>
        <w:footnoteReference w:id="5"/>
      </w:r>
      <w:r w:rsidRPr="00E40001">
        <w:t xml:space="preserve">; budući da je odobrenje za upotrebu </w:t>
      </w:r>
      <w:proofErr w:type="spellStart"/>
      <w:r w:rsidRPr="00E40001">
        <w:t>glufosinata</w:t>
      </w:r>
      <w:proofErr w:type="spellEnd"/>
      <w:r w:rsidRPr="00E40001">
        <w:t xml:space="preserve"> u Uniji isteklo 31. srpnja 2018.;</w:t>
      </w:r>
    </w:p>
    <w:p w:rsidR="007E2AB6" w:rsidRPr="00E40001" w:rsidRDefault="007E2AB6" w:rsidP="007E2AB6">
      <w:pPr>
        <w:pStyle w:val="NormalHanging12a"/>
        <w:tabs>
          <w:tab w:val="left" w:pos="0"/>
        </w:tabs>
        <w:suppressAutoHyphens/>
        <w:rPr>
          <w:szCs w:val="24"/>
        </w:rPr>
      </w:pPr>
      <w:r w:rsidRPr="00E40001">
        <w:t>D.</w:t>
      </w:r>
      <w:r w:rsidRPr="00E40001">
        <w:tab/>
        <w:t xml:space="preserve">budući da je Cry1B.34 sintetički fuzijski protein koji kombinira Cry1B, Cry1Ca1 i Cry9Db1, proizveden za otpornost insekata na štetočine iz reda </w:t>
      </w:r>
      <w:proofErr w:type="spellStart"/>
      <w:r w:rsidRPr="00E40001">
        <w:t>lepidoptera</w:t>
      </w:r>
      <w:proofErr w:type="spellEnd"/>
      <w:r w:rsidRPr="00E40001">
        <w:t>, bez dokazane specifičnosti za ciljane vrste;</w:t>
      </w:r>
    </w:p>
    <w:p w:rsidR="007E2AB6" w:rsidRPr="00E40001" w:rsidRDefault="007E2AB6" w:rsidP="007E2AB6">
      <w:pPr>
        <w:pStyle w:val="NormalHanging12a"/>
        <w:tabs>
          <w:tab w:val="left" w:pos="0"/>
        </w:tabs>
        <w:suppressAutoHyphens/>
        <w:rPr>
          <w:szCs w:val="24"/>
        </w:rPr>
      </w:pPr>
      <w:r w:rsidRPr="00E40001">
        <w:t>E.</w:t>
      </w:r>
      <w:r w:rsidRPr="00E40001">
        <w:tab/>
        <w:t xml:space="preserve">budući da genetska modifikacija uključuje postupak u dva koraka u kojem se upotrebljava CRISPR/Cas9 za stvaranje „sidrišta”, nakon čega slijedi </w:t>
      </w:r>
      <w:proofErr w:type="spellStart"/>
      <w:r w:rsidRPr="00E40001">
        <w:t>mikroprojektilno</w:t>
      </w:r>
      <w:proofErr w:type="spellEnd"/>
      <w:r w:rsidRPr="00E40001">
        <w:t xml:space="preserve"> bombardiranje radi umetanja genskih kaseta;</w:t>
      </w:r>
    </w:p>
    <w:p w:rsidR="007E2AB6" w:rsidRPr="00E40001" w:rsidRDefault="007E2AB6" w:rsidP="007E2AB6">
      <w:pPr>
        <w:pStyle w:val="NormalHanging12a"/>
        <w:rPr>
          <w:b/>
          <w:i/>
          <w:szCs w:val="24"/>
        </w:rPr>
      </w:pPr>
      <w:r w:rsidRPr="00E40001">
        <w:rPr>
          <w:b/>
          <w:i/>
        </w:rPr>
        <w:t>Nepostojanje procjene za komplementarne herbicide</w:t>
      </w:r>
    </w:p>
    <w:p w:rsidR="007E2AB6" w:rsidRPr="00E40001" w:rsidRDefault="007E2AB6" w:rsidP="007E2AB6">
      <w:pPr>
        <w:pStyle w:val="NormalHanging12a"/>
        <w:tabs>
          <w:tab w:val="left" w:pos="0"/>
        </w:tabs>
        <w:suppressAutoHyphens/>
        <w:rPr>
          <w:szCs w:val="24"/>
        </w:rPr>
      </w:pPr>
      <w:r w:rsidRPr="00E40001">
        <w:t>F.</w:t>
      </w:r>
      <w:r w:rsidRPr="00E40001">
        <w:tab/>
        <w:t>budući da se Provedbenom uredbom Komisije (EU) br. 503/2013</w:t>
      </w:r>
      <w:r w:rsidRPr="00E40001">
        <w:rPr>
          <w:rStyle w:val="FootnoteReference"/>
          <w:szCs w:val="24"/>
        </w:rPr>
        <w:footnoteReference w:id="6"/>
      </w:r>
      <w:r w:rsidRPr="00E40001">
        <w:t xml:space="preserve"> zahtijeva procjena o tome utječu li očekivane poljoprivredne prakse na ishod proučavanih krajnjih točaka; budući da je u skladu s tom Provedbenom uredbom to posebno relevantno za biljke otporne na herbicide;</w:t>
      </w:r>
    </w:p>
    <w:p w:rsidR="007E2AB6" w:rsidRPr="00E40001" w:rsidRDefault="007E2AB6" w:rsidP="007E2AB6">
      <w:pPr>
        <w:pStyle w:val="NormalHanging12a"/>
        <w:tabs>
          <w:tab w:val="left" w:pos="0"/>
        </w:tabs>
        <w:suppressAutoHyphens/>
        <w:rPr>
          <w:szCs w:val="24"/>
        </w:rPr>
      </w:pPr>
      <w:r w:rsidRPr="00E40001">
        <w:t>G.</w:t>
      </w:r>
      <w:r w:rsidRPr="00E40001">
        <w:tab/>
        <w:t xml:space="preserve">budući da je velika većina genetski modificiranih usjeva genetski modificirana kako bi bila otporna na jedan ili više „komplementarnih” herbicida koji se mogu upotrebljavati tijekom cijelog uzgoja genetski modificirane kulture, a da pritom ne dođe do </w:t>
      </w:r>
      <w:r w:rsidRPr="00E40001">
        <w:lastRenderedPageBreak/>
        <w:t>odumiranja usjeva, što bi bio slučaj s usjevom koji nije otporan na herbicide; budući da se u brojnim studijama navodi da je za genetski modificirane usjeve otporne na herbicide potrebna veća upotreba komplementarnih herbicida, velikim dijelom zbog pojave korova otpornih na herbicide</w:t>
      </w:r>
      <w:r w:rsidRPr="00E40001">
        <w:rPr>
          <w:rStyle w:val="FootnoteReference"/>
          <w:szCs w:val="24"/>
        </w:rPr>
        <w:footnoteReference w:id="7"/>
      </w:r>
      <w:r w:rsidRPr="00E40001">
        <w:t>;</w:t>
      </w:r>
    </w:p>
    <w:p w:rsidR="007E2AB6" w:rsidRPr="00E40001" w:rsidRDefault="007E2AB6" w:rsidP="007E2AB6">
      <w:pPr>
        <w:pStyle w:val="NormalHanging12a"/>
        <w:tabs>
          <w:tab w:val="left" w:pos="0"/>
        </w:tabs>
        <w:suppressAutoHyphens/>
        <w:rPr>
          <w:szCs w:val="24"/>
        </w:rPr>
      </w:pPr>
      <w:r w:rsidRPr="00E40001">
        <w:t>H.</w:t>
      </w:r>
      <w:r w:rsidRPr="00E40001">
        <w:tab/>
        <w:t>budući da genetski modificirani usjevi otporni na herbicide poljoprivrednike uvlače u sustav suzbijanja korova koji u velikoj mjeri ili u potpunosti ovisi o herbicidima, i to naplatom dodatka na cijenu za genetski modificirano sjeme, koji se može opravdati samo ako poljoprivrednici koji kupuju takvo sjeme koriste i komplementarne herbicide;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rsidR="007E2AB6" w:rsidRPr="00E40001" w:rsidRDefault="007E2AB6" w:rsidP="007E2AB6">
      <w:pPr>
        <w:pStyle w:val="NormalHanging12a"/>
        <w:tabs>
          <w:tab w:val="left" w:pos="0"/>
        </w:tabs>
        <w:suppressAutoHyphens/>
        <w:rPr>
          <w:szCs w:val="24"/>
        </w:rPr>
      </w:pPr>
      <w:r w:rsidRPr="00E40001">
        <w:t>I.</w:t>
      </w:r>
      <w:r w:rsidRPr="00E40001">
        <w:tab/>
        <w:t>budući da će se povećati negativni učinci s obzirom na zdravlje tla i kvalitetu vode te na biološku raznolikost iznad i ispod zemlje, koji proizlaze iz prekomjernog oslanjanja na herbicide, te će to dovesti do povećane izloženosti ljudi i životinja tim negativnim učincima, potencijalno i preko povećanja količine ostataka herbicida u hrani i hrani za životinje;</w:t>
      </w:r>
    </w:p>
    <w:p w:rsidR="007E2AB6" w:rsidRPr="00E40001" w:rsidRDefault="007E2AB6" w:rsidP="007E2AB6">
      <w:pPr>
        <w:pStyle w:val="NormalHanging12a"/>
        <w:tabs>
          <w:tab w:val="left" w:pos="0"/>
        </w:tabs>
        <w:suppressAutoHyphens/>
        <w:rPr>
          <w:szCs w:val="24"/>
        </w:rPr>
      </w:pPr>
      <w:r w:rsidRPr="00E40001">
        <w:t>J.</w:t>
      </w:r>
      <w:r w:rsidRPr="00E40001">
        <w:tab/>
        <w:t>budući da se smatra da procjena za ostatke herbicida i metabolite pronađene na genetski modificiranim biljkama nije u nadležnosti Povjerenstva EFSA-e za genetski modificirane organizme te se stoga ne provodi u okviru postupka odobravanja GMO-a;</w:t>
      </w:r>
    </w:p>
    <w:p w:rsidR="007E2AB6" w:rsidRPr="00E40001" w:rsidRDefault="007E2AB6" w:rsidP="007E2AB6">
      <w:pPr>
        <w:pStyle w:val="NormalHanging12a"/>
        <w:rPr>
          <w:b/>
          <w:i/>
          <w:szCs w:val="24"/>
        </w:rPr>
      </w:pPr>
      <w:r w:rsidRPr="00E40001">
        <w:rPr>
          <w:b/>
          <w:i/>
        </w:rPr>
        <w:t xml:space="preserve">Neriješena pitanja koja se odnose na </w:t>
      </w:r>
      <w:proofErr w:type="spellStart"/>
      <w:r w:rsidRPr="00E40001">
        <w:rPr>
          <w:b/>
          <w:i/>
        </w:rPr>
        <w:t>Bt</w:t>
      </w:r>
      <w:proofErr w:type="spellEnd"/>
      <w:r w:rsidRPr="00E40001">
        <w:rPr>
          <w:b/>
          <w:i/>
        </w:rPr>
        <w:t>-toksine</w:t>
      </w:r>
    </w:p>
    <w:p w:rsidR="007E2AB6" w:rsidRPr="00E40001" w:rsidRDefault="007E2AB6" w:rsidP="007E2AB6">
      <w:pPr>
        <w:pStyle w:val="NormalHanging12a"/>
        <w:tabs>
          <w:tab w:val="left" w:pos="0"/>
        </w:tabs>
        <w:suppressAutoHyphens/>
        <w:rPr>
          <w:szCs w:val="24"/>
        </w:rPr>
      </w:pPr>
      <w:r w:rsidRPr="00E40001">
        <w:t>K.</w:t>
      </w:r>
      <w:r w:rsidRPr="00E40001">
        <w:tab/>
        <w:t xml:space="preserve">budući da se u brojnim studijama navodi da su nakon izloženosti </w:t>
      </w:r>
      <w:proofErr w:type="spellStart"/>
      <w:r w:rsidRPr="00E40001">
        <w:t>Bt</w:t>
      </w:r>
      <w:proofErr w:type="spellEnd"/>
      <w:r w:rsidRPr="00E40001">
        <w:t xml:space="preserve">-toksinima zabilježeni popratni učinci koji mogu utjecati na </w:t>
      </w:r>
      <w:proofErr w:type="spellStart"/>
      <w:r w:rsidRPr="00E40001">
        <w:t>imunosni</w:t>
      </w:r>
      <w:proofErr w:type="spellEnd"/>
      <w:r w:rsidRPr="00E40001">
        <w:t xml:space="preserve"> sustav i da neki </w:t>
      </w:r>
      <w:proofErr w:type="spellStart"/>
      <w:r w:rsidRPr="00E40001">
        <w:t>Bt</w:t>
      </w:r>
      <w:proofErr w:type="spellEnd"/>
      <w:r w:rsidRPr="00E40001">
        <w:t xml:space="preserve">-toksini mogu djelovati kao </w:t>
      </w:r>
      <w:proofErr w:type="spellStart"/>
      <w:r w:rsidRPr="00E40001">
        <w:t>adjuvansi</w:t>
      </w:r>
      <w:proofErr w:type="spellEnd"/>
      <w:r w:rsidRPr="00E40001">
        <w:rPr>
          <w:rStyle w:val="FootnoteReference"/>
          <w:szCs w:val="24"/>
        </w:rPr>
        <w:footnoteReference w:id="8"/>
      </w:r>
      <w:r w:rsidRPr="00E40001">
        <w:t>, što znači da mogu povećati alergena svojstva drugih proteina s kojima dolaze u kontakt;</w:t>
      </w:r>
    </w:p>
    <w:p w:rsidR="007E2AB6" w:rsidRPr="00E40001" w:rsidRDefault="007E2AB6" w:rsidP="007E2AB6">
      <w:pPr>
        <w:pStyle w:val="NormalHanging12a"/>
        <w:tabs>
          <w:tab w:val="left" w:pos="0"/>
        </w:tabs>
        <w:suppressAutoHyphens/>
        <w:rPr>
          <w:szCs w:val="24"/>
        </w:rPr>
      </w:pPr>
      <w:r w:rsidRPr="00E40001">
        <w:t>L.</w:t>
      </w:r>
      <w:r w:rsidRPr="00E40001">
        <w:tab/>
        <w:t xml:space="preserve">budući da je u znanstvenom istraživanju utvrđeno da se toksičnost </w:t>
      </w:r>
      <w:proofErr w:type="spellStart"/>
      <w:r w:rsidRPr="00E40001">
        <w:t>Bt</w:t>
      </w:r>
      <w:proofErr w:type="spellEnd"/>
      <w:r w:rsidRPr="00E40001">
        <w:t xml:space="preserve">-toksina također može povećati interakcijom s ostacima prskanja herbicidima te su potrebna dodatna </w:t>
      </w:r>
      <w:r w:rsidRPr="00E40001">
        <w:lastRenderedPageBreak/>
        <w:t xml:space="preserve">istraživanja o kombinatornim učincima višestrukih promjena (genetski modificirani usjevi koji su izmijenjeni kako bi bili otporni na herbicide i kako bi proizvodili insekticide u obliku </w:t>
      </w:r>
      <w:proofErr w:type="spellStart"/>
      <w:r w:rsidRPr="00E40001">
        <w:t>Bt</w:t>
      </w:r>
      <w:proofErr w:type="spellEnd"/>
      <w:r w:rsidRPr="00E40001">
        <w:t>-toksina)</w:t>
      </w:r>
      <w:r w:rsidRPr="00E40001">
        <w:rPr>
          <w:rStyle w:val="FootnoteReference"/>
          <w:szCs w:val="24"/>
        </w:rPr>
        <w:footnoteReference w:id="9"/>
      </w:r>
      <w:r w:rsidRPr="00E40001">
        <w:t xml:space="preserve">; budući da se, međutim, smatra da je procjena mogućeg međudjelovanja ostataka herbicida i njihovih metabolita s </w:t>
      </w:r>
      <w:proofErr w:type="spellStart"/>
      <w:r w:rsidRPr="00E40001">
        <w:t>Bt</w:t>
      </w:r>
      <w:proofErr w:type="spellEnd"/>
      <w:r w:rsidRPr="00E40001">
        <w:t>-toksinima izvan nadležnosti Povjerenstva EFSA-e za GMO te se ona stoga ne provodi u okviru procjene rizika;</w:t>
      </w:r>
    </w:p>
    <w:p w:rsidR="007E2AB6" w:rsidRPr="00E40001" w:rsidRDefault="007E2AB6" w:rsidP="007E2AB6">
      <w:pPr>
        <w:pStyle w:val="NormalHanging12a"/>
        <w:rPr>
          <w:b/>
          <w:i/>
          <w:szCs w:val="24"/>
        </w:rPr>
      </w:pPr>
      <w:proofErr w:type="spellStart"/>
      <w:r w:rsidRPr="00E40001">
        <w:rPr>
          <w:b/>
          <w:i/>
        </w:rPr>
        <w:t>Bt</w:t>
      </w:r>
      <w:proofErr w:type="spellEnd"/>
      <w:r w:rsidRPr="00E40001">
        <w:rPr>
          <w:b/>
          <w:i/>
        </w:rPr>
        <w:t xml:space="preserve">-usjevi: utjecaj na </w:t>
      </w:r>
      <w:proofErr w:type="spellStart"/>
      <w:r w:rsidRPr="00E40001">
        <w:rPr>
          <w:b/>
          <w:i/>
        </w:rPr>
        <w:t>neciljne</w:t>
      </w:r>
      <w:proofErr w:type="spellEnd"/>
      <w:r w:rsidRPr="00E40001">
        <w:rPr>
          <w:b/>
          <w:i/>
        </w:rPr>
        <w:t xml:space="preserve"> organizme</w:t>
      </w:r>
    </w:p>
    <w:p w:rsidR="007E2AB6" w:rsidRPr="00E40001" w:rsidRDefault="007E2AB6" w:rsidP="007E2AB6">
      <w:pPr>
        <w:pStyle w:val="NormalHanging12a"/>
        <w:tabs>
          <w:tab w:val="left" w:pos="0"/>
        </w:tabs>
        <w:suppressAutoHyphens/>
        <w:rPr>
          <w:szCs w:val="24"/>
        </w:rPr>
      </w:pPr>
      <w:r w:rsidRPr="00E40001">
        <w:t>M.</w:t>
      </w:r>
      <w:r w:rsidRPr="00E40001">
        <w:tab/>
        <w:t xml:space="preserve">budući da upotreba genetski modificiranih </w:t>
      </w:r>
      <w:proofErr w:type="spellStart"/>
      <w:r w:rsidRPr="00E40001">
        <w:t>Bt</w:t>
      </w:r>
      <w:proofErr w:type="spellEnd"/>
      <w:r w:rsidRPr="00E40001">
        <w:t xml:space="preserve">-usjeva dovodi do kontinuirane izloženosti ciljnih i </w:t>
      </w:r>
      <w:proofErr w:type="spellStart"/>
      <w:r w:rsidRPr="00E40001">
        <w:t>neciljnih</w:t>
      </w:r>
      <w:proofErr w:type="spellEnd"/>
      <w:r w:rsidRPr="00E40001">
        <w:t xml:space="preserve"> organizama </w:t>
      </w:r>
      <w:proofErr w:type="spellStart"/>
      <w:r w:rsidRPr="00E40001">
        <w:t>Bt</w:t>
      </w:r>
      <w:proofErr w:type="spellEnd"/>
      <w:r w:rsidRPr="00E40001">
        <w:t>-toksinima, za razliku od upotrebe insekticida, tijekom koje do izlaganja dolazi pri prskanju i to samo u ograničenom periodu;</w:t>
      </w:r>
    </w:p>
    <w:p w:rsidR="007E2AB6" w:rsidRPr="00E40001" w:rsidRDefault="007E2AB6" w:rsidP="007E2AB6">
      <w:pPr>
        <w:pStyle w:val="NormalHanging12a"/>
        <w:tabs>
          <w:tab w:val="left" w:pos="0"/>
        </w:tabs>
        <w:suppressAutoHyphens/>
        <w:rPr>
          <w:szCs w:val="24"/>
        </w:rPr>
      </w:pPr>
      <w:r w:rsidRPr="00E40001">
        <w:t>N.</w:t>
      </w:r>
      <w:r w:rsidRPr="00E40001">
        <w:tab/>
        <w:t xml:space="preserve">budući da se pretpostavka da </w:t>
      </w:r>
      <w:proofErr w:type="spellStart"/>
      <w:r w:rsidRPr="00E40001">
        <w:t>Bt</w:t>
      </w:r>
      <w:proofErr w:type="spellEnd"/>
      <w:r w:rsidRPr="00E40001">
        <w:t xml:space="preserve">-toksini pokazuju jedan ciljni način djelovanja više ne može smatrati točnom i ne mogu se isključiti učinci na </w:t>
      </w:r>
      <w:proofErr w:type="spellStart"/>
      <w:r w:rsidRPr="00E40001">
        <w:t>neciljne</w:t>
      </w:r>
      <w:proofErr w:type="spellEnd"/>
      <w:r w:rsidRPr="00E40001">
        <w:t xml:space="preserve"> organizme; budući da stižu izvješća o sve većem broju </w:t>
      </w:r>
      <w:proofErr w:type="spellStart"/>
      <w:r w:rsidRPr="00E40001">
        <w:t>neciljnih</w:t>
      </w:r>
      <w:proofErr w:type="spellEnd"/>
      <w:r w:rsidRPr="00E40001">
        <w:t xml:space="preserve"> organizama koji su višestruko pogođeni;</w:t>
      </w:r>
    </w:p>
    <w:p w:rsidR="007E2AB6" w:rsidRPr="00E40001" w:rsidRDefault="007E2AB6" w:rsidP="007E2AB6">
      <w:pPr>
        <w:pStyle w:val="NormalHanging12a"/>
        <w:rPr>
          <w:b/>
          <w:i/>
          <w:szCs w:val="24"/>
        </w:rPr>
      </w:pPr>
      <w:r w:rsidRPr="00E40001">
        <w:rPr>
          <w:b/>
          <w:i/>
        </w:rPr>
        <w:t>Primjedbe države članice i dionika</w:t>
      </w:r>
    </w:p>
    <w:p w:rsidR="007E2AB6" w:rsidRPr="00E40001" w:rsidRDefault="007E2AB6" w:rsidP="007E2AB6">
      <w:pPr>
        <w:pStyle w:val="NormalHanging12a"/>
        <w:tabs>
          <w:tab w:val="left" w:pos="0"/>
        </w:tabs>
        <w:suppressAutoHyphens/>
        <w:rPr>
          <w:szCs w:val="24"/>
        </w:rPr>
      </w:pPr>
      <w:r w:rsidRPr="00E40001">
        <w:t>O.</w:t>
      </w:r>
      <w:r w:rsidRPr="00E40001">
        <w:tab/>
        <w:t>budući da su države članice tijekom tromjesečnog razdoblja savjetovanja</w:t>
      </w:r>
      <w:r w:rsidRPr="00E40001">
        <w:rPr>
          <w:rStyle w:val="FootnoteReference"/>
          <w:szCs w:val="24"/>
        </w:rPr>
        <w:footnoteReference w:id="10"/>
      </w:r>
      <w:r w:rsidRPr="00E40001">
        <w:t xml:space="preserve"> EFSA-i dostavile brojne primjedbe, u koje se ubraja i ona da popis relevantnih studija, utvrđenih u pregledu literature podnositelja zahtjeva, nije uključivao studije o sudbini </w:t>
      </w:r>
      <w:proofErr w:type="spellStart"/>
      <w:r w:rsidRPr="00E40001">
        <w:t>Bt</w:t>
      </w:r>
      <w:proofErr w:type="spellEnd"/>
      <w:r w:rsidRPr="00E40001">
        <w:t xml:space="preserve">-proteina u okolišu ili o mogućim učincima ostataka </w:t>
      </w:r>
      <w:proofErr w:type="spellStart"/>
      <w:r w:rsidRPr="00E40001">
        <w:t>Bt</w:t>
      </w:r>
      <w:proofErr w:type="spellEnd"/>
      <w:r w:rsidRPr="00E40001">
        <w:t xml:space="preserve">-usjeva na </w:t>
      </w:r>
      <w:proofErr w:type="spellStart"/>
      <w:r w:rsidRPr="00E40001">
        <w:t>neciljne</w:t>
      </w:r>
      <w:proofErr w:type="spellEnd"/>
      <w:r w:rsidRPr="00E40001">
        <w:t xml:space="preserve"> organizme, iako takve studije postoje; </w:t>
      </w:r>
    </w:p>
    <w:p w:rsidR="007E2AB6" w:rsidRPr="00E40001" w:rsidRDefault="007E2AB6" w:rsidP="007E2AB6">
      <w:pPr>
        <w:pStyle w:val="NormalHanging12a"/>
        <w:tabs>
          <w:tab w:val="left" w:pos="0"/>
        </w:tabs>
        <w:suppressAutoHyphens/>
        <w:rPr>
          <w:szCs w:val="24"/>
        </w:rPr>
      </w:pPr>
      <w:bookmarkStart w:id="8" w:name="_GoBack_Copy_1"/>
      <w:bookmarkEnd w:id="8"/>
      <w:r w:rsidRPr="00E40001">
        <w:t>P.</w:t>
      </w:r>
      <w:r w:rsidRPr="00E40001">
        <w:tab/>
        <w:t xml:space="preserve">budući da u terenskim ispitivanjima sastava i </w:t>
      </w:r>
      <w:proofErr w:type="spellStart"/>
      <w:r w:rsidRPr="00E40001">
        <w:t>fenotipske</w:t>
      </w:r>
      <w:proofErr w:type="spellEnd"/>
      <w:r w:rsidRPr="00E40001">
        <w:t xml:space="preserve"> analize genetski modificiranog kukuruza nisu uzeti u obzir različiti okolišni uvjeti i genetska pozadina relevantna za njegov uzgoj, posebno u zemljama kao što je Brazil;</w:t>
      </w:r>
    </w:p>
    <w:p w:rsidR="007E2AB6" w:rsidRPr="00E40001" w:rsidRDefault="007E2AB6" w:rsidP="007E2AB6">
      <w:pPr>
        <w:pStyle w:val="NormalHanging12a"/>
        <w:tabs>
          <w:tab w:val="left" w:pos="0"/>
        </w:tabs>
        <w:suppressAutoHyphens/>
        <w:rPr>
          <w:szCs w:val="24"/>
        </w:rPr>
      </w:pPr>
      <w:r w:rsidRPr="00E40001">
        <w:t>Q.</w:t>
      </w:r>
      <w:r w:rsidRPr="00E40001">
        <w:tab/>
        <w:t>budući da procjena toksičnosti Cry1B.34 ne uzima u obzir kombinirane učinke sa sastojcima biljaka ili ostacima od primjene herbicida;</w:t>
      </w:r>
    </w:p>
    <w:p w:rsidR="007E2AB6" w:rsidRPr="00E40001" w:rsidRDefault="007E2AB6" w:rsidP="007E2AB6">
      <w:pPr>
        <w:pStyle w:val="NormalHanging12a"/>
        <w:tabs>
          <w:tab w:val="left" w:pos="0"/>
        </w:tabs>
        <w:suppressAutoHyphens/>
        <w:rPr>
          <w:szCs w:val="24"/>
        </w:rPr>
      </w:pPr>
      <w:r w:rsidRPr="00E40001">
        <w:t>R.</w:t>
      </w:r>
      <w:r w:rsidRPr="00E40001">
        <w:tab/>
        <w:t xml:space="preserve">budući da je </w:t>
      </w:r>
      <w:proofErr w:type="spellStart"/>
      <w:r w:rsidRPr="00E40001">
        <w:t>glufosinat</w:t>
      </w:r>
      <w:proofErr w:type="spellEnd"/>
      <w:r w:rsidRPr="00E40001">
        <w:t>, komplementarni herbicid, povezan sa znatnim rizicima za biološku raznolikost, kvalitetu tla i vode te dugoročno zdravlje ekosustava;</w:t>
      </w:r>
    </w:p>
    <w:p w:rsidR="007E2AB6" w:rsidRPr="00E40001" w:rsidRDefault="007E2AB6" w:rsidP="007E2AB6">
      <w:pPr>
        <w:pStyle w:val="NormalHanging12a"/>
        <w:tabs>
          <w:tab w:val="left" w:pos="0"/>
        </w:tabs>
        <w:suppressAutoHyphens/>
        <w:rPr>
          <w:szCs w:val="24"/>
        </w:rPr>
      </w:pPr>
      <w:r w:rsidRPr="00E40001">
        <w:t>S.</w:t>
      </w:r>
      <w:r w:rsidRPr="00E40001">
        <w:tab/>
        <w:t xml:space="preserve">budući da rizik od genske migracije u populaciju divljih srodnika kao što je </w:t>
      </w:r>
      <w:proofErr w:type="spellStart"/>
      <w:r w:rsidRPr="00E40001">
        <w:t>teosint</w:t>
      </w:r>
      <w:proofErr w:type="spellEnd"/>
      <w:r w:rsidRPr="00E40001">
        <w:t xml:space="preserve">, koji je prijavljen u Španjolskoj i Francuskoj, izaziva zabrinutost zbog </w:t>
      </w:r>
      <w:proofErr w:type="spellStart"/>
      <w:r w:rsidRPr="00E40001">
        <w:t>transgene</w:t>
      </w:r>
      <w:proofErr w:type="spellEnd"/>
      <w:r w:rsidRPr="00E40001">
        <w:t xml:space="preserve"> otpornosti i utjecaja na okoliš;</w:t>
      </w:r>
    </w:p>
    <w:p w:rsidR="007E2AB6" w:rsidRPr="00E40001" w:rsidRDefault="007E2AB6" w:rsidP="007E2AB6">
      <w:pPr>
        <w:pStyle w:val="NormalHanging12a"/>
        <w:tabs>
          <w:tab w:val="left" w:pos="0"/>
        </w:tabs>
        <w:suppressAutoHyphens/>
        <w:rPr>
          <w:szCs w:val="24"/>
        </w:rPr>
      </w:pPr>
      <w:r w:rsidRPr="00E40001">
        <w:t>T.</w:t>
      </w:r>
      <w:r w:rsidRPr="00E40001">
        <w:tab/>
        <w:t>budući da se na zahtjeve koji se primjenjuju na praćenje iz Provedbene uredbe (EU) br. 503/2013 ne odgovara adekvatan način, bez neovisne provjere dostavljenih podataka;</w:t>
      </w:r>
    </w:p>
    <w:p w:rsidR="007E2AB6" w:rsidRPr="00E40001" w:rsidRDefault="007E2AB6" w:rsidP="007E2AB6">
      <w:pPr>
        <w:pStyle w:val="NormalHanging12a"/>
        <w:rPr>
          <w:b/>
          <w:i/>
          <w:szCs w:val="24"/>
        </w:rPr>
      </w:pPr>
      <w:r w:rsidRPr="00E40001">
        <w:rPr>
          <w:b/>
          <w:i/>
        </w:rPr>
        <w:lastRenderedPageBreak/>
        <w:t>Osiguravanje jednakih uvjeta na globalnoj razini i poštovanje međunarodnih obveza Unije</w:t>
      </w:r>
    </w:p>
    <w:p w:rsidR="007E2AB6" w:rsidRPr="00E40001" w:rsidRDefault="007E2AB6" w:rsidP="007E2AB6">
      <w:pPr>
        <w:pStyle w:val="NormalHanging12a"/>
        <w:tabs>
          <w:tab w:val="left" w:pos="0"/>
        </w:tabs>
        <w:suppressAutoHyphens/>
        <w:rPr>
          <w:szCs w:val="24"/>
        </w:rPr>
      </w:pPr>
      <w:r w:rsidRPr="00E40001">
        <w:t>U.</w:t>
      </w:r>
      <w:r w:rsidRPr="00E40001">
        <w:tab/>
        <w:t>budući da se u zaključcima strateškog dijaloga o budućnosti poljoprivrede u EU-u</w:t>
      </w:r>
      <w:r w:rsidRPr="00E40001">
        <w:rPr>
          <w:vertAlign w:val="superscript"/>
        </w:rPr>
        <w:footnoteReference w:id="11"/>
      </w:r>
      <w:r w:rsidRPr="00E40001">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rsidR="007E2AB6" w:rsidRPr="00E40001" w:rsidRDefault="007E2AB6" w:rsidP="007E2AB6">
      <w:pPr>
        <w:pStyle w:val="NormalHanging12a"/>
        <w:tabs>
          <w:tab w:val="left" w:pos="0"/>
        </w:tabs>
        <w:suppressAutoHyphens/>
      </w:pPr>
      <w:r w:rsidRPr="00E40001">
        <w:t>V.</w:t>
      </w:r>
      <w:r w:rsidRPr="00E40001">
        <w:tab/>
        <w:t>budući da se u izvješću posebne izvjestiteljice Ujedinjenih naroda (UN) za pravo na hranu iz 2017. godine zaključuje da opasni pesticidi, posebno u zemljama u razvoju, imaju katastrofalne učinke na zdravlje</w:t>
      </w:r>
      <w:r w:rsidRPr="00E40001">
        <w:rPr>
          <w:vertAlign w:val="superscript"/>
        </w:rPr>
        <w:footnoteReference w:id="12"/>
      </w:r>
      <w:r w:rsidRPr="00E40001">
        <w:t>; budući da se u okviru cilja održivog razvoja UN-a br. 3.9. do 2030. želi u velikoj mjeri smanjiti broj smrtnih slučajeva i bolesti prouzročenih opasnim kemikalijama te onečišćenjem i kontaminacijom zraka, vode i tla</w:t>
      </w:r>
      <w:r w:rsidRPr="00E40001">
        <w:rPr>
          <w:rStyle w:val="FootnoteReference"/>
          <w:szCs w:val="24"/>
        </w:rPr>
        <w:footnoteReference w:id="13"/>
      </w:r>
      <w:r w:rsidRPr="00E40001">
        <w:t>;</w:t>
      </w:r>
    </w:p>
    <w:p w:rsidR="003769D8" w:rsidRPr="00E40001" w:rsidRDefault="003769D8" w:rsidP="007E2AB6">
      <w:pPr>
        <w:pStyle w:val="NormalHanging12a"/>
        <w:tabs>
          <w:tab w:val="left" w:pos="0"/>
        </w:tabs>
        <w:suppressAutoHyphens/>
        <w:rPr>
          <w:szCs w:val="24"/>
        </w:rPr>
      </w:pPr>
      <w:r w:rsidRPr="00E40001">
        <w:rPr>
          <w:szCs w:val="24"/>
        </w:rPr>
        <w:t>W.</w:t>
      </w:r>
      <w:r w:rsidRPr="00E40001">
        <w:rPr>
          <w:szCs w:val="24"/>
        </w:rPr>
        <w:tab/>
        <w:t xml:space="preserve">budući da će se sporazumom o trgovini između EU-a i </w:t>
      </w:r>
      <w:proofErr w:type="spellStart"/>
      <w:r w:rsidRPr="00E40001">
        <w:rPr>
          <w:szCs w:val="24"/>
        </w:rPr>
        <w:t>Mercosura</w:t>
      </w:r>
      <w:proofErr w:type="spellEnd"/>
      <w:r w:rsidRPr="00E40001">
        <w:rPr>
          <w:szCs w:val="24"/>
        </w:rPr>
        <w:t xml:space="preserve"> potaknuti uvoz u Uniju hrane i hrane za životinje koja sadržava genetski modificirane organizme, sastoji se od njih ili je proizvedena od njih; budući da su Brazil i Argentina među najvećim svjetskim proizvođačima GMO-a i korisnicima pesticida, uključujući genetski modificirane organizme i pesticide koji su u Uniji zabranjeni iz zdravstvenih ili ekoloških razloga; </w:t>
      </w:r>
    </w:p>
    <w:p w:rsidR="007E2AB6" w:rsidRPr="00E40001" w:rsidRDefault="003769D8" w:rsidP="007E2AB6">
      <w:pPr>
        <w:pStyle w:val="NormalHanging12a"/>
        <w:tabs>
          <w:tab w:val="left" w:pos="0"/>
        </w:tabs>
        <w:suppressAutoHyphens/>
        <w:rPr>
          <w:szCs w:val="24"/>
        </w:rPr>
      </w:pPr>
      <w:r w:rsidRPr="00E40001">
        <w:t>X</w:t>
      </w:r>
      <w:r w:rsidR="007E2AB6" w:rsidRPr="00E40001">
        <w:t>.</w:t>
      </w:r>
      <w:r w:rsidR="007E2AB6" w:rsidRPr="00E40001">
        <w:tab/>
        <w:t xml:space="preserve">budući da Globalni okvir za biološku raznolikost iz </w:t>
      </w:r>
      <w:proofErr w:type="spellStart"/>
      <w:r w:rsidR="007E2AB6" w:rsidRPr="00E40001">
        <w:t>Kunminga</w:t>
      </w:r>
      <w:proofErr w:type="spellEnd"/>
      <w:r w:rsidR="007E2AB6" w:rsidRPr="00E40001">
        <w:t xml:space="preserve"> i Montreala, dogovoren na konferenciji COP15 Konvencije UN-a o biološkoj raznolikosti (UN CBD) u prosincu 2022., uključuje globalni cilj smanjenja rizika od pesticida za najmanje 50 % do 2030.</w:t>
      </w:r>
      <w:r w:rsidR="007E2AB6" w:rsidRPr="00E40001">
        <w:rPr>
          <w:vertAlign w:val="superscript"/>
        </w:rPr>
        <w:footnoteReference w:id="14"/>
      </w:r>
      <w:r w:rsidR="007E2AB6" w:rsidRPr="00E40001">
        <w:t>;</w:t>
      </w:r>
    </w:p>
    <w:p w:rsidR="007E2AB6" w:rsidRPr="00E40001" w:rsidRDefault="003769D8" w:rsidP="007E2AB6">
      <w:pPr>
        <w:pStyle w:val="NormalHanging12a"/>
        <w:tabs>
          <w:tab w:val="left" w:pos="0"/>
        </w:tabs>
        <w:suppressAutoHyphens/>
        <w:rPr>
          <w:szCs w:val="24"/>
        </w:rPr>
      </w:pPr>
      <w:r w:rsidRPr="00E40001">
        <w:t>Y</w:t>
      </w:r>
      <w:r w:rsidR="007E2AB6" w:rsidRPr="00E40001">
        <w:t>.</w:t>
      </w:r>
      <w:r w:rsidR="007E2AB6" w:rsidRPr="00E40001">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faktori trebali obuhvaćati obveze Unije u okviru ciljeva održivog razvoja UN-a i Konvencije UN-a o biološkoj raznolikosti;</w:t>
      </w:r>
    </w:p>
    <w:p w:rsidR="007E2AB6" w:rsidRPr="00E40001" w:rsidRDefault="007E2AB6" w:rsidP="007E2AB6">
      <w:pPr>
        <w:pStyle w:val="NormalHanging12a"/>
        <w:rPr>
          <w:b/>
          <w:i/>
          <w:szCs w:val="24"/>
        </w:rPr>
      </w:pPr>
      <w:r w:rsidRPr="00E40001">
        <w:rPr>
          <w:b/>
          <w:i/>
        </w:rPr>
        <w:t>Smanjenje ovisnosti o uvezenoj hrani za životinje</w:t>
      </w:r>
    </w:p>
    <w:p w:rsidR="007E2AB6" w:rsidRPr="00E40001" w:rsidRDefault="003769D8" w:rsidP="007E2AB6">
      <w:pPr>
        <w:pStyle w:val="NormalHanging12a"/>
        <w:tabs>
          <w:tab w:val="left" w:pos="0"/>
        </w:tabs>
        <w:suppressAutoHyphens/>
        <w:rPr>
          <w:b/>
          <w:i/>
          <w:szCs w:val="24"/>
        </w:rPr>
      </w:pPr>
      <w:r w:rsidRPr="00E40001">
        <w:t>Z</w:t>
      </w:r>
      <w:r w:rsidR="007E2AB6" w:rsidRPr="00E40001">
        <w:t>.</w:t>
      </w:r>
      <w:r w:rsidR="007E2AB6" w:rsidRPr="00E40001">
        <w:tab/>
        <w:t xml:space="preserve">budući da je jedna od pouka izvučenih iz krize prouzročene bolešću COVID-19 i rata u Ukrajini koji je još u tijeku to da Unija treba okončati ovisnost u pogledu određenih ključnih materijala; budući da predsjednica Komisije </w:t>
      </w:r>
      <w:proofErr w:type="spellStart"/>
      <w:r w:rsidR="007E2AB6" w:rsidRPr="00E40001">
        <w:t>Ursula</w:t>
      </w:r>
      <w:proofErr w:type="spellEnd"/>
      <w:r w:rsidR="007E2AB6" w:rsidRPr="00E40001">
        <w:t xml:space="preserve"> von </w:t>
      </w:r>
      <w:proofErr w:type="spellStart"/>
      <w:r w:rsidR="007E2AB6" w:rsidRPr="00E40001">
        <w:t>der</w:t>
      </w:r>
      <w:proofErr w:type="spellEnd"/>
      <w:r w:rsidR="007E2AB6" w:rsidRPr="00E40001">
        <w:t xml:space="preserve"> </w:t>
      </w:r>
      <w:proofErr w:type="spellStart"/>
      <w:r w:rsidR="007E2AB6" w:rsidRPr="00E40001">
        <w:t>Leyen</w:t>
      </w:r>
      <w:proofErr w:type="spellEnd"/>
      <w:r w:rsidR="007E2AB6" w:rsidRPr="00E40001">
        <w:t xml:space="preserve"> u mandatnom pismu od novoizabranog povjerenika </w:t>
      </w:r>
      <w:proofErr w:type="spellStart"/>
      <w:r w:rsidR="007E2AB6" w:rsidRPr="00E40001">
        <w:t>Christophea</w:t>
      </w:r>
      <w:proofErr w:type="spellEnd"/>
      <w:r w:rsidR="007E2AB6" w:rsidRPr="00E40001">
        <w:t xml:space="preserve"> </w:t>
      </w:r>
      <w:proofErr w:type="spellStart"/>
      <w:r w:rsidR="007E2AB6" w:rsidRPr="00E40001">
        <w:t>Hansena</w:t>
      </w:r>
      <w:proofErr w:type="spellEnd"/>
      <w:r w:rsidR="007E2AB6" w:rsidRPr="00E40001">
        <w:t xml:space="preserve"> traži da </w:t>
      </w:r>
      <w:r w:rsidR="007E2AB6" w:rsidRPr="00E40001">
        <w:lastRenderedPageBreak/>
        <w:t>razmotri načine za smanjenje uvoza kritičnih vrsta robe</w:t>
      </w:r>
      <w:r w:rsidR="007E2AB6" w:rsidRPr="00E40001">
        <w:rPr>
          <w:rStyle w:val="FootnoteReference"/>
          <w:szCs w:val="24"/>
        </w:rPr>
        <w:footnoteReference w:id="15"/>
      </w:r>
      <w:r w:rsidR="007E2AB6" w:rsidRPr="00E40001">
        <w:t xml:space="preserve">; </w:t>
      </w:r>
    </w:p>
    <w:p w:rsidR="007E2AB6" w:rsidRPr="00E40001" w:rsidRDefault="007E2AB6" w:rsidP="007E2AB6">
      <w:pPr>
        <w:pStyle w:val="NormalHanging12a"/>
        <w:rPr>
          <w:b/>
          <w:i/>
          <w:szCs w:val="24"/>
        </w:rPr>
      </w:pPr>
      <w:r w:rsidRPr="00E40001">
        <w:rPr>
          <w:b/>
          <w:i/>
        </w:rPr>
        <w:t>Nedemokratsko donošenje odluka</w:t>
      </w:r>
    </w:p>
    <w:p w:rsidR="007E2AB6" w:rsidRPr="00E40001" w:rsidRDefault="003769D8" w:rsidP="007E2AB6">
      <w:pPr>
        <w:pStyle w:val="NormalHanging12a"/>
        <w:tabs>
          <w:tab w:val="left" w:pos="0"/>
        </w:tabs>
        <w:suppressAutoHyphens/>
        <w:rPr>
          <w:szCs w:val="24"/>
        </w:rPr>
      </w:pPr>
      <w:r w:rsidRPr="00E40001">
        <w:t>AA</w:t>
      </w:r>
      <w:r w:rsidR="007E2AB6" w:rsidRPr="00E40001">
        <w:t>.</w:t>
      </w:r>
      <w:r w:rsidR="007E2AB6" w:rsidRPr="00E40001">
        <w:tab/>
        <w:t>budući da je Parlament u svom osmom sazivu donio ukupno 36 rezolucija u kojima se usprotivio stavljanju na tržište genetski modificiranih organizama za hranu i hranu za životinje (33 rezolucije) i uzgoju genetski modificiranih organizama u Uniji (tri rezolucije); budući da je Parlament u svom devetom sazivu donio 38 rezolucija u kojima se usprotivio stavljanju genetski modificiranih organizama na tržište te još osam rezolucija u kojima se usprotivio stavljanju GMO-a na tržište već u sadašnjem, desetom sazivu;</w:t>
      </w:r>
    </w:p>
    <w:p w:rsidR="007E2AB6" w:rsidRPr="00E40001" w:rsidRDefault="003769D8" w:rsidP="007E2AB6">
      <w:pPr>
        <w:pStyle w:val="NormalHanging12a"/>
        <w:tabs>
          <w:tab w:val="left" w:pos="0"/>
        </w:tabs>
        <w:suppressAutoHyphens/>
        <w:rPr>
          <w:szCs w:val="24"/>
        </w:rPr>
      </w:pPr>
      <w:r w:rsidRPr="00E40001">
        <w:t>AB</w:t>
      </w:r>
      <w:r w:rsidR="007E2AB6" w:rsidRPr="00E40001">
        <w:t>.</w:t>
      </w:r>
      <w:r w:rsidR="007E2AB6" w:rsidRPr="00E40001">
        <w:tab/>
        <w:t>budući da Komisija i dalje izdaje odobrenja za genetski modificirane organizme unatoč tome što je i sama priznala postojanje demokratskih nedostataka te usprkos izostanku potpore država članica i prigovorima Parlamenta;</w:t>
      </w:r>
    </w:p>
    <w:p w:rsidR="007E2AB6" w:rsidRPr="00E40001" w:rsidRDefault="003769D8" w:rsidP="007E2AB6">
      <w:pPr>
        <w:pStyle w:val="NormalHanging12a"/>
        <w:tabs>
          <w:tab w:val="left" w:pos="0"/>
        </w:tabs>
        <w:suppressAutoHyphens/>
        <w:rPr>
          <w:szCs w:val="24"/>
        </w:rPr>
      </w:pPr>
      <w:r w:rsidRPr="00E40001">
        <w:t>AC</w:t>
      </w:r>
      <w:r w:rsidR="007E2AB6" w:rsidRPr="00E40001">
        <w:t>.</w:t>
      </w:r>
      <w:r w:rsidR="007E2AB6" w:rsidRPr="00E40001">
        <w:tab/>
        <w:t>budući da onda kad u žalbenom odboru davanje odobrenja nije podržala kvalificirana većina država članica nije potrebno mijenjati zakonodavstvo kako bi se Komisiji omogućilo da uskrati odobrenje za genetski modificirane organizme</w:t>
      </w:r>
      <w:r w:rsidR="007E2AB6" w:rsidRPr="00E40001">
        <w:rPr>
          <w:rStyle w:val="FootnoteReference"/>
          <w:szCs w:val="24"/>
        </w:rPr>
        <w:footnoteReference w:id="16"/>
      </w:r>
      <w:r w:rsidR="007E2AB6" w:rsidRPr="00E40001">
        <w:t>;</w:t>
      </w:r>
    </w:p>
    <w:p w:rsidR="007E2AB6" w:rsidRPr="00E40001" w:rsidRDefault="003769D8" w:rsidP="007E2AB6">
      <w:pPr>
        <w:suppressAutoHyphens/>
        <w:spacing w:after="240"/>
        <w:ind w:left="567" w:hanging="567"/>
        <w:rPr>
          <w:szCs w:val="24"/>
          <w:shd w:val="clear" w:color="auto" w:fill="FFFFFF"/>
        </w:rPr>
      </w:pPr>
      <w:r w:rsidRPr="00E40001">
        <w:t>AD</w:t>
      </w:r>
      <w:r w:rsidR="007E2AB6" w:rsidRPr="00E40001">
        <w:t>.</w:t>
      </w:r>
      <w:r w:rsidR="007E2AB6" w:rsidRPr="00E40001">
        <w:tab/>
      </w:r>
      <w:r w:rsidR="007E2AB6" w:rsidRPr="00E40001">
        <w:rPr>
          <w:shd w:val="clear" w:color="auto" w:fill="FFFFFF"/>
        </w:rPr>
        <w:t>budući da na glasovanju Stalnog odbora za bilje, životinje, hranu i hranu za životinje iz članka 35. Uredbe (EZ) br. 1829/2003, koje je održano 22. studenog</w:t>
      </w:r>
      <w:r w:rsidR="001C2A79">
        <w:rPr>
          <w:shd w:val="clear" w:color="auto" w:fill="FFFFFF"/>
        </w:rPr>
        <w:t>a</w:t>
      </w:r>
      <w:r w:rsidR="007E2AB6" w:rsidRPr="00E40001">
        <w:rPr>
          <w:shd w:val="clear" w:color="auto" w:fill="FFFFFF"/>
        </w:rPr>
        <w:t xml:space="preserve"> 2024., nije doneseno nikakvo mišljenje, što znači da kvalificirana većina država članica nije podržala odobrenje; budući da nakon glasovanja 17. prosinca 2024. žalbeni odbor ponovno nije donio mišljenje;</w:t>
      </w:r>
    </w:p>
    <w:p w:rsidR="007E2AB6" w:rsidRPr="00E40001" w:rsidRDefault="007E2AB6" w:rsidP="007E2AB6">
      <w:pPr>
        <w:pStyle w:val="NormalHanging12a"/>
        <w:rPr>
          <w:szCs w:val="24"/>
        </w:rPr>
      </w:pPr>
      <w:r w:rsidRPr="00E40001">
        <w:t>1.</w:t>
      </w:r>
      <w:r w:rsidRPr="00E40001">
        <w:tab/>
        <w:t>smatra da Nacrt provedbene odluke Komisije prekoračuje provedbene ovlasti predviđene Uredbom (EZ) br. 1829/2003;</w:t>
      </w:r>
    </w:p>
    <w:p w:rsidR="007E2AB6" w:rsidRPr="00E40001" w:rsidRDefault="007E2AB6" w:rsidP="007E2AB6">
      <w:pPr>
        <w:pStyle w:val="NormalHanging12a"/>
        <w:rPr>
          <w:szCs w:val="24"/>
        </w:rPr>
      </w:pPr>
      <w:r w:rsidRPr="00E40001">
        <w:t>2.</w:t>
      </w:r>
      <w:r w:rsidRPr="00E40001">
        <w:tab/>
        <w:t>smatra da Nacrt provedbene odluke Komisije nije u skladu s pravom Unije jer nije spojiv s ciljem Uredbe (EZ) br. 1829/2003, a on je, u skladu s općim načelima utvrđenima u Uredbi (EZ) br. 178/2002 Europskog parlamenta i Vijeća</w:t>
      </w:r>
      <w:r w:rsidRPr="00E40001">
        <w:rPr>
          <w:rStyle w:val="FootnoteReference"/>
          <w:szCs w:val="24"/>
        </w:rPr>
        <w:footnoteReference w:id="17"/>
      </w:r>
      <w:r w:rsidRPr="00E40001">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7E2AB6" w:rsidRPr="00E40001" w:rsidRDefault="007E2AB6" w:rsidP="007E2AB6">
      <w:pPr>
        <w:pStyle w:val="NormalHanging12a"/>
        <w:rPr>
          <w:szCs w:val="24"/>
        </w:rPr>
      </w:pPr>
      <w:r w:rsidRPr="00E40001">
        <w:t>3.</w:t>
      </w:r>
      <w:r w:rsidRPr="00E40001">
        <w:tab/>
        <w:t>poziva Komisiju da povuče svoj Nacrt provedbene odluke te da odboru podnese novi nacrt;</w:t>
      </w:r>
    </w:p>
    <w:p w:rsidR="007E2AB6" w:rsidRPr="00E40001" w:rsidRDefault="007E2AB6" w:rsidP="007E2AB6">
      <w:pPr>
        <w:pStyle w:val="NormalHanging12a"/>
        <w:rPr>
          <w:szCs w:val="24"/>
        </w:rPr>
      </w:pPr>
      <w:r w:rsidRPr="00E40001">
        <w:t>4.</w:t>
      </w:r>
      <w:r w:rsidRPr="00E40001">
        <w:tab/>
        <w:t>poziva Komisiju da osigura konvergenciju standarda Unije i njezinih partnera u pregovorima o sporazumu o slobodnoj trgovini kako bi se zadovoljili sigurnosni standardi Unije;</w:t>
      </w:r>
    </w:p>
    <w:p w:rsidR="007E2AB6" w:rsidRPr="00E40001" w:rsidRDefault="007E2AB6" w:rsidP="007E2AB6">
      <w:pPr>
        <w:pStyle w:val="NormalHanging12a"/>
        <w:rPr>
          <w:szCs w:val="24"/>
        </w:rPr>
      </w:pPr>
      <w:r w:rsidRPr="00E40001">
        <w:lastRenderedPageBreak/>
        <w:t>5.</w:t>
      </w:r>
      <w:r w:rsidRPr="00E40001">
        <w:tab/>
        <w:t>poziva Komisiju da ne odobri genetski modificirani kukuruz zbog povećanih rizika za biološku raznolikost, sigurnost hrane i zdravlje radnika, a u skladu s pristupom „Jedno zdravlje”;</w:t>
      </w:r>
    </w:p>
    <w:p w:rsidR="007E2AB6" w:rsidRPr="00E40001" w:rsidRDefault="007E2AB6" w:rsidP="007E2AB6">
      <w:pPr>
        <w:pStyle w:val="NormalHanging12a"/>
        <w:rPr>
          <w:szCs w:val="24"/>
        </w:rPr>
      </w:pPr>
      <w:r w:rsidRPr="00E40001">
        <w:t>6.</w:t>
      </w:r>
      <w:r w:rsidRPr="00E40001">
        <w:tab/>
        <w:t>očekuje od Komisije da hitno ispuni obvezu</w:t>
      </w:r>
      <w:r w:rsidRPr="00E40001">
        <w:rPr>
          <w:rStyle w:val="FootnoteReference"/>
          <w:szCs w:val="24"/>
        </w:rPr>
        <w:footnoteReference w:id="18"/>
      </w:r>
      <w:r w:rsidRPr="00E40001">
        <w:t xml:space="preserve"> iznošenja prijedloga kojim će se osigurati da se opasne kemikalije zabranjene u Uniji ne proizvode za izvoz;</w:t>
      </w:r>
    </w:p>
    <w:p w:rsidR="007E2AB6" w:rsidRPr="00E40001" w:rsidRDefault="007E2AB6" w:rsidP="007E2AB6">
      <w:pPr>
        <w:pStyle w:val="NormalHanging12a"/>
        <w:rPr>
          <w:szCs w:val="24"/>
        </w:rPr>
      </w:pPr>
      <w:r w:rsidRPr="00E40001">
        <w:t>7.</w:t>
      </w:r>
      <w:r w:rsidRPr="00E40001">
        <w:tab/>
        <w:t>pozdravlja činjenicu da je Komisija u dopisu zastupnicima od 11. rujna 2020. konačno uvidjela potrebu da se pri donošenju odluka o odobravanju genetski modificiranih organizama u obzir uzme održivost</w:t>
      </w:r>
      <w:r w:rsidRPr="00E40001">
        <w:rPr>
          <w:rStyle w:val="FootnoteReference"/>
          <w:szCs w:val="24"/>
        </w:rPr>
        <w:footnoteReference w:id="19"/>
      </w:r>
      <w:r w:rsidRPr="00E40001">
        <w:t>; međutim, izražava duboko razočaranje zbog toga što Komisija i dalje odobrava uvoz genetski modificiranih organizama u Uniju unatoč stalnim prigovorima Parlamenta i činjenici da većina država članica glasuje protiv;</w:t>
      </w:r>
    </w:p>
    <w:p w:rsidR="007E2AB6" w:rsidRPr="00E40001" w:rsidRDefault="007E2AB6" w:rsidP="007E2AB6">
      <w:pPr>
        <w:pStyle w:val="NormalHanging12a"/>
      </w:pPr>
      <w:r w:rsidRPr="00E40001">
        <w:t>8.</w:t>
      </w:r>
      <w:r w:rsidRPr="00E40001">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proofErr w:type="spellStart"/>
      <w:r w:rsidRPr="00E40001">
        <w:t>nenanošenja</w:t>
      </w:r>
      <w:proofErr w:type="spellEnd"/>
      <w:r w:rsidRPr="00E40001">
        <w:t xml:space="preserve"> štete”</w:t>
      </w:r>
      <w:r w:rsidRPr="00E40001">
        <w:rPr>
          <w:rStyle w:val="FootnoteReference"/>
          <w:szCs w:val="24"/>
        </w:rPr>
        <w:footnoteReference w:id="20"/>
      </w:r>
      <w:r w:rsidRPr="00E40001">
        <w:t xml:space="preserve">; </w:t>
      </w:r>
    </w:p>
    <w:p w:rsidR="00E11503" w:rsidRPr="00E40001" w:rsidRDefault="007E2AB6" w:rsidP="00E11503">
      <w:pPr>
        <w:pStyle w:val="NormalHanging12a"/>
      </w:pPr>
      <w:r w:rsidRPr="00E40001">
        <w:t>9.</w:t>
      </w:r>
      <w:r w:rsidRPr="00E40001">
        <w:tab/>
        <w:t>nalaže svojoj predsjednici da ovu Rezoluciju proslijedi Vijeću i Komisiji te vladama i parlamentima država članica.</w:t>
      </w:r>
    </w:p>
    <w:p w:rsidR="00E365E1" w:rsidRPr="00E40001" w:rsidRDefault="00E365E1" w:rsidP="00FE4D3F"/>
    <w:sectPr w:rsidR="00E365E1" w:rsidRPr="00E40001" w:rsidSect="00E115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D3F" w:rsidRPr="00E11503" w:rsidRDefault="00FE4D3F">
      <w:r w:rsidRPr="00E11503">
        <w:separator/>
      </w:r>
    </w:p>
  </w:endnote>
  <w:endnote w:type="continuationSeparator" w:id="0">
    <w:p w:rsidR="00FE4D3F" w:rsidRPr="00E11503" w:rsidRDefault="00FE4D3F">
      <w:r w:rsidRPr="00E11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D3F" w:rsidRPr="00E11503" w:rsidRDefault="00FE4D3F">
      <w:r w:rsidRPr="00E11503">
        <w:separator/>
      </w:r>
    </w:p>
  </w:footnote>
  <w:footnote w:type="continuationSeparator" w:id="0">
    <w:p w:rsidR="00FE4D3F" w:rsidRPr="00E11503" w:rsidRDefault="00FE4D3F">
      <w:r w:rsidRPr="00E11503">
        <w:continuationSeparator/>
      </w:r>
    </w:p>
  </w:footnote>
  <w:footnote w:id="1">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SL L 268, 18.10.2003., str. 1., ELI: </w:t>
      </w:r>
      <w:hyperlink r:id="rId1" w:tgtFrame="Gives access to this document through its ELI URI." w:history="1">
        <w:r w:rsidRPr="00E11503">
          <w:rPr>
            <w:rStyle w:val="Hyperlink"/>
            <w:color w:val="000000" w:themeColor="text1"/>
            <w:sz w:val="24"/>
            <w:lang w:val="hr-HR"/>
          </w:rPr>
          <w:t>https://eur-lex.europa.eu/legal-content/HR/TXT/PDF/?uri=CELEX:32003R1829</w:t>
        </w:r>
      </w:hyperlink>
      <w:r w:rsidRPr="00E11503">
        <w:rPr>
          <w:color w:val="000000" w:themeColor="text1"/>
          <w:sz w:val="24"/>
          <w:lang w:val="hr-HR"/>
        </w:rPr>
        <w:t>.</w:t>
      </w:r>
    </w:p>
  </w:footnote>
  <w:footnote w:id="2">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SL L 55, 28.2.2011., str. 13., ELI: </w:t>
      </w:r>
      <w:hyperlink r:id="rId2" w:tgtFrame="Gives access to this document through its ELI URI." w:history="1">
        <w:r w:rsidRPr="00E11503">
          <w:rPr>
            <w:rStyle w:val="Hyperlink"/>
            <w:color w:val="000000" w:themeColor="text1"/>
            <w:sz w:val="24"/>
            <w:lang w:val="hr-HR"/>
          </w:rPr>
          <w:t>https://eur-lex.europa.eu/legal-content/HR/TXT/PDF/?uri=CELEX:32011R0182</w:t>
        </w:r>
      </w:hyperlink>
      <w:r w:rsidRPr="00E11503">
        <w:rPr>
          <w:color w:val="000000" w:themeColor="text1"/>
          <w:sz w:val="24"/>
          <w:lang w:val="hr-HR"/>
        </w:rPr>
        <w:t>.</w:t>
      </w:r>
    </w:p>
  </w:footnote>
  <w:footnote w:id="3">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 xml:space="preserve">Znanstveno mišljenje EFSA-ina Povjerenstva za genetski modificirane organizme o procjeni genetski modificiranog kukuruza DP910521 (zahtjev GMFF-2021-2473), EFSA Journal 2024;22(8):e8887, </w:t>
      </w:r>
      <w:hyperlink r:id="rId3" w:history="1">
        <w:r w:rsidRPr="00E11503">
          <w:rPr>
            <w:rStyle w:val="Hyperlink"/>
            <w:color w:val="000000" w:themeColor="text1"/>
            <w:sz w:val="24"/>
            <w:lang w:val="hr-HR"/>
          </w:rPr>
          <w:t>https://doi.org/10.2903/j.efsa.2024.8887</w:t>
        </w:r>
      </w:hyperlink>
      <w:r w:rsidRPr="00E11503">
        <w:rPr>
          <w:color w:val="000000" w:themeColor="text1"/>
          <w:sz w:val="24"/>
          <w:lang w:val="hr-HR"/>
        </w:rPr>
        <w:t xml:space="preserve">. </w:t>
      </w:r>
    </w:p>
  </w:footnote>
  <w:footnote w:id="4">
    <w:p w:rsidR="007E2AB6" w:rsidRPr="00E11503" w:rsidRDefault="007E2AB6" w:rsidP="00E11503">
      <w:pPr>
        <w:pStyle w:val="FootnoteText"/>
        <w:ind w:left="567" w:hanging="567"/>
        <w:rPr>
          <w:color w:val="000000" w:themeColor="text1"/>
          <w:sz w:val="24"/>
          <w:vertAlign w:val="superscript"/>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Parlament je u osmom sazivu donio 36, a u devetom sazivu 38 rezolucija u kojima se protivi odobravanju GMO-a. Nadalje, u desetom sazivu Parlament je donio sljedeće rezolucije:</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w:t>
      </w:r>
      <w:r w:rsidR="007E2AB6" w:rsidRPr="00E11503">
        <w:rPr>
          <w:color w:val="000000" w:themeColor="text1"/>
          <w:sz w:val="24"/>
          <w:lang w:val="hr-HR"/>
        </w:rPr>
        <w:t>studenog</w:t>
      </w:r>
      <w:r w:rsidR="001C2A79">
        <w:rPr>
          <w:color w:val="000000" w:themeColor="text1"/>
          <w:sz w:val="24"/>
          <w:lang w:val="hr-HR"/>
        </w:rPr>
        <w:t>a</w:t>
      </w:r>
      <w:r w:rsidR="007E2AB6" w:rsidRPr="00E11503">
        <w:rPr>
          <w:color w:val="000000" w:themeColor="text1"/>
          <w:sz w:val="24"/>
          <w:lang w:val="hr-HR"/>
        </w:rPr>
        <w:t>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(P10_TA(2024)0038)</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2024. o Provedbenoj odluci Komisije (EU) 2024/2627 o odobravanju stavljanja na tržište proizvoda koji sadržavaju genetski modificirani pamuk COT102, od njega se sastoje ili su od njega proizvedeni, u skladu s Uredbom (EZ) br. 1829/2003 Europskog parlamenta i Vijeća (P10_TA(2024)0039)</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xml:space="preserve"> 2024. o Provedbenoj odluci Komisije (EU) 2024/2629 o produljenju odobrenja za stavljanje na tržište proizvoda koji sadržavaju genetski modificirani kukuruz MON 89034 × 1507 × MON 88017 × 59122 i osam njegovih </w:t>
      </w:r>
      <w:proofErr w:type="spellStart"/>
      <w:r w:rsidR="007E2AB6" w:rsidRPr="00E11503">
        <w:rPr>
          <w:color w:val="000000" w:themeColor="text1"/>
          <w:sz w:val="24"/>
          <w:lang w:val="hr-HR"/>
        </w:rPr>
        <w:t>potkombinacija</w:t>
      </w:r>
      <w:proofErr w:type="spellEnd"/>
      <w:r w:rsidR="007E2AB6" w:rsidRPr="00E11503">
        <w:rPr>
          <w:color w:val="000000" w:themeColor="text1"/>
          <w:sz w:val="24"/>
          <w:lang w:val="hr-HR"/>
        </w:rPr>
        <w:t>, sastoje se ili su proizvedeni od njih, u skladu s Uredbom (EZ) br. 1829/2003 Europskog parlamenta i Vijeća (P10_TA(2024)0040)</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(P10_TA(2024)0041)</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2024. o Provedbenoj odluci Komisije (EU) 2024/1822 o odobravanju stavljanja na tržište proizvoda koji sadržavaju genetski modificirani kukuruz DP915635, od njega se sastoje ili su od njega proizvedeni, u skladu s Uredbom (EZ) br. 1829/2003 Europskog parlamenta i Vijeća (P10_TA(2024)0042)</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2024. o Provedbenoj odluci Komisije (EU) 2024/1826 o odobravanju stavljanja na tržište proizvoda koji sadržavaju genetski modificirani kukuruz DP23211, od njega se sastoje ili su od njega proizvedeni, u skladu s Uredbom (EZ) br. 1829/2003 Europskog parlamenta i Vijeća (P10_TA(2024)0043)</w:t>
      </w:r>
    </w:p>
    <w:p w:rsidR="007E2AB6" w:rsidRPr="00E11503" w:rsidRDefault="00E11503" w:rsidP="00E11503">
      <w:pPr>
        <w:pStyle w:val="FootnoteText"/>
        <w:ind w:left="567" w:hanging="567"/>
        <w:rPr>
          <w:color w:val="000000" w:themeColor="text1"/>
          <w:sz w:val="24"/>
          <w:vertAlign w:val="superscript"/>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2024. o Provedbenoj odluci Komisije (EU) 2024/2618 o odobravanju stavljanja na tržište proizvoda koji sadržavaju genetski modificirani kukuruz DP202216, od njega se sastoje ili su od njega proizvedeni, u skladu s Uredbom (EZ) br. 1829/2003 Europskog parlamenta i Vijeća (P10_TA(2024)0044)</w:t>
      </w:r>
    </w:p>
    <w:p w:rsidR="007E2AB6" w:rsidRPr="00E11503" w:rsidRDefault="00E11503" w:rsidP="00E11503">
      <w:pPr>
        <w:pStyle w:val="FootnoteText"/>
        <w:ind w:left="567" w:hanging="567"/>
        <w:rPr>
          <w:color w:val="000000" w:themeColor="text1"/>
          <w:sz w:val="24"/>
          <w:lang w:val="hr-HR"/>
        </w:rPr>
      </w:pPr>
      <w:r w:rsidRPr="00E11503">
        <w:rPr>
          <w:color w:val="000000" w:themeColor="text1"/>
          <w:sz w:val="24"/>
          <w:lang w:val="hr-HR"/>
        </w:rPr>
        <w:t xml:space="preserve"> </w:t>
      </w:r>
      <w:r w:rsidRPr="00E11503">
        <w:rPr>
          <w:color w:val="000000" w:themeColor="text1"/>
          <w:sz w:val="24"/>
          <w:lang w:val="hr-HR"/>
        </w:rPr>
        <w:tab/>
      </w:r>
      <w:r w:rsidR="007E2AB6" w:rsidRPr="00E11503">
        <w:rPr>
          <w:color w:val="000000" w:themeColor="text1"/>
          <w:sz w:val="24"/>
          <w:lang w:val="hr-HR"/>
        </w:rPr>
        <w:t>–</w:t>
      </w:r>
      <w:r w:rsidR="007E2AB6" w:rsidRPr="00E11503">
        <w:rPr>
          <w:color w:val="000000" w:themeColor="text1"/>
          <w:sz w:val="24"/>
          <w:lang w:val="hr-HR"/>
        </w:rPr>
        <w:tab/>
        <w:t>Rezoluciju Europskog parlamenta od 26. studenog</w:t>
      </w:r>
      <w:r w:rsidR="001C2A79">
        <w:rPr>
          <w:color w:val="000000" w:themeColor="text1"/>
          <w:sz w:val="24"/>
          <w:lang w:val="hr-HR"/>
        </w:rPr>
        <w:t>a</w:t>
      </w:r>
      <w:r w:rsidR="007E2AB6" w:rsidRPr="00E11503">
        <w:rPr>
          <w:color w:val="000000" w:themeColor="text1"/>
          <w:sz w:val="24"/>
          <w:lang w:val="hr-HR"/>
        </w:rPr>
        <w:t xml:space="preserve"> 2024. o Nacrtu provedbene odluke Komisije o odobravanju stavljanja na tržište proizvoda koji sadržavaju genetski modificirani kukuruz MON 94804, sastoje se od njega ili su od njega proizvedeni, na temelju Uredbe (EZ) br. 1829/2003 Europskog parlamenta i Vijeća (P10_TA(2024)0045).</w:t>
      </w:r>
    </w:p>
  </w:footnote>
  <w:footnote w:id="5">
    <w:p w:rsidR="007E2AB6" w:rsidRPr="00E11503" w:rsidRDefault="007E2AB6" w:rsidP="00E11503">
      <w:pPr>
        <w:pStyle w:val="FootnoteText"/>
        <w:ind w:left="567" w:hanging="567"/>
        <w:rPr>
          <w:color w:val="000000" w:themeColor="text1"/>
          <w:sz w:val="24"/>
          <w:lang w:val="hr-HR"/>
        </w:rPr>
      </w:pPr>
      <w:r w:rsidRPr="00E11503">
        <w:rPr>
          <w:rStyle w:val="FootnoteReference"/>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Uredba (EZ) br. 1107/2009 Europskog parlamenta i Vijeća od 21. listopada 2009. o stavljanju na tržište sredstava za zaštitu bilja i stavljanju izvan snage direktiva Vijeća 79/117/EEZ i 91/414/EEZ (SL L 309, 24.11.2009., str. </w:t>
      </w:r>
      <w:r w:rsidRPr="00E11503">
        <w:rPr>
          <w:color w:val="000000" w:themeColor="text1"/>
          <w:sz w:val="24"/>
          <w:lang w:val="hr-HR"/>
        </w:rPr>
        <w:t xml:space="preserve">1., ELI: </w:t>
      </w:r>
      <w:hyperlink r:id="rId4" w:history="1">
        <w:r w:rsidRPr="00E11503">
          <w:rPr>
            <w:rStyle w:val="Hyperlink"/>
            <w:color w:val="000000" w:themeColor="text1"/>
            <w:sz w:val="24"/>
            <w:lang w:val="hr-HR"/>
          </w:rPr>
          <w:t>https://eur-lex.europa.eu/legal-content/HR/TXT/PDF/?uri=CELEX:32009R1107</w:t>
        </w:r>
      </w:hyperlink>
      <w:r w:rsidRPr="00E11503">
        <w:rPr>
          <w:rStyle w:val="Hyperlink"/>
          <w:color w:val="000000" w:themeColor="text1"/>
          <w:sz w:val="24"/>
          <w:lang w:val="hr-HR"/>
        </w:rPr>
        <w:t>).</w:t>
      </w:r>
    </w:p>
  </w:footnote>
  <w:footnote w:id="6">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Provedbena uredba Komisije (EU) br. 503/2013 od 3. travnja 2013. o prijavama za odobrenje genetski modificirane hrane i hrane za životinje u skladu s Uredbom (EZ) br. 1829/2003 Europskog parlamenta i Vijeća i o izmjeni Uredbi Komisije (EZ) br. 641/2004 i (EZ) br. 1981/2006 (SL L 157, 8.6.2013., str. </w:t>
      </w:r>
      <w:r w:rsidRPr="00E11503">
        <w:rPr>
          <w:color w:val="000000" w:themeColor="text1"/>
          <w:sz w:val="24"/>
          <w:lang w:val="hr-HR"/>
        </w:rPr>
        <w:t xml:space="preserve">1., ELI: </w:t>
      </w:r>
      <w:hyperlink r:id="rId5" w:tgtFrame="Gives access to this document through its ELI URI." w:history="1">
        <w:r w:rsidRPr="00E11503">
          <w:rPr>
            <w:rStyle w:val="Hyperlink"/>
            <w:color w:val="000000" w:themeColor="text1"/>
            <w:sz w:val="24"/>
            <w:lang w:val="hr-HR"/>
          </w:rPr>
          <w:t>https://eur-lex.europa.eu/legal-content/HR/TXT/PDF/?uri=CELEX:32013R0503</w:t>
        </w:r>
      </w:hyperlink>
      <w:r w:rsidRPr="00E11503">
        <w:rPr>
          <w:color w:val="000000" w:themeColor="text1"/>
          <w:sz w:val="24"/>
          <w:lang w:val="hr-HR"/>
        </w:rPr>
        <w:t>).</w:t>
      </w:r>
    </w:p>
  </w:footnote>
  <w:footnote w:id="7">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 xml:space="preserve">Vidjeti, primjerice, </w:t>
      </w:r>
      <w:proofErr w:type="spellStart"/>
      <w:r w:rsidRPr="00E11503">
        <w:rPr>
          <w:color w:val="000000" w:themeColor="text1"/>
          <w:sz w:val="24"/>
          <w:lang w:val="hr-HR"/>
        </w:rPr>
        <w:t>Schulz</w:t>
      </w:r>
      <w:proofErr w:type="spellEnd"/>
      <w:r w:rsidRPr="00E11503">
        <w:rPr>
          <w:color w:val="000000" w:themeColor="text1"/>
          <w:sz w:val="24"/>
          <w:lang w:val="hr-HR"/>
        </w:rPr>
        <w:t xml:space="preserve">, R., </w:t>
      </w:r>
      <w:proofErr w:type="spellStart"/>
      <w:r w:rsidRPr="00E11503">
        <w:rPr>
          <w:color w:val="000000" w:themeColor="text1"/>
          <w:sz w:val="24"/>
          <w:lang w:val="hr-HR"/>
        </w:rPr>
        <w:t>Bub</w:t>
      </w:r>
      <w:proofErr w:type="spellEnd"/>
      <w:r w:rsidRPr="00E11503">
        <w:rPr>
          <w:color w:val="000000" w:themeColor="text1"/>
          <w:sz w:val="24"/>
          <w:lang w:val="hr-HR"/>
        </w:rPr>
        <w:t xml:space="preserve">, S., </w:t>
      </w:r>
      <w:proofErr w:type="spellStart"/>
      <w:r w:rsidRPr="00E11503">
        <w:rPr>
          <w:color w:val="000000" w:themeColor="text1"/>
          <w:sz w:val="24"/>
          <w:lang w:val="hr-HR"/>
        </w:rPr>
        <w:t>Petschick</w:t>
      </w:r>
      <w:proofErr w:type="spellEnd"/>
      <w:r w:rsidRPr="00E11503">
        <w:rPr>
          <w:color w:val="000000" w:themeColor="text1"/>
          <w:sz w:val="24"/>
          <w:lang w:val="hr-HR"/>
        </w:rPr>
        <w:t xml:space="preserve">, L. L., </w:t>
      </w:r>
      <w:proofErr w:type="spellStart"/>
      <w:r w:rsidRPr="00E11503">
        <w:rPr>
          <w:color w:val="000000" w:themeColor="text1"/>
          <w:sz w:val="24"/>
          <w:lang w:val="hr-HR"/>
        </w:rPr>
        <w:t>Stehle</w:t>
      </w:r>
      <w:proofErr w:type="spellEnd"/>
      <w:r w:rsidRPr="00E11503">
        <w:rPr>
          <w:color w:val="000000" w:themeColor="text1"/>
          <w:sz w:val="24"/>
          <w:lang w:val="hr-HR"/>
        </w:rPr>
        <w:t xml:space="preserve">, S., </w:t>
      </w:r>
      <w:proofErr w:type="spellStart"/>
      <w:r w:rsidRPr="00E11503">
        <w:rPr>
          <w:color w:val="000000" w:themeColor="text1"/>
          <w:sz w:val="24"/>
          <w:lang w:val="hr-HR"/>
        </w:rPr>
        <w:t>Wolfram</w:t>
      </w:r>
      <w:proofErr w:type="spellEnd"/>
      <w:r w:rsidRPr="00E11503">
        <w:rPr>
          <w:color w:val="000000" w:themeColor="text1"/>
          <w:sz w:val="24"/>
          <w:lang w:val="hr-HR"/>
        </w:rPr>
        <w:t xml:space="preserve">, J. (2021.), </w:t>
      </w:r>
      <w:r w:rsidRPr="00E11503">
        <w:rPr>
          <w:i/>
          <w:iCs/>
          <w:color w:val="000000" w:themeColor="text1"/>
          <w:sz w:val="24"/>
          <w:lang w:val="hr-HR"/>
        </w:rPr>
        <w:t xml:space="preserve">Applied pesticide </w:t>
      </w:r>
      <w:proofErr w:type="spellStart"/>
      <w:r w:rsidRPr="00E11503">
        <w:rPr>
          <w:i/>
          <w:iCs/>
          <w:color w:val="000000" w:themeColor="text1"/>
          <w:sz w:val="24"/>
          <w:lang w:val="hr-HR"/>
        </w:rPr>
        <w:t>toxicity</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shifts</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toward</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plants</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and</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invertebrates</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even</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in</w:t>
      </w:r>
      <w:proofErr w:type="spellEnd"/>
      <w:r w:rsidRPr="00E11503">
        <w:rPr>
          <w:i/>
          <w:iCs/>
          <w:color w:val="000000" w:themeColor="text1"/>
          <w:sz w:val="24"/>
          <w:lang w:val="hr-HR"/>
        </w:rPr>
        <w:t xml:space="preserve"> GM </w:t>
      </w:r>
      <w:proofErr w:type="spellStart"/>
      <w:r w:rsidRPr="00E11503">
        <w:rPr>
          <w:i/>
          <w:iCs/>
          <w:color w:val="000000" w:themeColor="text1"/>
          <w:sz w:val="24"/>
          <w:lang w:val="hr-HR"/>
        </w:rPr>
        <w:t>crops</w:t>
      </w:r>
      <w:proofErr w:type="spellEnd"/>
      <w:r w:rsidRPr="00E11503">
        <w:rPr>
          <w:color w:val="000000" w:themeColor="text1"/>
          <w:sz w:val="24"/>
          <w:lang w:val="hr-HR"/>
        </w:rPr>
        <w:t xml:space="preserve"> (Prenošenje toksičnosti primijenjenih pesticida na biljke i beskralježnjake, čak i u genetski modificiranim usjevima), Science 372(6537), str. 81. </w:t>
      </w:r>
      <w:r w:rsidRPr="00E11503">
        <w:rPr>
          <w:color w:val="000000" w:themeColor="text1"/>
          <w:sz w:val="24"/>
          <w:lang w:val="hr-HR"/>
        </w:rPr>
        <w:t xml:space="preserve">– 84., </w:t>
      </w:r>
      <w:hyperlink r:id="rId6" w:history="1">
        <w:r w:rsidRPr="00E11503">
          <w:rPr>
            <w:rStyle w:val="Hyperlink"/>
            <w:color w:val="000000" w:themeColor="text1"/>
            <w:sz w:val="24"/>
            <w:lang w:val="hr-HR"/>
          </w:rPr>
          <w:t>https://doi.org/10.1126/science.abe1148</w:t>
        </w:r>
      </w:hyperlink>
      <w:r w:rsidRPr="00E11503">
        <w:rPr>
          <w:color w:val="000000" w:themeColor="text1"/>
          <w:sz w:val="24"/>
          <w:lang w:val="hr-HR"/>
        </w:rPr>
        <w:t xml:space="preserve">; </w:t>
      </w:r>
      <w:proofErr w:type="spellStart"/>
      <w:r w:rsidRPr="00E11503">
        <w:rPr>
          <w:color w:val="000000" w:themeColor="text1"/>
          <w:sz w:val="24"/>
          <w:lang w:val="hr-HR"/>
        </w:rPr>
        <w:t>Bonny</w:t>
      </w:r>
      <w:proofErr w:type="spellEnd"/>
      <w:r w:rsidRPr="00E11503">
        <w:rPr>
          <w:color w:val="000000" w:themeColor="text1"/>
          <w:sz w:val="24"/>
          <w:lang w:val="hr-HR"/>
        </w:rPr>
        <w:t xml:space="preserve">, S., </w:t>
      </w:r>
      <w:proofErr w:type="spellStart"/>
      <w:r w:rsidRPr="00E11503">
        <w:rPr>
          <w:i/>
          <w:iCs/>
          <w:color w:val="000000" w:themeColor="text1"/>
          <w:sz w:val="24"/>
          <w:lang w:val="hr-HR"/>
        </w:rPr>
        <w:t>Genetically</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Modified</w:t>
      </w:r>
      <w:proofErr w:type="spellEnd"/>
      <w:r w:rsidRPr="00E11503">
        <w:rPr>
          <w:i/>
          <w:iCs/>
          <w:color w:val="000000" w:themeColor="text1"/>
          <w:sz w:val="24"/>
          <w:lang w:val="hr-HR"/>
        </w:rPr>
        <w:t xml:space="preserve"> Herbicide-</w:t>
      </w:r>
      <w:proofErr w:type="spellStart"/>
      <w:r w:rsidRPr="00E11503">
        <w:rPr>
          <w:i/>
          <w:iCs/>
          <w:color w:val="000000" w:themeColor="text1"/>
          <w:sz w:val="24"/>
          <w:lang w:val="hr-HR"/>
        </w:rPr>
        <w:t>Tolerant</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Crops</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Weeds</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and</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Herbicides</w:t>
      </w:r>
      <w:proofErr w:type="spellEnd"/>
      <w:r w:rsidRPr="00E11503">
        <w:rPr>
          <w:i/>
          <w:iCs/>
          <w:color w:val="000000" w:themeColor="text1"/>
          <w:sz w:val="24"/>
          <w:lang w:val="hr-HR"/>
        </w:rPr>
        <w:t>:</w:t>
      </w:r>
      <w:r w:rsidRPr="00E11503">
        <w:rPr>
          <w:color w:val="000000" w:themeColor="text1"/>
          <w:sz w:val="24"/>
          <w:lang w:val="hr-HR"/>
        </w:rPr>
        <w:t xml:space="preserve"> </w:t>
      </w:r>
      <w:proofErr w:type="spellStart"/>
      <w:r w:rsidRPr="00E11503">
        <w:rPr>
          <w:i/>
          <w:iCs/>
          <w:color w:val="000000" w:themeColor="text1"/>
          <w:sz w:val="24"/>
          <w:lang w:val="hr-HR"/>
        </w:rPr>
        <w:t>Overview</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and</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Impact</w:t>
      </w:r>
      <w:proofErr w:type="spellEnd"/>
      <w:r w:rsidRPr="00E11503">
        <w:rPr>
          <w:color w:val="000000" w:themeColor="text1"/>
          <w:sz w:val="24"/>
          <w:lang w:val="hr-HR"/>
        </w:rPr>
        <w:t xml:space="preserve"> (Genetski modificirani usjevi i korovi otporni na herbicide te herbicidi: pregled i učinak), </w:t>
      </w:r>
      <w:proofErr w:type="spellStart"/>
      <w:r w:rsidRPr="00E11503">
        <w:rPr>
          <w:color w:val="000000" w:themeColor="text1"/>
          <w:sz w:val="24"/>
          <w:lang w:val="hr-HR"/>
        </w:rPr>
        <w:t>Environmental</w:t>
      </w:r>
      <w:proofErr w:type="spellEnd"/>
      <w:r w:rsidRPr="00E11503">
        <w:rPr>
          <w:color w:val="000000" w:themeColor="text1"/>
          <w:sz w:val="24"/>
          <w:lang w:val="hr-HR"/>
        </w:rPr>
        <w:t xml:space="preserve"> Management, siječanj 2016;57(1), str. 31. – 48., </w:t>
      </w:r>
      <w:hyperlink r:id="rId7" w:history="1">
        <w:r w:rsidRPr="00E11503">
          <w:rPr>
            <w:rStyle w:val="Hyperlink"/>
            <w:color w:val="000000" w:themeColor="text1"/>
            <w:sz w:val="24"/>
            <w:lang w:val="hr-HR"/>
          </w:rPr>
          <w:t>https://www.ncbi.nlm.nih.gov/pubmed/26296738</w:t>
        </w:r>
      </w:hyperlink>
      <w:r w:rsidRPr="00E11503">
        <w:rPr>
          <w:rStyle w:val="Hyperlink"/>
          <w:color w:val="000000" w:themeColor="text1"/>
          <w:sz w:val="24"/>
          <w:lang w:val="hr-HR"/>
        </w:rPr>
        <w:t>;</w:t>
      </w:r>
      <w:r w:rsidRPr="00E11503">
        <w:rPr>
          <w:color w:val="000000" w:themeColor="text1"/>
          <w:sz w:val="24"/>
          <w:lang w:val="hr-HR"/>
        </w:rPr>
        <w:t xml:space="preserve"> i </w:t>
      </w:r>
      <w:proofErr w:type="spellStart"/>
      <w:r w:rsidRPr="00E11503">
        <w:rPr>
          <w:color w:val="000000" w:themeColor="text1"/>
          <w:sz w:val="24"/>
          <w:lang w:val="hr-HR"/>
        </w:rPr>
        <w:t>Benbrook</w:t>
      </w:r>
      <w:proofErr w:type="spellEnd"/>
      <w:r w:rsidRPr="00E11503">
        <w:rPr>
          <w:color w:val="000000" w:themeColor="text1"/>
          <w:sz w:val="24"/>
          <w:lang w:val="hr-HR"/>
        </w:rPr>
        <w:t xml:space="preserve">, C. M., </w:t>
      </w:r>
      <w:proofErr w:type="spellStart"/>
      <w:r w:rsidRPr="00E11503">
        <w:rPr>
          <w:color w:val="000000" w:themeColor="text1"/>
          <w:sz w:val="24"/>
          <w:lang w:val="hr-HR"/>
        </w:rPr>
        <w:t>Impacts</w:t>
      </w:r>
      <w:proofErr w:type="spellEnd"/>
      <w:r w:rsidRPr="00E11503">
        <w:rPr>
          <w:color w:val="000000" w:themeColor="text1"/>
          <w:sz w:val="24"/>
          <w:lang w:val="hr-HR"/>
        </w:rPr>
        <w:t xml:space="preserve"> </w:t>
      </w:r>
      <w:proofErr w:type="spellStart"/>
      <w:r w:rsidRPr="00E11503">
        <w:rPr>
          <w:color w:val="000000" w:themeColor="text1"/>
          <w:sz w:val="24"/>
          <w:lang w:val="hr-HR"/>
        </w:rPr>
        <w:t>of</w:t>
      </w:r>
      <w:proofErr w:type="spellEnd"/>
      <w:r w:rsidRPr="00E11503">
        <w:rPr>
          <w:color w:val="000000" w:themeColor="text1"/>
          <w:sz w:val="24"/>
          <w:lang w:val="hr-HR"/>
        </w:rPr>
        <w:t xml:space="preserve"> </w:t>
      </w:r>
      <w:proofErr w:type="spellStart"/>
      <w:r w:rsidRPr="00E11503">
        <w:rPr>
          <w:color w:val="000000" w:themeColor="text1"/>
          <w:sz w:val="24"/>
          <w:lang w:val="hr-HR"/>
        </w:rPr>
        <w:t>genetically</w:t>
      </w:r>
      <w:proofErr w:type="spellEnd"/>
      <w:r w:rsidRPr="00E11503">
        <w:rPr>
          <w:color w:val="000000" w:themeColor="text1"/>
          <w:sz w:val="24"/>
          <w:lang w:val="hr-HR"/>
        </w:rPr>
        <w:t xml:space="preserve"> </w:t>
      </w:r>
      <w:proofErr w:type="spellStart"/>
      <w:r w:rsidRPr="00E11503">
        <w:rPr>
          <w:color w:val="000000" w:themeColor="text1"/>
          <w:sz w:val="24"/>
          <w:lang w:val="hr-HR"/>
        </w:rPr>
        <w:t>engineered</w:t>
      </w:r>
      <w:proofErr w:type="spellEnd"/>
      <w:r w:rsidRPr="00E11503">
        <w:rPr>
          <w:color w:val="000000" w:themeColor="text1"/>
          <w:sz w:val="24"/>
          <w:lang w:val="hr-HR"/>
        </w:rPr>
        <w:t xml:space="preserve"> </w:t>
      </w:r>
      <w:proofErr w:type="spellStart"/>
      <w:r w:rsidRPr="00E11503">
        <w:rPr>
          <w:color w:val="000000" w:themeColor="text1"/>
          <w:sz w:val="24"/>
          <w:lang w:val="hr-HR"/>
        </w:rPr>
        <w:t>crops</w:t>
      </w:r>
      <w:proofErr w:type="spellEnd"/>
      <w:r w:rsidRPr="00E11503">
        <w:rPr>
          <w:color w:val="000000" w:themeColor="text1"/>
          <w:sz w:val="24"/>
          <w:lang w:val="hr-HR"/>
        </w:rPr>
        <w:t xml:space="preserve"> on pesticide use </w:t>
      </w:r>
      <w:proofErr w:type="spellStart"/>
      <w:r w:rsidRPr="00E11503">
        <w:rPr>
          <w:color w:val="000000" w:themeColor="text1"/>
          <w:sz w:val="24"/>
          <w:lang w:val="hr-HR"/>
        </w:rPr>
        <w:t>in</w:t>
      </w:r>
      <w:proofErr w:type="spellEnd"/>
      <w:r w:rsidRPr="00E11503">
        <w:rPr>
          <w:color w:val="000000" w:themeColor="text1"/>
          <w:sz w:val="24"/>
          <w:lang w:val="hr-HR"/>
        </w:rPr>
        <w:t xml:space="preserve"> </w:t>
      </w:r>
      <w:proofErr w:type="spellStart"/>
      <w:r w:rsidRPr="00E11503">
        <w:rPr>
          <w:color w:val="000000" w:themeColor="text1"/>
          <w:sz w:val="24"/>
          <w:lang w:val="hr-HR"/>
        </w:rPr>
        <w:t>the</w:t>
      </w:r>
      <w:proofErr w:type="spellEnd"/>
      <w:r w:rsidRPr="00E11503">
        <w:rPr>
          <w:color w:val="000000" w:themeColor="text1"/>
          <w:sz w:val="24"/>
          <w:lang w:val="hr-HR"/>
        </w:rPr>
        <w:t xml:space="preserve"> U.S. - </w:t>
      </w:r>
      <w:proofErr w:type="spellStart"/>
      <w:r w:rsidRPr="00E11503">
        <w:rPr>
          <w:color w:val="000000" w:themeColor="text1"/>
          <w:sz w:val="24"/>
          <w:lang w:val="hr-HR"/>
        </w:rPr>
        <w:t>the</w:t>
      </w:r>
      <w:proofErr w:type="spellEnd"/>
      <w:r w:rsidRPr="00E11503">
        <w:rPr>
          <w:color w:val="000000" w:themeColor="text1"/>
          <w:sz w:val="24"/>
          <w:lang w:val="hr-HR"/>
        </w:rPr>
        <w:t xml:space="preserve"> </w:t>
      </w:r>
      <w:proofErr w:type="spellStart"/>
      <w:r w:rsidRPr="00E11503">
        <w:rPr>
          <w:color w:val="000000" w:themeColor="text1"/>
          <w:sz w:val="24"/>
          <w:lang w:val="hr-HR"/>
        </w:rPr>
        <w:t>first</w:t>
      </w:r>
      <w:proofErr w:type="spellEnd"/>
      <w:r w:rsidRPr="00E11503">
        <w:rPr>
          <w:color w:val="000000" w:themeColor="text1"/>
          <w:sz w:val="24"/>
          <w:lang w:val="hr-HR"/>
        </w:rPr>
        <w:t xml:space="preserve"> </w:t>
      </w:r>
      <w:proofErr w:type="spellStart"/>
      <w:r w:rsidRPr="00E11503">
        <w:rPr>
          <w:color w:val="000000" w:themeColor="text1"/>
          <w:sz w:val="24"/>
          <w:lang w:val="hr-HR"/>
        </w:rPr>
        <w:t>sixteen</w:t>
      </w:r>
      <w:proofErr w:type="spellEnd"/>
      <w:r w:rsidRPr="00E11503">
        <w:rPr>
          <w:color w:val="000000" w:themeColor="text1"/>
          <w:sz w:val="24"/>
          <w:lang w:val="hr-HR"/>
        </w:rPr>
        <w:t xml:space="preserve"> </w:t>
      </w:r>
      <w:proofErr w:type="spellStart"/>
      <w:r w:rsidRPr="00E11503">
        <w:rPr>
          <w:color w:val="000000" w:themeColor="text1"/>
          <w:sz w:val="24"/>
          <w:lang w:val="hr-HR"/>
        </w:rPr>
        <w:t>years</w:t>
      </w:r>
      <w:proofErr w:type="spellEnd"/>
      <w:r w:rsidRPr="00E11503">
        <w:rPr>
          <w:color w:val="000000" w:themeColor="text1"/>
          <w:sz w:val="24"/>
          <w:lang w:val="hr-HR"/>
        </w:rPr>
        <w:t xml:space="preserve"> (Učinak genetski modificiranih usjeva na korištenje pesticida u SAD-u: prvih 16 godina), </w:t>
      </w:r>
      <w:proofErr w:type="spellStart"/>
      <w:r w:rsidRPr="00E11503">
        <w:rPr>
          <w:color w:val="000000" w:themeColor="text1"/>
          <w:sz w:val="24"/>
          <w:lang w:val="hr-HR"/>
        </w:rPr>
        <w:t>Environmental</w:t>
      </w:r>
      <w:proofErr w:type="spellEnd"/>
      <w:r w:rsidRPr="00E11503">
        <w:rPr>
          <w:color w:val="000000" w:themeColor="text1"/>
          <w:sz w:val="24"/>
          <w:lang w:val="hr-HR"/>
        </w:rPr>
        <w:t xml:space="preserve"> </w:t>
      </w:r>
      <w:proofErr w:type="spellStart"/>
      <w:r w:rsidRPr="00E11503">
        <w:rPr>
          <w:color w:val="000000" w:themeColor="text1"/>
          <w:sz w:val="24"/>
          <w:lang w:val="hr-HR"/>
        </w:rPr>
        <w:t>Sciences</w:t>
      </w:r>
      <w:proofErr w:type="spellEnd"/>
      <w:r w:rsidRPr="00E11503">
        <w:rPr>
          <w:color w:val="000000" w:themeColor="text1"/>
          <w:sz w:val="24"/>
          <w:lang w:val="hr-HR"/>
        </w:rPr>
        <w:t xml:space="preserve"> Europe, 28. rujna 2012., svezak 24(24), </w:t>
      </w:r>
      <w:hyperlink r:id="rId8" w:history="1">
        <w:r w:rsidRPr="00E11503">
          <w:rPr>
            <w:rStyle w:val="Hyperlink"/>
            <w:color w:val="000000" w:themeColor="text1"/>
            <w:sz w:val="24"/>
            <w:lang w:val="hr-HR"/>
          </w:rPr>
          <w:t>https://enveurope.springeropen.com/articles/10.1186/2190-4715-24-24</w:t>
        </w:r>
      </w:hyperlink>
      <w:r w:rsidRPr="00E11503">
        <w:rPr>
          <w:color w:val="000000" w:themeColor="text1"/>
          <w:sz w:val="24"/>
          <w:lang w:val="hr-HR"/>
        </w:rPr>
        <w:t>.</w:t>
      </w:r>
    </w:p>
  </w:footnote>
  <w:footnote w:id="8">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Vidjeti pregled Rubio-</w:t>
      </w:r>
      <w:proofErr w:type="spellStart"/>
      <w:r w:rsidRPr="00E11503">
        <w:rPr>
          <w:color w:val="000000" w:themeColor="text1"/>
          <w:sz w:val="24"/>
          <w:lang w:val="hr-HR"/>
        </w:rPr>
        <w:t>Infante</w:t>
      </w:r>
      <w:proofErr w:type="spellEnd"/>
      <w:r w:rsidRPr="00E11503">
        <w:rPr>
          <w:color w:val="000000" w:themeColor="text1"/>
          <w:sz w:val="24"/>
          <w:lang w:val="hr-HR"/>
        </w:rPr>
        <w:t>, N., Moreno-</w:t>
      </w:r>
      <w:proofErr w:type="spellStart"/>
      <w:r w:rsidRPr="00E11503">
        <w:rPr>
          <w:color w:val="000000" w:themeColor="text1"/>
          <w:sz w:val="24"/>
          <w:lang w:val="hr-HR"/>
        </w:rPr>
        <w:t>Fierros</w:t>
      </w:r>
      <w:proofErr w:type="spellEnd"/>
      <w:r w:rsidRPr="00E11503">
        <w:rPr>
          <w:color w:val="000000" w:themeColor="text1"/>
          <w:sz w:val="24"/>
          <w:lang w:val="hr-HR"/>
        </w:rPr>
        <w:t xml:space="preserve">, L., </w:t>
      </w:r>
      <w:proofErr w:type="spellStart"/>
      <w:r w:rsidRPr="00E11503">
        <w:rPr>
          <w:color w:val="000000" w:themeColor="text1"/>
          <w:sz w:val="24"/>
          <w:lang w:val="hr-HR"/>
        </w:rPr>
        <w:t>An</w:t>
      </w:r>
      <w:proofErr w:type="spellEnd"/>
      <w:r w:rsidRPr="00E11503">
        <w:rPr>
          <w:color w:val="000000" w:themeColor="text1"/>
          <w:sz w:val="24"/>
          <w:lang w:val="hr-HR"/>
        </w:rPr>
        <w:t xml:space="preserve"> </w:t>
      </w:r>
      <w:proofErr w:type="spellStart"/>
      <w:r w:rsidRPr="00E11503">
        <w:rPr>
          <w:color w:val="000000" w:themeColor="text1"/>
          <w:sz w:val="24"/>
          <w:lang w:val="hr-HR"/>
        </w:rPr>
        <w:t>overview</w:t>
      </w:r>
      <w:proofErr w:type="spellEnd"/>
      <w:r w:rsidRPr="00E11503">
        <w:rPr>
          <w:color w:val="000000" w:themeColor="text1"/>
          <w:sz w:val="24"/>
          <w:lang w:val="hr-HR"/>
        </w:rPr>
        <w:t xml:space="preserve"> </w:t>
      </w:r>
      <w:proofErr w:type="spellStart"/>
      <w:r w:rsidRPr="00E11503">
        <w:rPr>
          <w:color w:val="000000" w:themeColor="text1"/>
          <w:sz w:val="24"/>
          <w:lang w:val="hr-HR"/>
        </w:rPr>
        <w:t>of</w:t>
      </w:r>
      <w:proofErr w:type="spellEnd"/>
      <w:r w:rsidRPr="00E11503">
        <w:rPr>
          <w:color w:val="000000" w:themeColor="text1"/>
          <w:sz w:val="24"/>
          <w:lang w:val="hr-HR"/>
        </w:rPr>
        <w:t xml:space="preserve"> </w:t>
      </w:r>
      <w:proofErr w:type="spellStart"/>
      <w:r w:rsidRPr="00E11503">
        <w:rPr>
          <w:color w:val="000000" w:themeColor="text1"/>
          <w:sz w:val="24"/>
          <w:lang w:val="hr-HR"/>
        </w:rPr>
        <w:t>the</w:t>
      </w:r>
      <w:proofErr w:type="spellEnd"/>
      <w:r w:rsidRPr="00E11503">
        <w:rPr>
          <w:color w:val="000000" w:themeColor="text1"/>
          <w:sz w:val="24"/>
          <w:lang w:val="hr-HR"/>
        </w:rPr>
        <w:t xml:space="preserve"> </w:t>
      </w:r>
      <w:proofErr w:type="spellStart"/>
      <w:r w:rsidRPr="00E11503">
        <w:rPr>
          <w:color w:val="000000" w:themeColor="text1"/>
          <w:sz w:val="24"/>
          <w:lang w:val="hr-HR"/>
        </w:rPr>
        <w:t>safety</w:t>
      </w:r>
      <w:proofErr w:type="spellEnd"/>
      <w:r w:rsidRPr="00E11503">
        <w:rPr>
          <w:color w:val="000000" w:themeColor="text1"/>
          <w:sz w:val="24"/>
          <w:lang w:val="hr-HR"/>
        </w:rPr>
        <w:t xml:space="preserve"> </w:t>
      </w:r>
      <w:proofErr w:type="spellStart"/>
      <w:r w:rsidRPr="00E11503">
        <w:rPr>
          <w:color w:val="000000" w:themeColor="text1"/>
          <w:sz w:val="24"/>
          <w:lang w:val="hr-HR"/>
        </w:rPr>
        <w:t>and</w:t>
      </w:r>
      <w:proofErr w:type="spellEnd"/>
      <w:r w:rsidRPr="00E11503">
        <w:rPr>
          <w:color w:val="000000" w:themeColor="text1"/>
          <w:sz w:val="24"/>
          <w:lang w:val="hr-HR"/>
        </w:rPr>
        <w:t xml:space="preserve"> </w:t>
      </w:r>
      <w:proofErr w:type="spellStart"/>
      <w:r w:rsidRPr="00E11503">
        <w:rPr>
          <w:color w:val="000000" w:themeColor="text1"/>
          <w:sz w:val="24"/>
          <w:lang w:val="hr-HR"/>
        </w:rPr>
        <w:t>biological</w:t>
      </w:r>
      <w:proofErr w:type="spellEnd"/>
      <w:r w:rsidRPr="00E11503">
        <w:rPr>
          <w:color w:val="000000" w:themeColor="text1"/>
          <w:sz w:val="24"/>
          <w:lang w:val="hr-HR"/>
        </w:rPr>
        <w:t xml:space="preserve"> </w:t>
      </w:r>
      <w:proofErr w:type="spellStart"/>
      <w:r w:rsidRPr="00E11503">
        <w:rPr>
          <w:color w:val="000000" w:themeColor="text1"/>
          <w:sz w:val="24"/>
          <w:lang w:val="hr-HR"/>
        </w:rPr>
        <w:t>effects</w:t>
      </w:r>
      <w:proofErr w:type="spellEnd"/>
      <w:r w:rsidRPr="00E11503">
        <w:rPr>
          <w:color w:val="000000" w:themeColor="text1"/>
          <w:sz w:val="24"/>
          <w:lang w:val="hr-HR"/>
        </w:rPr>
        <w:t xml:space="preserve"> </w:t>
      </w:r>
      <w:proofErr w:type="spellStart"/>
      <w:r w:rsidRPr="00E11503">
        <w:rPr>
          <w:color w:val="000000" w:themeColor="text1"/>
          <w:sz w:val="24"/>
          <w:lang w:val="hr-HR"/>
        </w:rPr>
        <w:t>of</w:t>
      </w:r>
      <w:proofErr w:type="spellEnd"/>
      <w:r w:rsidRPr="00E11503">
        <w:rPr>
          <w:color w:val="000000" w:themeColor="text1"/>
          <w:sz w:val="24"/>
          <w:lang w:val="hr-HR"/>
        </w:rPr>
        <w:t> </w:t>
      </w:r>
      <w:proofErr w:type="spellStart"/>
      <w:r w:rsidRPr="00E11503">
        <w:rPr>
          <w:i/>
          <w:color w:val="000000" w:themeColor="text1"/>
          <w:sz w:val="24"/>
          <w:lang w:val="hr-HR"/>
        </w:rPr>
        <w:t>Bacillus</w:t>
      </w:r>
      <w:proofErr w:type="spellEnd"/>
      <w:r w:rsidRPr="00E11503">
        <w:rPr>
          <w:i/>
          <w:color w:val="000000" w:themeColor="text1"/>
          <w:sz w:val="24"/>
          <w:lang w:val="hr-HR"/>
        </w:rPr>
        <w:t xml:space="preserve"> </w:t>
      </w:r>
      <w:proofErr w:type="spellStart"/>
      <w:r w:rsidRPr="00E11503">
        <w:rPr>
          <w:i/>
          <w:color w:val="000000" w:themeColor="text1"/>
          <w:sz w:val="24"/>
          <w:lang w:val="hr-HR"/>
        </w:rPr>
        <w:t>thuringiensis</w:t>
      </w:r>
      <w:proofErr w:type="spellEnd"/>
      <w:r w:rsidRPr="00E11503">
        <w:rPr>
          <w:color w:val="000000" w:themeColor="text1"/>
          <w:sz w:val="24"/>
          <w:lang w:val="hr-HR"/>
        </w:rPr>
        <w:t> </w:t>
      </w:r>
      <w:proofErr w:type="spellStart"/>
      <w:r w:rsidRPr="00E11503">
        <w:rPr>
          <w:color w:val="000000" w:themeColor="text1"/>
          <w:sz w:val="24"/>
          <w:lang w:val="hr-HR"/>
        </w:rPr>
        <w:t>Cry</w:t>
      </w:r>
      <w:proofErr w:type="spellEnd"/>
      <w:r w:rsidRPr="00E11503">
        <w:rPr>
          <w:color w:val="000000" w:themeColor="text1"/>
          <w:sz w:val="24"/>
          <w:lang w:val="hr-HR"/>
        </w:rPr>
        <w:t xml:space="preserve"> </w:t>
      </w:r>
      <w:proofErr w:type="spellStart"/>
      <w:r w:rsidRPr="00E11503">
        <w:rPr>
          <w:color w:val="000000" w:themeColor="text1"/>
          <w:sz w:val="24"/>
          <w:lang w:val="hr-HR"/>
        </w:rPr>
        <w:t>toxins</w:t>
      </w:r>
      <w:proofErr w:type="spellEnd"/>
      <w:r w:rsidRPr="00E11503">
        <w:rPr>
          <w:color w:val="000000" w:themeColor="text1"/>
          <w:sz w:val="24"/>
          <w:lang w:val="hr-HR"/>
        </w:rPr>
        <w:t xml:space="preserve"> </w:t>
      </w:r>
      <w:proofErr w:type="spellStart"/>
      <w:r w:rsidRPr="00E11503">
        <w:rPr>
          <w:color w:val="000000" w:themeColor="text1"/>
          <w:sz w:val="24"/>
          <w:lang w:val="hr-HR"/>
        </w:rPr>
        <w:t>in</w:t>
      </w:r>
      <w:proofErr w:type="spellEnd"/>
      <w:r w:rsidRPr="00E11503">
        <w:rPr>
          <w:color w:val="000000" w:themeColor="text1"/>
          <w:sz w:val="24"/>
          <w:lang w:val="hr-HR"/>
        </w:rPr>
        <w:t xml:space="preserve"> </w:t>
      </w:r>
      <w:proofErr w:type="spellStart"/>
      <w:r w:rsidRPr="00E11503">
        <w:rPr>
          <w:color w:val="000000" w:themeColor="text1"/>
          <w:sz w:val="24"/>
          <w:lang w:val="hr-HR"/>
        </w:rPr>
        <w:t>mammals</w:t>
      </w:r>
      <w:proofErr w:type="spellEnd"/>
      <w:r w:rsidRPr="00E11503">
        <w:rPr>
          <w:color w:val="000000" w:themeColor="text1"/>
          <w:sz w:val="24"/>
          <w:lang w:val="hr-HR"/>
        </w:rPr>
        <w:t xml:space="preserve"> (Pregled sigurnosti i bioloških učinaka toksina </w:t>
      </w:r>
      <w:proofErr w:type="spellStart"/>
      <w:r w:rsidRPr="00E11503">
        <w:rPr>
          <w:color w:val="000000" w:themeColor="text1"/>
          <w:sz w:val="24"/>
          <w:lang w:val="hr-HR"/>
        </w:rPr>
        <w:t>Cry</w:t>
      </w:r>
      <w:proofErr w:type="spellEnd"/>
      <w:r w:rsidRPr="00E11503">
        <w:rPr>
          <w:color w:val="000000" w:themeColor="text1"/>
          <w:sz w:val="24"/>
          <w:lang w:val="hr-HR"/>
        </w:rPr>
        <w:t xml:space="preserve"> </w:t>
      </w:r>
      <w:proofErr w:type="spellStart"/>
      <w:r w:rsidRPr="00E11503">
        <w:rPr>
          <w:color w:val="000000" w:themeColor="text1"/>
          <w:sz w:val="24"/>
          <w:lang w:val="hr-HR"/>
        </w:rPr>
        <w:t>Bacillus</w:t>
      </w:r>
      <w:proofErr w:type="spellEnd"/>
      <w:r w:rsidRPr="00E11503">
        <w:rPr>
          <w:color w:val="000000" w:themeColor="text1"/>
          <w:sz w:val="24"/>
          <w:lang w:val="hr-HR"/>
        </w:rPr>
        <w:t xml:space="preserve"> </w:t>
      </w:r>
      <w:proofErr w:type="spellStart"/>
      <w:r w:rsidRPr="00E11503">
        <w:rPr>
          <w:color w:val="000000" w:themeColor="text1"/>
          <w:sz w:val="24"/>
          <w:lang w:val="hr-HR"/>
        </w:rPr>
        <w:t>thuringiensisa</w:t>
      </w:r>
      <w:proofErr w:type="spellEnd"/>
      <w:r w:rsidRPr="00E11503">
        <w:rPr>
          <w:color w:val="000000" w:themeColor="text1"/>
          <w:sz w:val="24"/>
          <w:lang w:val="hr-HR"/>
        </w:rPr>
        <w:t xml:space="preserve"> kod sisavaca), Journal </w:t>
      </w:r>
      <w:proofErr w:type="spellStart"/>
      <w:r w:rsidRPr="00E11503">
        <w:rPr>
          <w:color w:val="000000" w:themeColor="text1"/>
          <w:sz w:val="24"/>
          <w:lang w:val="hr-HR"/>
        </w:rPr>
        <w:t>of</w:t>
      </w:r>
      <w:proofErr w:type="spellEnd"/>
      <w:r w:rsidRPr="00E11503">
        <w:rPr>
          <w:color w:val="000000" w:themeColor="text1"/>
          <w:sz w:val="24"/>
          <w:lang w:val="hr-HR"/>
        </w:rPr>
        <w:t xml:space="preserve"> Applied </w:t>
      </w:r>
      <w:proofErr w:type="spellStart"/>
      <w:r w:rsidRPr="00E11503">
        <w:rPr>
          <w:color w:val="000000" w:themeColor="text1"/>
          <w:sz w:val="24"/>
          <w:lang w:val="hr-HR"/>
        </w:rPr>
        <w:t>Toxicology</w:t>
      </w:r>
      <w:proofErr w:type="spellEnd"/>
      <w:r w:rsidRPr="00E11503">
        <w:rPr>
          <w:color w:val="000000" w:themeColor="text1"/>
          <w:sz w:val="24"/>
          <w:lang w:val="hr-HR"/>
        </w:rPr>
        <w:t xml:space="preserve">, svibanj 2016., 36(5), str. </w:t>
      </w:r>
      <w:r w:rsidRPr="00E11503">
        <w:rPr>
          <w:color w:val="000000" w:themeColor="text1"/>
          <w:sz w:val="24"/>
          <w:lang w:val="hr-HR"/>
        </w:rPr>
        <w:t xml:space="preserve">630-648., </w:t>
      </w:r>
      <w:hyperlink r:id="rId9" w:history="1">
        <w:r w:rsidRPr="00E11503">
          <w:rPr>
            <w:rStyle w:val="Hyperlink"/>
            <w:color w:val="000000" w:themeColor="text1"/>
            <w:sz w:val="24"/>
            <w:lang w:val="hr-HR"/>
          </w:rPr>
          <w:t>https://onlinelibrary.wiley.com/doi/full/10.1002/jat.3252</w:t>
        </w:r>
      </w:hyperlink>
      <w:r w:rsidRPr="00E11503">
        <w:rPr>
          <w:color w:val="000000" w:themeColor="text1"/>
          <w:sz w:val="24"/>
          <w:lang w:val="hr-HR"/>
        </w:rPr>
        <w:t>.</w:t>
      </w:r>
    </w:p>
  </w:footnote>
  <w:footnote w:id="9">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proofErr w:type="spellStart"/>
      <w:r w:rsidRPr="00E11503">
        <w:rPr>
          <w:color w:val="000000" w:themeColor="text1"/>
          <w:sz w:val="24"/>
          <w:lang w:val="hr-HR"/>
        </w:rPr>
        <w:t>Bøhn</w:t>
      </w:r>
      <w:proofErr w:type="spellEnd"/>
      <w:r w:rsidRPr="00E11503">
        <w:rPr>
          <w:color w:val="000000" w:themeColor="text1"/>
          <w:sz w:val="24"/>
          <w:lang w:val="hr-HR"/>
        </w:rPr>
        <w:t xml:space="preserve">, T., </w:t>
      </w:r>
      <w:proofErr w:type="spellStart"/>
      <w:r w:rsidRPr="00E11503">
        <w:rPr>
          <w:color w:val="000000" w:themeColor="text1"/>
          <w:sz w:val="24"/>
          <w:lang w:val="hr-HR"/>
        </w:rPr>
        <w:t>Macagnan</w:t>
      </w:r>
      <w:proofErr w:type="spellEnd"/>
      <w:r w:rsidRPr="00E11503">
        <w:rPr>
          <w:color w:val="000000" w:themeColor="text1"/>
          <w:sz w:val="24"/>
          <w:lang w:val="hr-HR"/>
        </w:rPr>
        <w:t xml:space="preserve"> </w:t>
      </w:r>
      <w:proofErr w:type="spellStart"/>
      <w:r w:rsidRPr="00E11503">
        <w:rPr>
          <w:color w:val="000000" w:themeColor="text1"/>
          <w:sz w:val="24"/>
          <w:lang w:val="hr-HR"/>
        </w:rPr>
        <w:t>Rover</w:t>
      </w:r>
      <w:proofErr w:type="spellEnd"/>
      <w:r w:rsidRPr="00E11503">
        <w:rPr>
          <w:color w:val="000000" w:themeColor="text1"/>
          <w:sz w:val="24"/>
          <w:lang w:val="hr-HR"/>
        </w:rPr>
        <w:t xml:space="preserve">, C., </w:t>
      </w:r>
      <w:proofErr w:type="spellStart"/>
      <w:r w:rsidRPr="00E11503">
        <w:rPr>
          <w:color w:val="000000" w:themeColor="text1"/>
          <w:sz w:val="24"/>
          <w:lang w:val="hr-HR"/>
        </w:rPr>
        <w:t>Semenchuk</w:t>
      </w:r>
      <w:proofErr w:type="spellEnd"/>
      <w:r w:rsidRPr="00E11503">
        <w:rPr>
          <w:color w:val="000000" w:themeColor="text1"/>
          <w:sz w:val="24"/>
          <w:lang w:val="hr-HR"/>
        </w:rPr>
        <w:t xml:space="preserve">, P. R., </w:t>
      </w:r>
      <w:proofErr w:type="spellStart"/>
      <w:r w:rsidRPr="00E11503">
        <w:rPr>
          <w:i/>
          <w:color w:val="000000" w:themeColor="text1"/>
          <w:sz w:val="24"/>
          <w:lang w:val="hr-HR"/>
        </w:rPr>
        <w:t>Daphnia</w:t>
      </w:r>
      <w:proofErr w:type="spellEnd"/>
      <w:r w:rsidRPr="00E11503">
        <w:rPr>
          <w:i/>
          <w:color w:val="000000" w:themeColor="text1"/>
          <w:sz w:val="24"/>
          <w:lang w:val="hr-HR"/>
        </w:rPr>
        <w:t xml:space="preserve"> </w:t>
      </w:r>
      <w:proofErr w:type="spellStart"/>
      <w:r w:rsidRPr="00E11503">
        <w:rPr>
          <w:i/>
          <w:color w:val="000000" w:themeColor="text1"/>
          <w:sz w:val="24"/>
          <w:lang w:val="hr-HR"/>
        </w:rPr>
        <w:t>magna</w:t>
      </w:r>
      <w:proofErr w:type="spellEnd"/>
      <w:r w:rsidRPr="00E11503">
        <w:rPr>
          <w:color w:val="000000" w:themeColor="text1"/>
          <w:sz w:val="24"/>
          <w:lang w:val="hr-HR"/>
        </w:rPr>
        <w:t xml:space="preserve"> </w:t>
      </w:r>
      <w:proofErr w:type="spellStart"/>
      <w:r w:rsidRPr="00E11503">
        <w:rPr>
          <w:color w:val="000000" w:themeColor="text1"/>
          <w:sz w:val="24"/>
          <w:lang w:val="hr-HR"/>
        </w:rPr>
        <w:t>negatively</w:t>
      </w:r>
      <w:proofErr w:type="spellEnd"/>
      <w:r w:rsidRPr="00E11503">
        <w:rPr>
          <w:color w:val="000000" w:themeColor="text1"/>
          <w:sz w:val="24"/>
          <w:lang w:val="hr-HR"/>
        </w:rPr>
        <w:t xml:space="preserve"> </w:t>
      </w:r>
      <w:proofErr w:type="spellStart"/>
      <w:r w:rsidRPr="00E11503">
        <w:rPr>
          <w:color w:val="000000" w:themeColor="text1"/>
          <w:sz w:val="24"/>
          <w:lang w:val="hr-HR"/>
        </w:rPr>
        <w:t>affected</w:t>
      </w:r>
      <w:proofErr w:type="spellEnd"/>
      <w:r w:rsidRPr="00E11503">
        <w:rPr>
          <w:color w:val="000000" w:themeColor="text1"/>
          <w:sz w:val="24"/>
          <w:lang w:val="hr-HR"/>
        </w:rPr>
        <w:t xml:space="preserve"> </w:t>
      </w:r>
      <w:proofErr w:type="spellStart"/>
      <w:r w:rsidRPr="00E11503">
        <w:rPr>
          <w:color w:val="000000" w:themeColor="text1"/>
          <w:sz w:val="24"/>
          <w:lang w:val="hr-HR"/>
        </w:rPr>
        <w:t>by</w:t>
      </w:r>
      <w:proofErr w:type="spellEnd"/>
      <w:r w:rsidRPr="00E11503">
        <w:rPr>
          <w:color w:val="000000" w:themeColor="text1"/>
          <w:sz w:val="24"/>
          <w:lang w:val="hr-HR"/>
        </w:rPr>
        <w:t xml:space="preserve"> </w:t>
      </w:r>
      <w:proofErr w:type="spellStart"/>
      <w:r w:rsidRPr="00E11503">
        <w:rPr>
          <w:color w:val="000000" w:themeColor="text1"/>
          <w:sz w:val="24"/>
          <w:lang w:val="hr-HR"/>
        </w:rPr>
        <w:t>chronic</w:t>
      </w:r>
      <w:proofErr w:type="spellEnd"/>
      <w:r w:rsidRPr="00E11503">
        <w:rPr>
          <w:color w:val="000000" w:themeColor="text1"/>
          <w:sz w:val="24"/>
          <w:lang w:val="hr-HR"/>
        </w:rPr>
        <w:t xml:space="preserve"> </w:t>
      </w:r>
      <w:proofErr w:type="spellStart"/>
      <w:r w:rsidRPr="00E11503">
        <w:rPr>
          <w:color w:val="000000" w:themeColor="text1"/>
          <w:sz w:val="24"/>
          <w:lang w:val="hr-HR"/>
        </w:rPr>
        <w:t>exposure</w:t>
      </w:r>
      <w:proofErr w:type="spellEnd"/>
      <w:r w:rsidRPr="00E11503">
        <w:rPr>
          <w:color w:val="000000" w:themeColor="text1"/>
          <w:sz w:val="24"/>
          <w:lang w:val="hr-HR"/>
        </w:rPr>
        <w:t xml:space="preserve"> to </w:t>
      </w:r>
      <w:proofErr w:type="spellStart"/>
      <w:r w:rsidRPr="00E11503">
        <w:rPr>
          <w:color w:val="000000" w:themeColor="text1"/>
          <w:sz w:val="24"/>
          <w:lang w:val="hr-HR"/>
        </w:rPr>
        <w:t>purified</w:t>
      </w:r>
      <w:proofErr w:type="spellEnd"/>
      <w:r w:rsidRPr="00E11503">
        <w:rPr>
          <w:color w:val="000000" w:themeColor="text1"/>
          <w:sz w:val="24"/>
          <w:lang w:val="hr-HR"/>
        </w:rPr>
        <w:t xml:space="preserve"> </w:t>
      </w:r>
      <w:proofErr w:type="spellStart"/>
      <w:r w:rsidRPr="00E11503">
        <w:rPr>
          <w:color w:val="000000" w:themeColor="text1"/>
          <w:sz w:val="24"/>
          <w:lang w:val="hr-HR"/>
        </w:rPr>
        <w:t>Cry-toxins</w:t>
      </w:r>
      <w:proofErr w:type="spellEnd"/>
      <w:r w:rsidRPr="00E11503">
        <w:rPr>
          <w:color w:val="000000" w:themeColor="text1"/>
          <w:sz w:val="24"/>
          <w:lang w:val="hr-HR"/>
        </w:rPr>
        <w:t xml:space="preserve"> (Negativni učinak kronične izloženosti pročišćenim toksinima </w:t>
      </w:r>
      <w:proofErr w:type="spellStart"/>
      <w:r w:rsidRPr="00E11503">
        <w:rPr>
          <w:color w:val="000000" w:themeColor="text1"/>
          <w:sz w:val="24"/>
          <w:lang w:val="hr-HR"/>
        </w:rPr>
        <w:t>Cry</w:t>
      </w:r>
      <w:proofErr w:type="spellEnd"/>
      <w:r w:rsidRPr="00E11503">
        <w:rPr>
          <w:color w:val="000000" w:themeColor="text1"/>
          <w:sz w:val="24"/>
          <w:lang w:val="hr-HR"/>
        </w:rPr>
        <w:t xml:space="preserve"> na </w:t>
      </w:r>
      <w:proofErr w:type="spellStart"/>
      <w:r w:rsidRPr="00E11503">
        <w:rPr>
          <w:i/>
          <w:iCs/>
          <w:color w:val="000000" w:themeColor="text1"/>
          <w:sz w:val="24"/>
          <w:lang w:val="hr-HR"/>
        </w:rPr>
        <w:t>Daphnia</w:t>
      </w:r>
      <w:proofErr w:type="spellEnd"/>
      <w:r w:rsidRPr="00E11503">
        <w:rPr>
          <w:i/>
          <w:iCs/>
          <w:color w:val="000000" w:themeColor="text1"/>
          <w:sz w:val="24"/>
          <w:lang w:val="hr-HR"/>
        </w:rPr>
        <w:t xml:space="preserve"> </w:t>
      </w:r>
      <w:proofErr w:type="spellStart"/>
      <w:r w:rsidRPr="00E11503">
        <w:rPr>
          <w:i/>
          <w:iCs/>
          <w:color w:val="000000" w:themeColor="text1"/>
          <w:sz w:val="24"/>
          <w:lang w:val="hr-HR"/>
        </w:rPr>
        <w:t>magna</w:t>
      </w:r>
      <w:proofErr w:type="spellEnd"/>
      <w:r w:rsidRPr="00E11503">
        <w:rPr>
          <w:color w:val="000000" w:themeColor="text1"/>
          <w:sz w:val="24"/>
          <w:lang w:val="hr-HR"/>
        </w:rPr>
        <w:t xml:space="preserve">), </w:t>
      </w:r>
      <w:proofErr w:type="spellStart"/>
      <w:r w:rsidRPr="00E11503">
        <w:rPr>
          <w:color w:val="000000" w:themeColor="text1"/>
          <w:sz w:val="24"/>
          <w:lang w:val="hr-HR"/>
        </w:rPr>
        <w:t>Food</w:t>
      </w:r>
      <w:proofErr w:type="spellEnd"/>
      <w:r w:rsidRPr="00E11503">
        <w:rPr>
          <w:color w:val="000000" w:themeColor="text1"/>
          <w:sz w:val="24"/>
          <w:lang w:val="hr-HR"/>
        </w:rPr>
        <w:t xml:space="preserve"> </w:t>
      </w:r>
      <w:proofErr w:type="spellStart"/>
      <w:r w:rsidRPr="00E11503">
        <w:rPr>
          <w:color w:val="000000" w:themeColor="text1"/>
          <w:sz w:val="24"/>
          <w:lang w:val="hr-HR"/>
        </w:rPr>
        <w:t>and</w:t>
      </w:r>
      <w:proofErr w:type="spellEnd"/>
      <w:r w:rsidRPr="00E11503">
        <w:rPr>
          <w:color w:val="000000" w:themeColor="text1"/>
          <w:sz w:val="24"/>
          <w:lang w:val="hr-HR"/>
        </w:rPr>
        <w:t xml:space="preserve"> Chemical </w:t>
      </w:r>
      <w:proofErr w:type="spellStart"/>
      <w:r w:rsidRPr="00E11503">
        <w:rPr>
          <w:color w:val="000000" w:themeColor="text1"/>
          <w:sz w:val="24"/>
          <w:lang w:val="hr-HR"/>
        </w:rPr>
        <w:t>Toxicology</w:t>
      </w:r>
      <w:proofErr w:type="spellEnd"/>
      <w:r w:rsidRPr="00E11503">
        <w:rPr>
          <w:color w:val="000000" w:themeColor="text1"/>
          <w:sz w:val="24"/>
          <w:lang w:val="hr-HR"/>
        </w:rPr>
        <w:t xml:space="preserve">, svibanj 2016., svezak 91, str. </w:t>
      </w:r>
      <w:r w:rsidRPr="00E11503">
        <w:rPr>
          <w:color w:val="000000" w:themeColor="text1"/>
          <w:sz w:val="24"/>
          <w:lang w:val="hr-HR"/>
        </w:rPr>
        <w:t xml:space="preserve">130-140., </w:t>
      </w:r>
      <w:hyperlink r:id="rId10" w:history="1">
        <w:r w:rsidRPr="00E11503">
          <w:rPr>
            <w:rStyle w:val="Hyperlink"/>
            <w:color w:val="000000" w:themeColor="text1"/>
            <w:sz w:val="24"/>
            <w:lang w:val="hr-HR"/>
          </w:rPr>
          <w:t>https://www.sciencedirect.com/science/article/pii/S0278691516300722</w:t>
        </w:r>
      </w:hyperlink>
      <w:r w:rsidRPr="00E11503">
        <w:rPr>
          <w:rStyle w:val="Hyperlink"/>
          <w:color w:val="000000" w:themeColor="text1"/>
          <w:sz w:val="24"/>
          <w:lang w:val="hr-HR"/>
        </w:rPr>
        <w:t>.</w:t>
      </w:r>
    </w:p>
  </w:footnote>
  <w:footnote w:id="10">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sz w:val="24"/>
          <w:lang w:val="hr-HR"/>
        </w:rPr>
        <w:t xml:space="preserve"> </w:t>
      </w:r>
      <w:r w:rsidR="00E11503" w:rsidRPr="00E11503">
        <w:rPr>
          <w:sz w:val="24"/>
          <w:lang w:val="hr-HR"/>
        </w:rPr>
        <w:tab/>
      </w:r>
      <w:hyperlink r:id="rId11" w:history="1">
        <w:r w:rsidRPr="00E11503">
          <w:rPr>
            <w:rStyle w:val="Hyperlink"/>
            <w:color w:val="000000" w:themeColor="text1"/>
            <w:sz w:val="24"/>
            <w:lang w:val="hr-HR"/>
          </w:rPr>
          <w:t>https://efsa.onlinelibrary.wiley.com/action/downloadSupplement?doi=10.2903%2Fj.‌efsa.2024.8716&amp;file=efs28716-sup-0012-Annex8.pdf</w:t>
        </w:r>
      </w:hyperlink>
      <w:r w:rsidRPr="00E11503">
        <w:rPr>
          <w:rStyle w:val="Hyperlink"/>
          <w:color w:val="000000" w:themeColor="text1"/>
          <w:sz w:val="24"/>
          <w:lang w:val="hr-HR"/>
        </w:rPr>
        <w:t>.</w:t>
      </w:r>
    </w:p>
  </w:footnote>
  <w:footnote w:id="11">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 xml:space="preserve">Strateški dijalog o budućnosti poljoprivrede u EU-u – „A </w:t>
      </w:r>
      <w:proofErr w:type="spellStart"/>
      <w:r w:rsidRPr="00E11503">
        <w:rPr>
          <w:color w:val="000000" w:themeColor="text1"/>
          <w:sz w:val="24"/>
          <w:lang w:val="hr-HR"/>
        </w:rPr>
        <w:t>shared</w:t>
      </w:r>
      <w:proofErr w:type="spellEnd"/>
      <w:r w:rsidRPr="00E11503">
        <w:rPr>
          <w:color w:val="000000" w:themeColor="text1"/>
          <w:sz w:val="24"/>
          <w:lang w:val="hr-HR"/>
        </w:rPr>
        <w:t xml:space="preserve"> </w:t>
      </w:r>
      <w:proofErr w:type="spellStart"/>
      <w:r w:rsidRPr="00E11503">
        <w:rPr>
          <w:color w:val="000000" w:themeColor="text1"/>
          <w:sz w:val="24"/>
          <w:lang w:val="hr-HR"/>
        </w:rPr>
        <w:t>prospect</w:t>
      </w:r>
      <w:proofErr w:type="spellEnd"/>
      <w:r w:rsidRPr="00E11503">
        <w:rPr>
          <w:color w:val="000000" w:themeColor="text1"/>
          <w:sz w:val="24"/>
          <w:lang w:val="hr-HR"/>
        </w:rPr>
        <w:t xml:space="preserve"> for </w:t>
      </w:r>
      <w:proofErr w:type="spellStart"/>
      <w:r w:rsidRPr="00E11503">
        <w:rPr>
          <w:color w:val="000000" w:themeColor="text1"/>
          <w:sz w:val="24"/>
          <w:lang w:val="hr-HR"/>
        </w:rPr>
        <w:t>farming</w:t>
      </w:r>
      <w:proofErr w:type="spellEnd"/>
      <w:r w:rsidRPr="00E11503">
        <w:rPr>
          <w:color w:val="000000" w:themeColor="text1"/>
          <w:sz w:val="24"/>
          <w:lang w:val="hr-HR"/>
        </w:rPr>
        <w:t xml:space="preserve"> </w:t>
      </w:r>
      <w:proofErr w:type="spellStart"/>
      <w:r w:rsidRPr="00E11503">
        <w:rPr>
          <w:color w:val="000000" w:themeColor="text1"/>
          <w:sz w:val="24"/>
          <w:lang w:val="hr-HR"/>
        </w:rPr>
        <w:t>and</w:t>
      </w:r>
      <w:proofErr w:type="spellEnd"/>
      <w:r w:rsidRPr="00E11503">
        <w:rPr>
          <w:color w:val="000000" w:themeColor="text1"/>
          <w:sz w:val="24"/>
          <w:lang w:val="hr-HR"/>
        </w:rPr>
        <w:t xml:space="preserve"> </w:t>
      </w:r>
      <w:proofErr w:type="spellStart"/>
      <w:r w:rsidRPr="00E11503">
        <w:rPr>
          <w:color w:val="000000" w:themeColor="text1"/>
          <w:sz w:val="24"/>
          <w:lang w:val="hr-HR"/>
        </w:rPr>
        <w:t>food</w:t>
      </w:r>
      <w:proofErr w:type="spellEnd"/>
      <w:r w:rsidRPr="00E11503">
        <w:rPr>
          <w:color w:val="000000" w:themeColor="text1"/>
          <w:sz w:val="24"/>
          <w:lang w:val="hr-HR"/>
        </w:rPr>
        <w:t xml:space="preserve"> </w:t>
      </w:r>
      <w:proofErr w:type="spellStart"/>
      <w:r w:rsidRPr="00E11503">
        <w:rPr>
          <w:color w:val="000000" w:themeColor="text1"/>
          <w:sz w:val="24"/>
          <w:lang w:val="hr-HR"/>
        </w:rPr>
        <w:t>in</w:t>
      </w:r>
      <w:proofErr w:type="spellEnd"/>
      <w:r w:rsidRPr="00E11503">
        <w:rPr>
          <w:color w:val="000000" w:themeColor="text1"/>
          <w:sz w:val="24"/>
          <w:lang w:val="hr-HR"/>
        </w:rPr>
        <w:t xml:space="preserve"> Europe” (Zajednički izgledi za poljoprivredu i hranu u Europi), rujan 2024., </w:t>
      </w:r>
      <w:hyperlink r:id="rId12" w:history="1">
        <w:r w:rsidRPr="00E11503">
          <w:rPr>
            <w:rStyle w:val="Hyperlink"/>
            <w:color w:val="000000" w:themeColor="text1"/>
            <w:sz w:val="24"/>
            <w:lang w:val="hr-HR"/>
          </w:rPr>
          <w:t>https://agriculture.ec.europa.eu/document/download/171329ff-0f50-4fa5-946f-aea11032172e_en?filename=strategic-dialogue-report-2024_en.pdf</w:t>
        </w:r>
      </w:hyperlink>
      <w:r w:rsidRPr="00E11503">
        <w:rPr>
          <w:rStyle w:val="Hyperlink"/>
          <w:color w:val="000000" w:themeColor="text1"/>
          <w:sz w:val="24"/>
          <w:lang w:val="hr-HR"/>
        </w:rPr>
        <w:t>.</w:t>
      </w:r>
    </w:p>
  </w:footnote>
  <w:footnote w:id="12">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sz w:val="24"/>
          <w:lang w:val="hr-HR"/>
        </w:rPr>
        <w:t xml:space="preserve"> </w:t>
      </w:r>
      <w:r w:rsidR="00E11503" w:rsidRPr="00E11503">
        <w:rPr>
          <w:sz w:val="24"/>
          <w:lang w:val="hr-HR"/>
        </w:rPr>
        <w:tab/>
      </w:r>
      <w:hyperlink r:id="rId13" w:history="1">
        <w:r w:rsidRPr="00E11503">
          <w:rPr>
            <w:rStyle w:val="Hyperlink"/>
            <w:color w:val="000000" w:themeColor="text1"/>
            <w:sz w:val="24"/>
            <w:lang w:val="hr-HR"/>
          </w:rPr>
          <w:t>https://www.ohchr.org/en/documents/thematic-reports/ahrc3448-report-special-rapporteur-right-food</w:t>
        </w:r>
      </w:hyperlink>
      <w:r w:rsidRPr="00E11503">
        <w:rPr>
          <w:color w:val="000000" w:themeColor="text1"/>
          <w:sz w:val="24"/>
          <w:lang w:val="hr-HR"/>
        </w:rPr>
        <w:t>.</w:t>
      </w:r>
    </w:p>
  </w:footnote>
  <w:footnote w:id="13">
    <w:p w:rsidR="007E2AB6" w:rsidRPr="00E11503" w:rsidRDefault="007E2AB6" w:rsidP="00E11503">
      <w:pPr>
        <w:pStyle w:val="FootnoteText"/>
        <w:ind w:left="567" w:hanging="567"/>
        <w:rPr>
          <w:sz w:val="24"/>
          <w:lang w:val="hr-HR"/>
        </w:rPr>
      </w:pPr>
      <w:r w:rsidRPr="00E11503">
        <w:rPr>
          <w:rStyle w:val="FootnoteReference"/>
          <w:sz w:val="24"/>
          <w:lang w:val="hr-HR"/>
        </w:rPr>
        <w:footnoteRef/>
      </w:r>
      <w:r w:rsidR="00E11503" w:rsidRPr="00E11503">
        <w:rPr>
          <w:sz w:val="24"/>
          <w:lang w:val="hr-HR"/>
        </w:rPr>
        <w:t xml:space="preserve"> </w:t>
      </w:r>
      <w:r w:rsidR="00E11503" w:rsidRPr="00E11503">
        <w:rPr>
          <w:sz w:val="24"/>
          <w:lang w:val="hr-HR"/>
        </w:rPr>
        <w:tab/>
      </w:r>
      <w:hyperlink r:id="rId14" w:history="1">
        <w:r w:rsidRPr="00E11503">
          <w:rPr>
            <w:rStyle w:val="Hyperlink"/>
            <w:sz w:val="24"/>
            <w:lang w:val="hr-HR"/>
          </w:rPr>
          <w:t>https://indicators.report/targets/3-9/</w:t>
        </w:r>
      </w:hyperlink>
      <w:r w:rsidRPr="00E11503">
        <w:rPr>
          <w:rStyle w:val="Hyperlink"/>
          <w:sz w:val="24"/>
          <w:lang w:val="hr-HR"/>
        </w:rPr>
        <w:t>.</w:t>
      </w:r>
    </w:p>
  </w:footnote>
  <w:footnote w:id="14">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sz w:val="24"/>
          <w:lang w:val="hr-HR"/>
        </w:rPr>
        <w:t xml:space="preserve"> </w:t>
      </w:r>
      <w:r w:rsidR="00E11503" w:rsidRPr="00E11503">
        <w:rPr>
          <w:sz w:val="24"/>
          <w:lang w:val="hr-HR"/>
        </w:rPr>
        <w:tab/>
      </w:r>
      <w:proofErr w:type="spellStart"/>
      <w:r w:rsidRPr="00E11503">
        <w:rPr>
          <w:sz w:val="24"/>
          <w:lang w:val="hr-HR"/>
        </w:rPr>
        <w:t>see</w:t>
      </w:r>
      <w:proofErr w:type="spellEnd"/>
      <w:r w:rsidRPr="00E11503">
        <w:rPr>
          <w:sz w:val="24"/>
          <w:lang w:val="hr-HR"/>
        </w:rPr>
        <w:t xml:space="preserve">: </w:t>
      </w:r>
      <w:hyperlink r:id="rId15" w:history="1">
        <w:r w:rsidRPr="00E11503">
          <w:rPr>
            <w:rStyle w:val="Hyperlink"/>
            <w:sz w:val="24"/>
            <w:lang w:val="hr-HR"/>
          </w:rPr>
          <w:t>https://ec.europa.eu/commission/presscorner/detail/en/ip_22_7834</w:t>
        </w:r>
      </w:hyperlink>
      <w:r w:rsidRPr="00E11503">
        <w:rPr>
          <w:sz w:val="24"/>
          <w:lang w:val="hr-HR"/>
        </w:rPr>
        <w:t>.</w:t>
      </w:r>
    </w:p>
  </w:footnote>
  <w:footnote w:id="15">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sz w:val="24"/>
          <w:lang w:val="hr-HR"/>
        </w:rPr>
        <w:t xml:space="preserve"> </w:t>
      </w:r>
      <w:r w:rsidR="00E11503" w:rsidRPr="00E11503">
        <w:rPr>
          <w:sz w:val="24"/>
          <w:lang w:val="hr-HR"/>
        </w:rPr>
        <w:tab/>
      </w:r>
      <w:hyperlink r:id="rId16" w:history="1">
        <w:r w:rsidRPr="00E11503">
          <w:rPr>
            <w:rStyle w:val="Hyperlink"/>
            <w:color w:val="000000" w:themeColor="text1"/>
            <w:sz w:val="24"/>
            <w:lang w:val="hr-HR"/>
          </w:rPr>
          <w:t>https://commission.europa.eu/document/2c64e540-c07a-4376-a1da-368d289f4afe_en</w:t>
        </w:r>
      </w:hyperlink>
      <w:r w:rsidRPr="00E11503">
        <w:rPr>
          <w:rStyle w:val="Hyperlink"/>
          <w:color w:val="000000" w:themeColor="text1"/>
          <w:sz w:val="24"/>
          <w:lang w:val="hr-HR"/>
        </w:rPr>
        <w:t>.</w:t>
      </w:r>
    </w:p>
  </w:footnote>
  <w:footnote w:id="16">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U skladu s člankom 6. stavkom 3. Uredbe (EU) br. 182/2011 Komisija „može”, ali ne „mora” dati odobrenje ako se u okviru žalbenog odbora za to ne izjasni kvalificirana većina država članica.</w:t>
      </w:r>
    </w:p>
  </w:footnote>
  <w:footnote w:id="17">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E11503">
        <w:rPr>
          <w:color w:val="000000" w:themeColor="text1"/>
          <w:sz w:val="24"/>
          <w:lang w:val="hr-HR"/>
        </w:rPr>
        <w:t>1., ELI: </w:t>
      </w:r>
      <w:hyperlink r:id="rId17" w:tgtFrame="Gives access to this document through its ELI URI." w:history="1">
        <w:r w:rsidRPr="00E11503">
          <w:rPr>
            <w:rStyle w:val="Hyperlink"/>
            <w:color w:val="000000" w:themeColor="text1"/>
            <w:sz w:val="24"/>
            <w:lang w:val="hr-HR"/>
          </w:rPr>
          <w:t>http://data.europa.eu/eli/reg/2002/178/oj</w:t>
        </w:r>
      </w:hyperlink>
      <w:r w:rsidRPr="00E11503">
        <w:rPr>
          <w:color w:val="000000" w:themeColor="text1"/>
          <w:sz w:val="24"/>
          <w:lang w:val="hr-HR"/>
        </w:rPr>
        <w:t>).</w:t>
      </w:r>
    </w:p>
  </w:footnote>
  <w:footnote w:id="18">
    <w:p w:rsidR="007E2AB6" w:rsidRPr="00E11503" w:rsidRDefault="007E2AB6" w:rsidP="00E11503">
      <w:pPr>
        <w:pStyle w:val="FootnoteText"/>
        <w:ind w:left="567" w:hanging="567"/>
        <w:rPr>
          <w:color w:val="000000" w:themeColor="text1"/>
          <w:sz w:val="24"/>
          <w:lang w:val="hr-HR"/>
        </w:rPr>
      </w:pPr>
      <w:r w:rsidRPr="00E11503">
        <w:rPr>
          <w:rStyle w:val="FootnoteReference"/>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 xml:space="preserve">Kako je navedeno u prilogu komunikaciji Komisije od 14. listopada 2020. </w:t>
      </w:r>
      <w:r w:rsidRPr="00E11503">
        <w:rPr>
          <w:color w:val="000000" w:themeColor="text1"/>
          <w:sz w:val="24"/>
          <w:lang w:val="hr-HR"/>
        </w:rPr>
        <w:t xml:space="preserve">naslovljenoj „Strategija održivosti u području kemikalija – Prelazak na netoksični okoliš”, COM(2020)0667, </w:t>
      </w:r>
      <w:hyperlink r:id="rId18" w:anchor="document2" w:history="1">
        <w:r w:rsidRPr="00E11503">
          <w:rPr>
            <w:rStyle w:val="Hyperlink"/>
            <w:color w:val="000000" w:themeColor="text1"/>
            <w:sz w:val="24"/>
            <w:lang w:val="hr-HR"/>
          </w:rPr>
          <w:t>https://eur-lex.europa.eu/legal-content/HR/TXT/?uri=COM%3A2020%3A667%3AFIN#document2</w:t>
        </w:r>
      </w:hyperlink>
      <w:r w:rsidRPr="00E11503">
        <w:rPr>
          <w:color w:val="000000" w:themeColor="text1"/>
          <w:sz w:val="24"/>
          <w:lang w:val="hr-HR"/>
        </w:rPr>
        <w:t xml:space="preserve">. </w:t>
      </w:r>
    </w:p>
  </w:footnote>
  <w:footnote w:id="19">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sz w:val="24"/>
          <w:lang w:val="hr-HR"/>
        </w:rPr>
        <w:t xml:space="preserve"> </w:t>
      </w:r>
      <w:r w:rsidR="00E11503" w:rsidRPr="00E11503">
        <w:rPr>
          <w:sz w:val="24"/>
          <w:lang w:val="hr-HR"/>
        </w:rPr>
        <w:tab/>
      </w:r>
      <w:hyperlink r:id="rId19" w:history="1">
        <w:r w:rsidRPr="00E11503">
          <w:rPr>
            <w:rStyle w:val="Hyperlink"/>
            <w:color w:val="000000" w:themeColor="text1"/>
            <w:sz w:val="24"/>
            <w:lang w:val="hr-HR"/>
          </w:rPr>
          <w:t>https://tillymetz.lu/wp-content/uploads/2020/09/Co-signed-letter-MEP-Metz.pdf</w:t>
        </w:r>
      </w:hyperlink>
      <w:r w:rsidRPr="00E11503">
        <w:rPr>
          <w:rStyle w:val="Hyperlink"/>
          <w:color w:val="000000" w:themeColor="text1"/>
          <w:sz w:val="24"/>
          <w:lang w:val="hr-HR"/>
        </w:rPr>
        <w:t>.</w:t>
      </w:r>
    </w:p>
  </w:footnote>
  <w:footnote w:id="20">
    <w:p w:rsidR="007E2AB6" w:rsidRPr="00E11503" w:rsidRDefault="007E2AB6" w:rsidP="00E11503">
      <w:pPr>
        <w:pStyle w:val="FootnoteText"/>
        <w:ind w:left="567" w:hanging="567"/>
        <w:rPr>
          <w:color w:val="000000" w:themeColor="text1"/>
          <w:sz w:val="24"/>
          <w:lang w:val="hr-HR"/>
        </w:rPr>
      </w:pPr>
      <w:r w:rsidRPr="00E11503">
        <w:rPr>
          <w:rStyle w:val="Funotenzeichen"/>
          <w:color w:val="000000" w:themeColor="text1"/>
          <w:sz w:val="24"/>
          <w:lang w:val="hr-HR"/>
        </w:rPr>
        <w:footnoteRef/>
      </w:r>
      <w:r w:rsidR="00E11503" w:rsidRPr="00E11503">
        <w:rPr>
          <w:color w:val="000000" w:themeColor="text1"/>
          <w:sz w:val="24"/>
          <w:lang w:val="hr-HR"/>
        </w:rPr>
        <w:t xml:space="preserve"> </w:t>
      </w:r>
      <w:r w:rsidR="00E11503" w:rsidRPr="00E11503">
        <w:rPr>
          <w:color w:val="000000" w:themeColor="text1"/>
          <w:sz w:val="24"/>
          <w:lang w:val="hr-HR"/>
        </w:rPr>
        <w:tab/>
      </w:r>
      <w:r w:rsidRPr="00E11503">
        <w:rPr>
          <w:color w:val="000000" w:themeColor="text1"/>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15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HR"/>
    <w:docVar w:name="dvnumam" w:val="0"/>
    <w:docVar w:name="dvpe" w:val="766.932"/>
    <w:docVar w:name="dvtitre" w:val="Rezolucija Europskog parlamenta od .... 2025. o Nacrtu provedbene odluke Komisije o odobravanju stavljanja na tržište proizvoda koji sadržavaju genetski modificirani kukuruz DP910521, sastoje se od njega ili su od njega proizvedeni, na temelju Uredbe (EZ) br. 1829/2003 Europskog parlamenta i Vijeća(D102174/03 – 2024/3010(RSP))"/>
  </w:docVars>
  <w:rsids>
    <w:rsidRoot w:val="00FE4D3F"/>
    <w:rsid w:val="00002272"/>
    <w:rsid w:val="00064002"/>
    <w:rsid w:val="000677B9"/>
    <w:rsid w:val="000831BA"/>
    <w:rsid w:val="000A42CC"/>
    <w:rsid w:val="000E7DD9"/>
    <w:rsid w:val="0010095E"/>
    <w:rsid w:val="00125B37"/>
    <w:rsid w:val="00187494"/>
    <w:rsid w:val="001C2A79"/>
    <w:rsid w:val="001F32AE"/>
    <w:rsid w:val="002767FF"/>
    <w:rsid w:val="002B18FE"/>
    <w:rsid w:val="002B5493"/>
    <w:rsid w:val="00343214"/>
    <w:rsid w:val="00361C00"/>
    <w:rsid w:val="003769D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2AB6"/>
    <w:rsid w:val="00817416"/>
    <w:rsid w:val="00842779"/>
    <w:rsid w:val="00865F67"/>
    <w:rsid w:val="00881A7B"/>
    <w:rsid w:val="008840E5"/>
    <w:rsid w:val="00887B3E"/>
    <w:rsid w:val="008C2AC6"/>
    <w:rsid w:val="0090737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503"/>
    <w:rsid w:val="00E365E1"/>
    <w:rsid w:val="00E40001"/>
    <w:rsid w:val="00E820A4"/>
    <w:rsid w:val="00EB006A"/>
    <w:rsid w:val="00EB4772"/>
    <w:rsid w:val="00ED169E"/>
    <w:rsid w:val="00ED4235"/>
    <w:rsid w:val="00F04346"/>
    <w:rsid w:val="00F075DC"/>
    <w:rsid w:val="00F149E9"/>
    <w:rsid w:val="00F5134D"/>
    <w:rsid w:val="00F74202"/>
    <w:rsid w:val="00F87713"/>
    <w:rsid w:val="00FB4360"/>
    <w:rsid w:val="00FD0C70"/>
    <w:rsid w:val="00FE4D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6A821"/>
  <w15:chartTrackingRefBased/>
  <w15:docId w15:val="{E2ED3227-71FD-4682-A94F-43A46FD5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7E2AB6"/>
    <w:pPr>
      <w:spacing w:before="480" w:after="240"/>
    </w:pPr>
  </w:style>
  <w:style w:type="paragraph" w:customStyle="1" w:styleId="NormalHanging12a">
    <w:name w:val="NormalHanging12a"/>
    <w:basedOn w:val="Normal"/>
    <w:qFormat/>
    <w:rsid w:val="007E2AB6"/>
    <w:pPr>
      <w:spacing w:after="240"/>
      <w:ind w:left="567" w:hanging="567"/>
    </w:pPr>
  </w:style>
  <w:style w:type="character" w:styleId="Hyperlink">
    <w:name w:val="Hyperlink"/>
    <w:basedOn w:val="DefaultParagraphFont"/>
    <w:uiPriority w:val="99"/>
    <w:rsid w:val="007E2AB6"/>
    <w:rPr>
      <w:color w:val="0563C1" w:themeColor="hyperlink"/>
      <w:u w:val="single"/>
    </w:rPr>
  </w:style>
  <w:style w:type="character" w:customStyle="1" w:styleId="Funotenzeichen">
    <w:name w:val="Fußnotenzeichen"/>
    <w:qFormat/>
    <w:rsid w:val="007E2AB6"/>
    <w:rPr>
      <w:vertAlign w:val="superscript"/>
    </w:rPr>
  </w:style>
  <w:style w:type="character" w:styleId="FollowedHyperlink">
    <w:name w:val="FollowedHyperlink"/>
    <w:basedOn w:val="DefaultParagraphFont"/>
    <w:rsid w:val="009073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HR/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s://eur-lex.europa.eu/legal-content/HR/TXT/PDF/?uri=CELEX:32011R0182"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s://eur-lex.europa.eu/legal-content/HR/TXT/PDF/?uri=CELEX:32003R1829"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s://eur-lex.europa.eu/legal-content/HR/TXT/PDF/?uri=CELEX:32013R0503" TargetMode="External"/><Relationship Id="rId15" Type="http://schemas.openxmlformats.org/officeDocument/2006/relationships/hyperlink" Target="https://ec.europa.eu/commission/presscorner/detail/hr/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legal-content/HR/TXT/PDF/?uri=CELEX:32009R1107"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549B3-DF6E-4EC5-90C6-B371B634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2081</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2025-03-14T10:04:00Z</dcterms:created>
  <dcterms:modified xsi:type="dcterms:W3CDTF">2025-03-14T10:04:00Z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P10_TA(2025)0014_</vt:lpwstr>
  </property>
  <property fmtid="{D5CDD505-2E9C-101B-9397-08002B2CF9AE}" pid="4" name="&lt;Type&gt;">
    <vt:lpwstr>RR</vt:lpwstr>
  </property>
</Properties>
</file>