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21BB" w:rsidTr="0010095E">
        <w:trPr>
          <w:trHeight w:hRule="exact" w:val="1418"/>
        </w:trPr>
        <w:tc>
          <w:tcPr>
            <w:tcW w:w="6804" w:type="dxa"/>
            <w:shd w:val="clear" w:color="auto" w:fill="auto"/>
            <w:vAlign w:val="center"/>
          </w:tcPr>
          <w:p w:rsidR="00751A4A" w:rsidRPr="00F721BB" w:rsidRDefault="002C2294" w:rsidP="0010095E">
            <w:pPr>
              <w:pStyle w:val="EPName"/>
            </w:pPr>
            <w:r w:rsidRPr="00F721BB">
              <w:t>Europos Parlamentas</w:t>
            </w:r>
          </w:p>
          <w:p w:rsidR="00751A4A" w:rsidRPr="00F721BB" w:rsidRDefault="005F1B17" w:rsidP="005F1B17">
            <w:pPr>
              <w:pStyle w:val="EPTerm"/>
              <w:rPr>
                <w:rStyle w:val="HideTWBExt"/>
                <w:noProof w:val="0"/>
                <w:vanish w:val="0"/>
                <w:color w:val="auto"/>
              </w:rPr>
            </w:pPr>
            <w:r w:rsidRPr="00F721BB">
              <w:t>2024</w:t>
            </w:r>
            <w:r w:rsidR="00817416" w:rsidRPr="00F721BB">
              <w:t>-202</w:t>
            </w:r>
            <w:r w:rsidRPr="00F721BB">
              <w:t>9</w:t>
            </w:r>
          </w:p>
        </w:tc>
        <w:tc>
          <w:tcPr>
            <w:tcW w:w="2268" w:type="dxa"/>
            <w:shd w:val="clear" w:color="auto" w:fill="auto"/>
          </w:tcPr>
          <w:p w:rsidR="00751A4A" w:rsidRPr="00F721BB" w:rsidRDefault="00187494" w:rsidP="0010095E">
            <w:pPr>
              <w:pStyle w:val="EPLogo"/>
            </w:pPr>
            <w:r w:rsidRPr="00F721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21BB" w:rsidRDefault="00D058B8" w:rsidP="004C5D52">
      <w:pPr>
        <w:pStyle w:val="LineTop"/>
      </w:pPr>
    </w:p>
    <w:p w:rsidR="00680577" w:rsidRPr="00F721BB" w:rsidRDefault="002C2294" w:rsidP="00680577">
      <w:pPr>
        <w:pStyle w:val="EPBodyTA1"/>
      </w:pPr>
      <w:r w:rsidRPr="00F721BB">
        <w:t>PRIIMTI TEKSTAI</w:t>
      </w:r>
    </w:p>
    <w:p w:rsidR="00D058B8" w:rsidRPr="00F721BB" w:rsidRDefault="00D058B8" w:rsidP="00D058B8">
      <w:pPr>
        <w:pStyle w:val="LineBottom"/>
      </w:pPr>
    </w:p>
    <w:p w:rsidR="002C2294" w:rsidRPr="00F721BB" w:rsidRDefault="002C2294" w:rsidP="002C2294">
      <w:pPr>
        <w:pStyle w:val="ATHeading1"/>
      </w:pPr>
      <w:bookmarkStart w:id="0" w:name="TANumber"/>
      <w:r w:rsidRPr="00F721BB">
        <w:t>P10_TA(2025)00</w:t>
      </w:r>
      <w:r w:rsidR="00CB4782">
        <w:t>14</w:t>
      </w:r>
      <w:bookmarkEnd w:id="0"/>
    </w:p>
    <w:p w:rsidR="002C2294" w:rsidRPr="00F721BB" w:rsidRDefault="002C2294" w:rsidP="002C2294">
      <w:pPr>
        <w:pStyle w:val="ATHeading2"/>
      </w:pPr>
      <w:bookmarkStart w:id="1" w:name="title"/>
      <w:r w:rsidRPr="00F721BB">
        <w:t>Genetiškai modifikuoti kukurūzai DP910521</w:t>
      </w:r>
      <w:bookmarkEnd w:id="1"/>
    </w:p>
    <w:p w:rsidR="002C2294" w:rsidRPr="00F721BB" w:rsidRDefault="002C2294" w:rsidP="002C2294">
      <w:pPr>
        <w:rPr>
          <w:i/>
          <w:vanish/>
        </w:rPr>
      </w:pPr>
      <w:r w:rsidRPr="00F721BB">
        <w:rPr>
          <w:i/>
        </w:rPr>
        <w:fldChar w:fldCharType="begin"/>
      </w:r>
      <w:r w:rsidRPr="00F721BB">
        <w:rPr>
          <w:i/>
        </w:rPr>
        <w:instrText xml:space="preserve"> TC"(</w:instrText>
      </w:r>
      <w:bookmarkStart w:id="2" w:name="DocNumber"/>
      <w:r w:rsidRPr="00F721BB">
        <w:rPr>
          <w:i/>
        </w:rPr>
        <w:instrText>B10-0061/2025</w:instrText>
      </w:r>
      <w:bookmarkEnd w:id="2"/>
      <w:r w:rsidRPr="00F721BB">
        <w:rPr>
          <w:i/>
        </w:rPr>
        <w:instrText xml:space="preserve">)"\l3 \n&gt; \* MERGEFORMAT </w:instrText>
      </w:r>
      <w:r w:rsidRPr="00F721BB">
        <w:rPr>
          <w:i/>
        </w:rPr>
        <w:fldChar w:fldCharType="end"/>
      </w:r>
    </w:p>
    <w:p w:rsidR="002C2294" w:rsidRPr="00F721BB" w:rsidRDefault="002C2294" w:rsidP="002C2294">
      <w:pPr>
        <w:rPr>
          <w:vanish/>
        </w:rPr>
      </w:pPr>
      <w:bookmarkStart w:id="3" w:name="PE"/>
      <w:r w:rsidRPr="00F721BB">
        <w:rPr>
          <w:vanish/>
        </w:rPr>
        <w:t>PE766.932</w:t>
      </w:r>
      <w:bookmarkEnd w:id="3"/>
    </w:p>
    <w:p w:rsidR="002C2294" w:rsidRPr="00F721BB" w:rsidRDefault="002C2294" w:rsidP="00ED1E27">
      <w:pPr>
        <w:pStyle w:val="ATHeading3"/>
      </w:pPr>
      <w:bookmarkStart w:id="4" w:name="Sujet"/>
      <w:r w:rsidRPr="00F721BB">
        <w:t>2025 m. vasario 12 d. Europos Parlamento rezoliucija dėl Komisijos įgyvendinimo sprendimo, kuriuo pagal Europos Parlamento ir Tarybos reglamentą (EB) Nr. 1829/2003 leidžiama pateikti rinkai produktus, kurių sudėtyje yra genetiškai modifikuotų kukurūzų DP910521, kurie iš jų sudaryti arba kurie iš jų pagaminti, projekto</w:t>
      </w:r>
      <w:bookmarkEnd w:id="4"/>
      <w:r w:rsidRPr="00F721BB">
        <w:t xml:space="preserve"> </w:t>
      </w:r>
      <w:bookmarkStart w:id="5" w:name="References"/>
      <w:r w:rsidRPr="00F721BB">
        <w:t>(D102174/03 – 2024/3010(RSP))</w:t>
      </w:r>
      <w:bookmarkEnd w:id="5"/>
    </w:p>
    <w:p w:rsidR="00D3298E" w:rsidRPr="00F721BB" w:rsidRDefault="00D3298E" w:rsidP="00D3298E">
      <w:pPr>
        <w:pStyle w:val="EPComma"/>
      </w:pPr>
      <w:bookmarkStart w:id="6" w:name="TextBodyBegin"/>
      <w:bookmarkEnd w:id="6"/>
      <w:r w:rsidRPr="00F721BB">
        <w:rPr>
          <w:i/>
        </w:rPr>
        <w:t>Europos Parlamentas</w:t>
      </w:r>
      <w:r w:rsidRPr="00F721BB">
        <w:t>,</w:t>
      </w:r>
    </w:p>
    <w:p w:rsidR="00D3298E" w:rsidRPr="00F721BB" w:rsidRDefault="00D3298E" w:rsidP="00D3298E">
      <w:pPr>
        <w:pStyle w:val="NormalHanging12a"/>
      </w:pPr>
      <w:r w:rsidRPr="00F721BB">
        <w:t>–</w:t>
      </w:r>
      <w:r w:rsidRPr="00F721BB">
        <w:tab/>
        <w:t>atsižvelgdamas į Komisijos įgyvendinimo sprendimo, kuriuo pagal Europos Parlamento ir Tarybos reglamentą (EB) Nr. 1829/2003 leidžiama pateikti rinkai produktus, kurių sudėtyje yra genetiškai modifikuotų kukurūzų DP910521, kurie iš jų sudaryti arba kurie iš jų pagaminti, projektą (D102174/03),</w:t>
      </w:r>
    </w:p>
    <w:p w:rsidR="00D3298E" w:rsidRPr="00F721BB" w:rsidRDefault="00D3298E" w:rsidP="00D3298E">
      <w:pPr>
        <w:pStyle w:val="NormalHanging12a"/>
        <w:rPr>
          <w:szCs w:val="24"/>
        </w:rPr>
      </w:pPr>
      <w:r w:rsidRPr="00F721BB">
        <w:t>–</w:t>
      </w:r>
      <w:r w:rsidRPr="00F721BB">
        <w:tab/>
        <w:t>atsižvelgdamas į 2003 m. rugsėjo 22 d. Europos Parlamento ir Tarybos reglamentą (EB) Nr. 1829/2003 dėl genetiškai modifikuoto maisto ir pašarų</w:t>
      </w:r>
      <w:r w:rsidRPr="00F721BB">
        <w:rPr>
          <w:rStyle w:val="FootnoteReference"/>
          <w:szCs w:val="24"/>
        </w:rPr>
        <w:footnoteReference w:id="1"/>
      </w:r>
      <w:r w:rsidRPr="00F721BB">
        <w:t>, ypač į jo 7 straipsnio 3 dalį ir 19 straipsnio 3 dalį,</w:t>
      </w:r>
    </w:p>
    <w:p w:rsidR="00D3298E" w:rsidRPr="00F721BB" w:rsidRDefault="00D3298E" w:rsidP="00D3298E">
      <w:pPr>
        <w:pStyle w:val="NormalHanging12a"/>
        <w:rPr>
          <w:szCs w:val="24"/>
        </w:rPr>
      </w:pPr>
      <w:r w:rsidRPr="00F721BB">
        <w:t>–</w:t>
      </w:r>
      <w:r w:rsidRPr="00F721BB">
        <w:tab/>
        <w:t xml:space="preserve">atsižvelgdamas į tai, kad </w:t>
      </w:r>
      <w:r w:rsidRPr="00F721BB">
        <w:rPr>
          <w:shd w:val="clear" w:color="auto" w:fill="FFFFFF"/>
        </w:rPr>
        <w:t>Reglamento (EB) Nr. 1829/2003 35 straipsnyje nurodytas Augalų, gyvūnų, maisto ir pašarų nuolatinis komitetas per 2024 m. lapkričio 22 d. vykusį balsavimą nusprendė nuomonės neteikti, ir į tai, kad apeliacinis komitetas 2024 m. gruodžio 17 d. balsavimu taip pat nusprendė nuomonės neteikti</w:t>
      </w:r>
      <w:r w:rsidRPr="00F721BB">
        <w:t>,</w:t>
      </w:r>
    </w:p>
    <w:p w:rsidR="00D3298E" w:rsidRPr="00F721BB" w:rsidRDefault="00D3298E" w:rsidP="00D3298E">
      <w:pPr>
        <w:pStyle w:val="NormalHanging12a"/>
        <w:rPr>
          <w:szCs w:val="24"/>
        </w:rPr>
      </w:pPr>
      <w:r w:rsidRPr="00F721BB">
        <w:t>–</w:t>
      </w:r>
      <w:r w:rsidRPr="00F721BB">
        <w:tab/>
        <w:t>atsižvelgdamas į 2011 m. vasario 16 d. Europos Parlamento ir Tarybos reglamento (ES) Nr. 182/2011, kuriuo nustatomos valstybių narių vykdomos Komisijos naudojimosi įgyvendinimo įgaliojimais kontrolės mechanizmų taisyklės ir bendrieji principai</w:t>
      </w:r>
      <w:r w:rsidRPr="00F721BB">
        <w:rPr>
          <w:rStyle w:val="FootnoteReference"/>
          <w:szCs w:val="24"/>
        </w:rPr>
        <w:footnoteReference w:id="2"/>
      </w:r>
      <w:r w:rsidRPr="00F721BB">
        <w:t>, 11 straipsnį,</w:t>
      </w:r>
    </w:p>
    <w:p w:rsidR="00D3298E" w:rsidRPr="00F721BB" w:rsidRDefault="00D3298E" w:rsidP="00D3298E">
      <w:pPr>
        <w:pStyle w:val="NormalHanging12a"/>
        <w:rPr>
          <w:szCs w:val="24"/>
        </w:rPr>
      </w:pPr>
      <w:r w:rsidRPr="00F721BB">
        <w:t>–</w:t>
      </w:r>
      <w:r w:rsidRPr="00F721BB">
        <w:tab/>
        <w:t>atsižvelgdamas į Europos maisto saugos tarnybos (EFSA) 2024 m. birželio 19 d. priimtą nuomonę, kuri paskelbta 2024 m. rugpjūčio 1 d.</w:t>
      </w:r>
      <w:r w:rsidRPr="00F721BB">
        <w:rPr>
          <w:rStyle w:val="FootnoteReference"/>
          <w:szCs w:val="24"/>
        </w:rPr>
        <w:footnoteReference w:id="3"/>
      </w:r>
      <w:r w:rsidRPr="00F721BB">
        <w:t>,</w:t>
      </w:r>
    </w:p>
    <w:p w:rsidR="00D3298E" w:rsidRPr="00F721BB" w:rsidRDefault="00D3298E" w:rsidP="00D3298E">
      <w:pPr>
        <w:pStyle w:val="NormalHanging12a"/>
        <w:rPr>
          <w:szCs w:val="24"/>
        </w:rPr>
      </w:pPr>
      <w:r w:rsidRPr="00F721BB">
        <w:t>–</w:t>
      </w:r>
      <w:r w:rsidRPr="00F721BB">
        <w:tab/>
      </w:r>
      <w:r w:rsidRPr="00F721BB">
        <w:rPr>
          <w:shd w:val="clear" w:color="auto" w:fill="FFFFFF"/>
        </w:rPr>
        <w:t xml:space="preserve">atsižvelgdamas į ankstesnes savo rezoliucijas, kuriomis prieštaraujama leidimui naudoti </w:t>
      </w:r>
      <w:r w:rsidRPr="00F721BB">
        <w:rPr>
          <w:shd w:val="clear" w:color="auto" w:fill="FFFFFF"/>
        </w:rPr>
        <w:lastRenderedPageBreak/>
        <w:t>genetiškai modifikuotus organizmus (GMO)</w:t>
      </w:r>
      <w:r w:rsidRPr="00F721BB">
        <w:rPr>
          <w:rStyle w:val="FootnoteReference"/>
          <w:szCs w:val="24"/>
          <w:shd w:val="clear" w:color="auto" w:fill="FFFFFF"/>
        </w:rPr>
        <w:footnoteReference w:id="4"/>
      </w:r>
      <w:r w:rsidRPr="00F721BB">
        <w:rPr>
          <w:shd w:val="clear" w:color="auto" w:fill="FFFFFF"/>
        </w:rPr>
        <w:t>,</w:t>
      </w:r>
    </w:p>
    <w:p w:rsidR="00D3298E" w:rsidRPr="00F721BB" w:rsidRDefault="00D3298E" w:rsidP="00D3298E">
      <w:pPr>
        <w:pStyle w:val="NormalHanging12a"/>
        <w:rPr>
          <w:szCs w:val="24"/>
        </w:rPr>
      </w:pPr>
      <w:r w:rsidRPr="00F721BB">
        <w:t>–</w:t>
      </w:r>
      <w:r w:rsidRPr="00F721BB">
        <w:tab/>
        <w:t>atsižvelgdamas į Darbo tvarkos taisyklių 115 straipsnio 2 ir 3 dalis,</w:t>
      </w:r>
    </w:p>
    <w:p w:rsidR="00B87C40" w:rsidRPr="00B87C40" w:rsidRDefault="00D3298E" w:rsidP="00D3298E">
      <w:pPr>
        <w:pStyle w:val="NormalHanging12a"/>
        <w:rPr>
          <w:szCs w:val="24"/>
        </w:rPr>
      </w:pPr>
      <w:r w:rsidRPr="00F721BB">
        <w:t>–</w:t>
      </w:r>
      <w:r w:rsidRPr="00F721BB">
        <w:tab/>
        <w:t xml:space="preserve">atsižvelgdamas į Aplinkos, </w:t>
      </w:r>
      <w:r w:rsidR="00BC0E7D">
        <w:t xml:space="preserve">klimato </w:t>
      </w:r>
      <w:r w:rsidRPr="00F721BB">
        <w:t>ir maisto saugos komiteto pasiūlymą dėl rezoliucijos,</w:t>
      </w:r>
    </w:p>
    <w:p w:rsidR="00D3298E" w:rsidRPr="00F721BB" w:rsidRDefault="00D3298E" w:rsidP="00D3298E">
      <w:pPr>
        <w:pStyle w:val="NormalHanging12a"/>
        <w:rPr>
          <w:szCs w:val="24"/>
        </w:rPr>
      </w:pPr>
      <w:r w:rsidRPr="00F721BB">
        <w:lastRenderedPageBreak/>
        <w:t>A.</w:t>
      </w:r>
      <w:r w:rsidRPr="00F721BB">
        <w:tab/>
        <w:t>kadangi 2022 m. birželio 27 d. Belgijoje įsisteigusi bendrovė „Corteva Agriscience Belgium B.V.“ Jungtinėse Amerikos Valstijose įsisteigusios bendrovės „Corteva Agriscience LLC“ vardu</w:t>
      </w:r>
      <w:r w:rsidRPr="00F721BB">
        <w:rPr>
          <w:snapToGrid w:val="0"/>
        </w:rPr>
        <w:t xml:space="preserve"> Nyderlandų nacionalinei kompetentingai institucijai pateikė paraišką dėl</w:t>
      </w:r>
      <w:r w:rsidRPr="00F721BB">
        <w:t xml:space="preserve"> maisto produktų, maisto sudedamųjų dalių ir pašarų, kurių sudėtyje yra genetiškai modifikuotų kukurūzų DP910521 (toliau – genetiškai modifikuoti kukurūzai), kurie iš jų sudaryti arba kurie iš jų pagaminti, pateikimo rinkai;</w:t>
      </w:r>
    </w:p>
    <w:p w:rsidR="00D3298E" w:rsidRPr="00F721BB" w:rsidRDefault="00D3298E" w:rsidP="00D3298E">
      <w:pPr>
        <w:pStyle w:val="NormalHanging12a"/>
        <w:rPr>
          <w:szCs w:val="24"/>
        </w:rPr>
      </w:pPr>
      <w:r w:rsidRPr="00F721BB">
        <w:t>B.</w:t>
      </w:r>
      <w:r w:rsidRPr="00F721BB">
        <w:tab/>
        <w:t>kadangi genetiškai modifikuoti kukurūzai gamina toksiną Cry1B.34 ir yra atsparūs herbicidui gliufozinatui;</w:t>
      </w:r>
    </w:p>
    <w:p w:rsidR="00D3298E" w:rsidRPr="00F721BB" w:rsidRDefault="00D3298E" w:rsidP="00D3298E">
      <w:pPr>
        <w:pStyle w:val="NormalHanging12a"/>
        <w:tabs>
          <w:tab w:val="left" w:pos="0"/>
        </w:tabs>
        <w:suppressAutoHyphens/>
        <w:rPr>
          <w:szCs w:val="24"/>
        </w:rPr>
      </w:pPr>
      <w:r w:rsidRPr="00F721BB">
        <w:t>C.</w:t>
      </w:r>
      <w:r w:rsidRPr="00F721BB">
        <w:tab/>
        <w:t>kadangi gliufozinatas priskiriamas prie toksiškų reprodukcijai medžiagų (1B kategorija), todėl atitinka Europos Parlamento ir Tarybos reglamente (EB) Nr. 1107/2009 nustatytus paraiškos atmetimo kriterijus</w:t>
      </w:r>
      <w:r w:rsidRPr="00F721BB">
        <w:rPr>
          <w:rStyle w:val="FootnoteReference"/>
          <w:szCs w:val="24"/>
        </w:rPr>
        <w:footnoteReference w:id="5"/>
      </w:r>
      <w:r w:rsidRPr="00F721BB">
        <w:t>; kadangi leidimas Sąjungoje naudoti gliufozinatą baigė galioti 2018 m. liepos 31 d.;</w:t>
      </w:r>
    </w:p>
    <w:p w:rsidR="00D3298E" w:rsidRPr="00F721BB" w:rsidRDefault="00D3298E" w:rsidP="00D3298E">
      <w:pPr>
        <w:pStyle w:val="NormalHanging12a"/>
        <w:tabs>
          <w:tab w:val="left" w:pos="0"/>
        </w:tabs>
        <w:suppressAutoHyphens/>
        <w:rPr>
          <w:szCs w:val="24"/>
        </w:rPr>
      </w:pPr>
      <w:r w:rsidRPr="00F721BB">
        <w:t>D.</w:t>
      </w:r>
      <w:r w:rsidRPr="00F721BB">
        <w:tab/>
        <w:t>kadangi Cry1B.34 yra sintetinis susiliejimo baltymas, kurį sudaro Cry1B, Cry1Ca1 ir Cry9Db1, sukurtas siekiant užtikrinti atsparumą vabzdžiams – Lepidoptera būrio kenkėjams, tačiau neįrodytas jo specifiškumas tikslinėms rūšims;</w:t>
      </w:r>
    </w:p>
    <w:p w:rsidR="00D3298E" w:rsidRPr="00F721BB" w:rsidRDefault="00D3298E" w:rsidP="00D3298E">
      <w:pPr>
        <w:pStyle w:val="NormalHanging12a"/>
        <w:tabs>
          <w:tab w:val="left" w:pos="0"/>
        </w:tabs>
        <w:suppressAutoHyphens/>
        <w:rPr>
          <w:szCs w:val="24"/>
        </w:rPr>
      </w:pPr>
      <w:r w:rsidRPr="00F721BB">
        <w:t>E.</w:t>
      </w:r>
      <w:r w:rsidRPr="00F721BB">
        <w:tab/>
        <w:t>kadangi genetinį modifikavimą sudaro dviejų etapų procesas, kuriame naudojamas CRISPR/Cas9 siekiant įterpti įterpimo pagrindą (angl. landing pad) ir bombarduojama mikrodalelėmis siekiant įterpti genų raiškos kasetę;</w:t>
      </w:r>
    </w:p>
    <w:p w:rsidR="00D3298E" w:rsidRPr="00F721BB" w:rsidRDefault="00D3298E" w:rsidP="00D3298E">
      <w:pPr>
        <w:pStyle w:val="NormalHanging12a"/>
        <w:rPr>
          <w:b/>
          <w:i/>
          <w:szCs w:val="24"/>
        </w:rPr>
      </w:pPr>
      <w:r w:rsidRPr="00F721BB">
        <w:rPr>
          <w:b/>
          <w:i/>
        </w:rPr>
        <w:t>Nepakankamas papildomų herbicidų vertinimas</w:t>
      </w:r>
    </w:p>
    <w:p w:rsidR="00D3298E" w:rsidRPr="00F721BB" w:rsidRDefault="00D3298E" w:rsidP="00D3298E">
      <w:pPr>
        <w:pStyle w:val="NormalHanging12a"/>
        <w:tabs>
          <w:tab w:val="left" w:pos="0"/>
        </w:tabs>
        <w:suppressAutoHyphens/>
        <w:rPr>
          <w:szCs w:val="24"/>
        </w:rPr>
      </w:pPr>
      <w:r w:rsidRPr="00F721BB">
        <w:t>F.</w:t>
      </w:r>
      <w:r w:rsidRPr="00F721BB">
        <w:tab/>
        <w:t>kadangi Komisijos įgyvendinimo reglamente (ES) Nr. 503/2013</w:t>
      </w:r>
      <w:r w:rsidRPr="00F721BB">
        <w:rPr>
          <w:rStyle w:val="FootnoteReference"/>
          <w:szCs w:val="24"/>
        </w:rPr>
        <w:footnoteReference w:id="6"/>
      </w:r>
      <w:r w:rsidRPr="00F721BB">
        <w:t xml:space="preserve"> reikalaujama įvertinti, ar numatoma žemės ūkio praktika daro įtaką tiriamų taškų rezultatams; kadangi, kaip nurodyta tame įgyvendinimo reglamente, tai ypač svarbu herbicidams atsparių augalų aspektu;</w:t>
      </w:r>
    </w:p>
    <w:p w:rsidR="00D3298E" w:rsidRPr="00F721BB" w:rsidRDefault="00D3298E" w:rsidP="00D3298E">
      <w:pPr>
        <w:pStyle w:val="NormalHanging12a"/>
        <w:tabs>
          <w:tab w:val="left" w:pos="0"/>
        </w:tabs>
        <w:suppressAutoHyphens/>
        <w:rPr>
          <w:szCs w:val="24"/>
        </w:rPr>
      </w:pPr>
      <w:r w:rsidRPr="00F721BB">
        <w:t>G.</w:t>
      </w:r>
      <w:r w:rsidRPr="00F721BB">
        <w:tab/>
        <w:t xml:space="preserve">kadangi didžioji dauguma genetiškai modifikuotų kultūrų buvo genetiškai modifikuotos taip, kad būtų atsparios vienam ar keliems papildomiems herbicidams, kuriuos galima naudoti auginant genetiškai modifikuotas kultūras, jų nesunaikinant, kaip būtų herbicidams neatsparių pasėlių atveju; kadangi ne vienu tyrimu įrodyta, jog auginant herbicidams atsparias genetiškai modifikuotas kultūras dažniau naudojami papildomi </w:t>
      </w:r>
      <w:r w:rsidRPr="00F721BB">
        <w:lastRenderedPageBreak/>
        <w:t>herbicidai, labiausiai dėl to, kad atsirado herbicidams atsparių piktžolių</w:t>
      </w:r>
      <w:r w:rsidRPr="00F721BB">
        <w:rPr>
          <w:rStyle w:val="FootnoteReference"/>
          <w:szCs w:val="24"/>
        </w:rPr>
        <w:footnoteReference w:id="7"/>
      </w:r>
      <w:r w:rsidRPr="00F721BB">
        <w:t>;</w:t>
      </w:r>
    </w:p>
    <w:p w:rsidR="00D3298E" w:rsidRPr="00F721BB" w:rsidRDefault="00D3298E" w:rsidP="00D3298E">
      <w:pPr>
        <w:pStyle w:val="NormalHanging12a"/>
        <w:tabs>
          <w:tab w:val="left" w:pos="0"/>
        </w:tabs>
        <w:suppressAutoHyphens/>
        <w:rPr>
          <w:szCs w:val="24"/>
        </w:rPr>
      </w:pPr>
      <w:r w:rsidRPr="00F721BB">
        <w:t>H.</w:t>
      </w:r>
      <w:r w:rsidRPr="00F721BB">
        <w:tab/>
        <w:t>kadangi herbicidams atsparias genetiškai modifikuotas kultūras auginantys ūkininkai įtraukiami į piktžolių valdymo sistemą, kuri labai arba visiškai priklauso nuo herbicidų, ir tai daroma taikant priemoką už genetiškai modifikuotas sėklas, kuri gali būti pateisinama tik tuo atveju, jei tokias sėklas perkantys ūkininkai purškia ir papildomą herbicidą; kadangi dėl padidėjusios priklausomybės nuo papildomų herbicidų ūkiuose, kuriuose sėjamos genetiškai modifikuotos kultūros, sparčiau atsiranda ir plinta tiems herbicidams atsparios piktžolės, todėl reikia naudoti dar daugiau herbicidų, ir taip susidaro užburtas ratas, kitaip vadinamas „įsuktu herbicidų ratu“;</w:t>
      </w:r>
    </w:p>
    <w:p w:rsidR="00D3298E" w:rsidRPr="00F721BB" w:rsidRDefault="00D3298E" w:rsidP="00D3298E">
      <w:pPr>
        <w:pStyle w:val="NormalHanging12a"/>
        <w:tabs>
          <w:tab w:val="left" w:pos="0"/>
        </w:tabs>
        <w:suppressAutoHyphens/>
        <w:rPr>
          <w:szCs w:val="24"/>
        </w:rPr>
      </w:pPr>
      <w:r w:rsidRPr="00F721BB">
        <w:t>I.</w:t>
      </w:r>
      <w:r w:rsidRPr="00F721BB">
        <w:tab/>
        <w:t>kadangi neigiamas poveikis, kurį lemia pernelyg didelė priklausomybė nuo herbicidų, pasireikš dirvožemio būklės, vandens kokybės ir virš žemės bei po žeme esančios biologinės įvairovės blogėjimu, taip pat turi įtakos žmonėms ir gyvūnams, be kita ko, dėl didesnių herbicidų liekanų maiste ir pašaruose;</w:t>
      </w:r>
    </w:p>
    <w:p w:rsidR="00D3298E" w:rsidRPr="00F721BB" w:rsidRDefault="00D3298E" w:rsidP="00D3298E">
      <w:pPr>
        <w:pStyle w:val="NormalHanging12a"/>
        <w:tabs>
          <w:tab w:val="left" w:pos="0"/>
        </w:tabs>
        <w:suppressAutoHyphens/>
        <w:rPr>
          <w:szCs w:val="24"/>
        </w:rPr>
      </w:pPr>
      <w:r w:rsidRPr="00F721BB">
        <w:t>J.</w:t>
      </w:r>
      <w:r w:rsidRPr="00F721BB">
        <w:tab/>
        <w:t>kadangi laikoma, jog herbicidų liekanų ir metabolitų, randamų genetiškai modifikuotuose augaluose, vertinimas nėra EFSA genetiškai modifikuotų organizmų specialistų grupės kompetencijos sritis, todėl jis nėra atliekamas vykdant GMO autorizacijos procedūrą;</w:t>
      </w:r>
    </w:p>
    <w:p w:rsidR="00D3298E" w:rsidRPr="00F721BB" w:rsidRDefault="00D3298E" w:rsidP="00D3298E">
      <w:pPr>
        <w:pStyle w:val="NormalHanging12a"/>
        <w:rPr>
          <w:b/>
          <w:i/>
          <w:szCs w:val="24"/>
        </w:rPr>
      </w:pPr>
      <w:r w:rsidRPr="00F721BB">
        <w:rPr>
          <w:b/>
          <w:i/>
        </w:rPr>
        <w:t>Neišspręsti klausimai, susiję su Bt toksinais</w:t>
      </w:r>
    </w:p>
    <w:p w:rsidR="00D3298E" w:rsidRPr="00F721BB" w:rsidRDefault="00D3298E" w:rsidP="00D3298E">
      <w:pPr>
        <w:pStyle w:val="NormalHanging12a"/>
        <w:tabs>
          <w:tab w:val="left" w:pos="0"/>
        </w:tabs>
        <w:suppressAutoHyphens/>
        <w:rPr>
          <w:szCs w:val="24"/>
        </w:rPr>
      </w:pPr>
      <w:r w:rsidRPr="00F721BB">
        <w:t>K.</w:t>
      </w:r>
      <w:r w:rsidRPr="00F721BB">
        <w:tab/>
        <w:t>kadangi iš įvairių tyrimų matyti, kad buvo nustatytas šalutinis poveikis imuninei sistemai, galintis pasireikšti patyrus Bt toksinų poveikį, ir kad kai kurie Bt toksinai gali turėti adjuvantinių savybių</w:t>
      </w:r>
      <w:r w:rsidRPr="00F721BB">
        <w:rPr>
          <w:rStyle w:val="FootnoteReference"/>
          <w:szCs w:val="24"/>
        </w:rPr>
        <w:footnoteReference w:id="8"/>
      </w:r>
      <w:r w:rsidRPr="00F721BB">
        <w:t>, t. y. dėl jų gali padidėti kitų baltymų, su kuriais šie baltymai sąveikauja, alergeniškumas;</w:t>
      </w:r>
    </w:p>
    <w:p w:rsidR="00D3298E" w:rsidRPr="00F721BB" w:rsidRDefault="00D3298E" w:rsidP="00D3298E">
      <w:pPr>
        <w:pStyle w:val="NormalHanging12a"/>
        <w:tabs>
          <w:tab w:val="left" w:pos="0"/>
        </w:tabs>
        <w:suppressAutoHyphens/>
        <w:rPr>
          <w:szCs w:val="24"/>
        </w:rPr>
      </w:pPr>
      <w:r w:rsidRPr="00F721BB">
        <w:t>L.</w:t>
      </w:r>
      <w:r w:rsidRPr="00F721BB">
        <w:tab/>
        <w:t>kadangi atliekant mokslinį tyrimą nustatyta, kad Bt toksinų toksiškumas taip pat gali sustiprėti sąveikaujant su liekanomis, liekančiomis po purškimo herbicidais, ir kadangi reikia atlikti daugiau tyrimų dėl sukauptų įvykių (genetiškai modifikuotos kultūros, kurios buvo modifikuotos, kad būtų atsparios herbicidams ir gamintų insekticidus Bt toksinų pavidalu) kombinatorinio poveikio</w:t>
      </w:r>
      <w:r w:rsidRPr="00F721BB">
        <w:rPr>
          <w:rStyle w:val="FootnoteReference"/>
          <w:szCs w:val="24"/>
        </w:rPr>
        <w:footnoteReference w:id="9"/>
      </w:r>
      <w:r w:rsidRPr="00F721BB">
        <w:t xml:space="preserve">; kadangi vis dėlto laikoma, kad galimos herbicidų liekanų ir jų metabolitų sąveikos su Bt toksinais vertinimas nepatenka į EFSA GMO specialistų grupės kompetencijos sritį ir todėl nevykdomas atliekant rizikos </w:t>
      </w:r>
      <w:r w:rsidRPr="00F721BB">
        <w:lastRenderedPageBreak/>
        <w:t>vertinimą;</w:t>
      </w:r>
    </w:p>
    <w:p w:rsidR="00D3298E" w:rsidRPr="00F721BB" w:rsidRDefault="00D3298E" w:rsidP="00D3298E">
      <w:pPr>
        <w:pStyle w:val="NormalHanging12a"/>
        <w:rPr>
          <w:b/>
          <w:i/>
          <w:szCs w:val="24"/>
        </w:rPr>
      </w:pPr>
      <w:r w:rsidRPr="00F721BB">
        <w:rPr>
          <w:b/>
          <w:i/>
        </w:rPr>
        <w:t>Bt kultūros. Poveikis nekontroliuojamiems organizmams</w:t>
      </w:r>
    </w:p>
    <w:p w:rsidR="00D3298E" w:rsidRPr="00F721BB" w:rsidRDefault="00D3298E" w:rsidP="00D3298E">
      <w:pPr>
        <w:pStyle w:val="NormalHanging12a"/>
        <w:tabs>
          <w:tab w:val="left" w:pos="0"/>
        </w:tabs>
        <w:suppressAutoHyphens/>
        <w:rPr>
          <w:szCs w:val="24"/>
        </w:rPr>
      </w:pPr>
      <w:r w:rsidRPr="00F721BB">
        <w:t>M.</w:t>
      </w:r>
      <w:r w:rsidRPr="00F721BB">
        <w:tab/>
        <w:t>kadangi, priešingai nei naudojant insekticidus, kai poveikis daromas purškimo metu ir ribotą laiką po jo, naudojant genetiškai modifikuotas Bt kultūras, kontroliuojamus ir nekontroliuojamus organizmus Bt toksinai veikia nuolatos;</w:t>
      </w:r>
    </w:p>
    <w:p w:rsidR="00D3298E" w:rsidRPr="00F721BB" w:rsidRDefault="00D3298E" w:rsidP="00D3298E">
      <w:pPr>
        <w:pStyle w:val="NormalHanging12a"/>
        <w:tabs>
          <w:tab w:val="left" w:pos="0"/>
        </w:tabs>
        <w:suppressAutoHyphens/>
        <w:rPr>
          <w:szCs w:val="24"/>
        </w:rPr>
      </w:pPr>
      <w:r w:rsidRPr="00F721BB">
        <w:t>N.</w:t>
      </w:r>
      <w:r w:rsidRPr="00F721BB">
        <w:tab/>
        <w:t>kadangi prielaida, kad Bt toksinai veikia vienu konkrečiu tiksliniu veikimo būdu, nebegali būti laikoma teisinga, ir negalima atmesti, kad daromas poveikis nekontroliuojamiems organizmams; kadangi pranešama, kad įvairiais būdais paveikiamų nekontroliuojamų organizmų skaičius didėja;</w:t>
      </w:r>
    </w:p>
    <w:p w:rsidR="00D3298E" w:rsidRPr="00F721BB" w:rsidRDefault="00D3298E" w:rsidP="00D3298E">
      <w:pPr>
        <w:pStyle w:val="NormalHanging12a"/>
        <w:rPr>
          <w:b/>
          <w:i/>
          <w:szCs w:val="24"/>
        </w:rPr>
      </w:pPr>
      <w:r w:rsidRPr="00F721BB">
        <w:rPr>
          <w:b/>
          <w:i/>
        </w:rPr>
        <w:t>Valstybių narių ir suinteresuotųjų subjektų pastabos</w:t>
      </w:r>
    </w:p>
    <w:p w:rsidR="00D3298E" w:rsidRPr="00F721BB" w:rsidRDefault="00D3298E" w:rsidP="00D3298E">
      <w:pPr>
        <w:pStyle w:val="NormalHanging12a"/>
        <w:tabs>
          <w:tab w:val="left" w:pos="0"/>
        </w:tabs>
        <w:suppressAutoHyphens/>
        <w:rPr>
          <w:szCs w:val="24"/>
        </w:rPr>
      </w:pPr>
      <w:r w:rsidRPr="00F721BB">
        <w:t>O.</w:t>
      </w:r>
      <w:r w:rsidRPr="00F721BB">
        <w:tab/>
        <w:t>kadangi valstybės narės per trijų mėnesių konsultacijų laikotarpį EFSA pateikė daug kritinių pastabų</w:t>
      </w:r>
      <w:r w:rsidRPr="00F721BB">
        <w:rPr>
          <w:rStyle w:val="FootnoteReference"/>
          <w:szCs w:val="24"/>
        </w:rPr>
        <w:footnoteReference w:id="10"/>
      </w:r>
      <w:r w:rsidRPr="00F721BB">
        <w:t xml:space="preserve">, įskaitant tai, kad į atitinkamų tyrimų sąrašą, nustatytą pareiškėjo literatūros apžvalgoje, nebuvo įtraukti to, kas atsitinka su Bt baltymais aplinkoje, ar galimo Bt kultūrų liekanų poveikio </w:t>
      </w:r>
      <w:r w:rsidR="00ED1E27" w:rsidRPr="00F721BB">
        <w:t>nekontroliuojamiems</w:t>
      </w:r>
      <w:r w:rsidRPr="00F721BB">
        <w:t xml:space="preserve"> organizmams tyrimai, nors tokių tyrimų esama; </w:t>
      </w:r>
    </w:p>
    <w:p w:rsidR="00D3298E" w:rsidRPr="00F721BB" w:rsidRDefault="00D3298E" w:rsidP="00D3298E">
      <w:pPr>
        <w:pStyle w:val="NormalHanging12a"/>
        <w:tabs>
          <w:tab w:val="left" w:pos="0"/>
        </w:tabs>
        <w:suppressAutoHyphens/>
        <w:rPr>
          <w:szCs w:val="24"/>
        </w:rPr>
      </w:pPr>
      <w:bookmarkStart w:id="7" w:name="_GoBack_Copy_1"/>
      <w:bookmarkEnd w:id="7"/>
      <w:r w:rsidRPr="00F721BB">
        <w:t>P.</w:t>
      </w:r>
      <w:r w:rsidRPr="00F721BB">
        <w:tab/>
        <w:t>kadangi atliekant genetiškai modifikuotų kukurūzų sudėties ir fenotipinės analizės lauko tyrimus nebuvo atsižvelgta į skirtingas aplinkos sąlygas ir genetinę kilmę, susijusias su jų auginimu, ypač tokiose šalyse kaip Brazilija;</w:t>
      </w:r>
    </w:p>
    <w:p w:rsidR="00D3298E" w:rsidRPr="00F721BB" w:rsidRDefault="00D3298E" w:rsidP="00D3298E">
      <w:pPr>
        <w:pStyle w:val="NormalHanging12a"/>
        <w:tabs>
          <w:tab w:val="left" w:pos="0"/>
        </w:tabs>
        <w:suppressAutoHyphens/>
        <w:rPr>
          <w:szCs w:val="24"/>
        </w:rPr>
      </w:pPr>
      <w:r w:rsidRPr="00F721BB">
        <w:t>Q.</w:t>
      </w:r>
      <w:r w:rsidRPr="00F721BB">
        <w:tab/>
        <w:t>kadangi Cry1B.34 toksiškumo vertinime neatsižvelgiama į kombinatorinį poveikį su augalų sudedamosiomis dalimis ar herbicidų naudojimo liekanomis;</w:t>
      </w:r>
    </w:p>
    <w:p w:rsidR="00D3298E" w:rsidRPr="00F721BB" w:rsidRDefault="00D3298E" w:rsidP="00D3298E">
      <w:pPr>
        <w:pStyle w:val="NormalHanging12a"/>
        <w:tabs>
          <w:tab w:val="left" w:pos="0"/>
        </w:tabs>
        <w:suppressAutoHyphens/>
        <w:rPr>
          <w:szCs w:val="24"/>
        </w:rPr>
      </w:pPr>
      <w:r w:rsidRPr="00F721BB">
        <w:t>R.</w:t>
      </w:r>
      <w:r w:rsidRPr="00F721BB">
        <w:tab/>
        <w:t>kadangi papildomas herbicidas gliufozinatas yra susijęs su didele rizika biologinei įvairovei, dirvožemio ir vandens kokybei ir ilgalaikei ekosistemų būklei;</w:t>
      </w:r>
    </w:p>
    <w:p w:rsidR="00D3298E" w:rsidRPr="00F721BB" w:rsidRDefault="00D3298E" w:rsidP="00D3298E">
      <w:pPr>
        <w:pStyle w:val="NormalHanging12a"/>
        <w:tabs>
          <w:tab w:val="left" w:pos="0"/>
        </w:tabs>
        <w:suppressAutoHyphens/>
        <w:rPr>
          <w:szCs w:val="24"/>
        </w:rPr>
      </w:pPr>
      <w:r w:rsidRPr="00F721BB">
        <w:t>S.</w:t>
      </w:r>
      <w:r w:rsidRPr="00F721BB">
        <w:tab/>
        <w:t xml:space="preserve">kadangi pavojus, kad genai bus pernešti į giminingus laukinius augalus, pvz., </w:t>
      </w:r>
      <w:r w:rsidRPr="00F721BB">
        <w:rPr>
          <w:i/>
          <w:iCs/>
        </w:rPr>
        <w:t>Euchlaena mexicana</w:t>
      </w:r>
      <w:r w:rsidRPr="00F721BB">
        <w:t>, apie kurį pranešta Ispanijoje ir Prancūzijoje, kelia susirūpinimą, kad atsiras transgeninis patvarumas ir poveikis aplinkai;</w:t>
      </w:r>
    </w:p>
    <w:p w:rsidR="00D3298E" w:rsidRPr="00F721BB" w:rsidRDefault="00D3298E" w:rsidP="00D3298E">
      <w:pPr>
        <w:pStyle w:val="NormalHanging12a"/>
        <w:tabs>
          <w:tab w:val="left" w:pos="0"/>
        </w:tabs>
        <w:suppressAutoHyphens/>
        <w:rPr>
          <w:szCs w:val="24"/>
        </w:rPr>
      </w:pPr>
      <w:r w:rsidRPr="00F721BB">
        <w:t>T.</w:t>
      </w:r>
      <w:r w:rsidRPr="00F721BB">
        <w:tab/>
        <w:t>kadangi nepakankamai atsižvelgiama į Įgyvendinimo reglamente (ES) Nr. 503/2013 nustatytus stebėsenos reikalavimus ir neatliekamas nepriklausomas duomenų tikrinimas;</w:t>
      </w:r>
    </w:p>
    <w:p w:rsidR="00D3298E" w:rsidRPr="00F721BB" w:rsidRDefault="00D3298E" w:rsidP="00D3298E">
      <w:pPr>
        <w:pStyle w:val="NormalHanging12a"/>
        <w:rPr>
          <w:b/>
          <w:i/>
          <w:szCs w:val="24"/>
        </w:rPr>
      </w:pPr>
      <w:r w:rsidRPr="00F721BB">
        <w:rPr>
          <w:b/>
          <w:i/>
        </w:rPr>
        <w:t>Vienodų sąlygų pasauliniu mastu užtikrinimas ir Sąjungos tarptautinių įsipareigojimų laikymasis</w:t>
      </w:r>
    </w:p>
    <w:p w:rsidR="00D3298E" w:rsidRPr="00F721BB" w:rsidRDefault="00D3298E" w:rsidP="00D3298E">
      <w:pPr>
        <w:pStyle w:val="NormalHanging12a"/>
        <w:tabs>
          <w:tab w:val="left" w:pos="0"/>
        </w:tabs>
        <w:suppressAutoHyphens/>
        <w:rPr>
          <w:szCs w:val="24"/>
        </w:rPr>
      </w:pPr>
      <w:r w:rsidRPr="00F721BB">
        <w:t>U.</w:t>
      </w:r>
      <w:r w:rsidRPr="00F721BB">
        <w:tab/>
        <w:t>kadangi strateginio dialogo dėl žemės ūkio ateities ES</w:t>
      </w:r>
      <w:r w:rsidRPr="00F721BB">
        <w:rPr>
          <w:vertAlign w:val="superscript"/>
        </w:rPr>
        <w:footnoteReference w:id="11"/>
      </w:r>
      <w:r w:rsidRPr="00F721BB">
        <w:t xml:space="preserve"> išvadose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w:t>
      </w:r>
      <w:r w:rsidRPr="00F721BB">
        <w:lastRenderedPageBreak/>
        <w:t>per 2023 ir 2024 m. demonstracijas;</w:t>
      </w:r>
    </w:p>
    <w:p w:rsidR="00D3298E" w:rsidRDefault="00D3298E" w:rsidP="00D3298E">
      <w:pPr>
        <w:pStyle w:val="NormalHanging12a"/>
        <w:tabs>
          <w:tab w:val="left" w:pos="0"/>
        </w:tabs>
        <w:suppressAutoHyphens/>
      </w:pPr>
      <w:r w:rsidRPr="00F721BB">
        <w:t>V.</w:t>
      </w:r>
      <w:r w:rsidRPr="00F721BB">
        <w:tab/>
        <w:t>kadangi Jungtinių Tautų specialiojo pranešėjo teisės į maistą klausimais 2017 m. ataskaitoje nustatyta, jog pavojingi pesticidai katastrofiškai veikia visų pirma besivystančių šalių gyventojų sveikatą</w:t>
      </w:r>
      <w:r w:rsidRPr="00F721BB">
        <w:rPr>
          <w:vertAlign w:val="superscript"/>
        </w:rPr>
        <w:footnoteReference w:id="12"/>
      </w:r>
      <w:r w:rsidRPr="00F721BB">
        <w:t>; kadangi Jungtinių Tautų darnaus vystymosi tikslas (JT DVT) Nr. 3.9 – iki 2030 m. iš esmės sumažinti mirčių ir ligų, kurias sukelia pavojingos cheminės medžiagos, oro, vandens ir dirvožemio tarša bei užterštumas, skaičių</w:t>
      </w:r>
      <w:r w:rsidRPr="00F721BB">
        <w:rPr>
          <w:rStyle w:val="FootnoteReference"/>
          <w:szCs w:val="24"/>
        </w:rPr>
        <w:footnoteReference w:id="13"/>
      </w:r>
      <w:r w:rsidRPr="00F721BB">
        <w:t>;</w:t>
      </w:r>
    </w:p>
    <w:p w:rsidR="00985864" w:rsidRPr="00F721BB" w:rsidRDefault="00F25C07" w:rsidP="00D3298E">
      <w:pPr>
        <w:pStyle w:val="NormalHanging12a"/>
        <w:tabs>
          <w:tab w:val="left" w:pos="0"/>
        </w:tabs>
        <w:suppressAutoHyphens/>
        <w:rPr>
          <w:szCs w:val="24"/>
        </w:rPr>
      </w:pPr>
      <w:r>
        <w:rPr>
          <w:szCs w:val="24"/>
        </w:rPr>
        <w:t>W</w:t>
      </w:r>
      <w:r w:rsidR="00985864" w:rsidRPr="00985864">
        <w:rPr>
          <w:szCs w:val="24"/>
        </w:rPr>
        <w:t>.</w:t>
      </w:r>
      <w:r w:rsidR="00985864" w:rsidRPr="00985864">
        <w:rPr>
          <w:szCs w:val="24"/>
        </w:rPr>
        <w:tab/>
        <w:t>kadangi ES ir MERCOSUR prekybos susitarimu bus skatinamas maisto ir gyvūnų pašarų, kurių sudėtyje yra genetiškai modifikuotų organizmų, kurie iš jų sudaryti arba kurie iš j</w:t>
      </w:r>
      <w:r w:rsidR="006A2166">
        <w:rPr>
          <w:szCs w:val="24"/>
        </w:rPr>
        <w:t>ų pagaminti, importas į Sąjungą;</w:t>
      </w:r>
      <w:r w:rsidR="00985864" w:rsidRPr="00985864">
        <w:rPr>
          <w:szCs w:val="24"/>
        </w:rPr>
        <w:t xml:space="preserve"> kadangi Brazilija ir Argentina yra vienos iš didžiausių GMO gamintojų ir pesticidų naudotojų pasaulyje, įskaitant GMO ir pesticidus, kurie Sąjungoje uždrausti dėl sveikatos ar aplinkos apsaugos priežasčių; </w:t>
      </w:r>
    </w:p>
    <w:p w:rsidR="00D3298E" w:rsidRPr="00F721BB" w:rsidRDefault="00F25C07" w:rsidP="00D3298E">
      <w:pPr>
        <w:pStyle w:val="NormalHanging12a"/>
        <w:tabs>
          <w:tab w:val="left" w:pos="0"/>
        </w:tabs>
        <w:suppressAutoHyphens/>
        <w:rPr>
          <w:szCs w:val="24"/>
        </w:rPr>
      </w:pPr>
      <w:r>
        <w:t>X</w:t>
      </w:r>
      <w:r w:rsidR="00D3298E" w:rsidRPr="00F721BB">
        <w:t>.</w:t>
      </w:r>
      <w:r w:rsidR="00D3298E" w:rsidRPr="00F721BB">
        <w:tab/>
        <w:t>kadangi Kunmingo ir Monrealio pasaulio biologinės įvairovės strategijoje, dėl kurios susitarta 2022 m. gruodžio mėn. JT biologinės įvairovės konvencijos (JT BĮK) COP 15, įtrauktas pasaulinis tikslas iki 2030 m. bent 50 proc. sumažinti pesticidų keliamą riziką</w:t>
      </w:r>
      <w:r w:rsidR="00D3298E" w:rsidRPr="00F721BB">
        <w:rPr>
          <w:vertAlign w:val="superscript"/>
        </w:rPr>
        <w:footnoteReference w:id="14"/>
      </w:r>
      <w:r w:rsidR="00D3298E" w:rsidRPr="00F721BB">
        <w:t>;</w:t>
      </w:r>
    </w:p>
    <w:p w:rsidR="00D3298E" w:rsidRPr="00F721BB" w:rsidRDefault="00F25C07" w:rsidP="00D3298E">
      <w:pPr>
        <w:pStyle w:val="NormalHanging12a"/>
        <w:tabs>
          <w:tab w:val="left" w:pos="0"/>
        </w:tabs>
        <w:suppressAutoHyphens/>
        <w:rPr>
          <w:szCs w:val="24"/>
        </w:rPr>
      </w:pPr>
      <w:r>
        <w:t>Y</w:t>
      </w:r>
      <w:r w:rsidR="00D3298E" w:rsidRPr="00F721BB">
        <w:t>.</w:t>
      </w:r>
      <w:r w:rsidR="00D3298E" w:rsidRPr="00F721BB">
        <w:tab/>
        <w:t>kadangi Reglamente (EB) Nr. 1829/2003 nustatyta, jog genetiškai modifikuotas maistas ir pašarai turi nekelti neigiamo poveikio žmonių ir gyvūnų sveikatai arba aplinkai, ir reikalaujama, kad Komisija, rengdama sprendimą, atsižvelgtų į visas atitinkamas Sąjungos teisės nuostatas ir kitus su svarstomu klausimu pagrįstai siejamus veiksnius; kadangi tokie teisėti veiksniai turėtų apimti Sąjungos įsipareigojimus pagal JT DVT ir JT BĮK;</w:t>
      </w:r>
    </w:p>
    <w:p w:rsidR="00D3298E" w:rsidRPr="00F721BB" w:rsidRDefault="00D3298E" w:rsidP="00D3298E">
      <w:pPr>
        <w:pStyle w:val="NormalHanging12a"/>
        <w:rPr>
          <w:b/>
          <w:i/>
          <w:szCs w:val="24"/>
        </w:rPr>
      </w:pPr>
      <w:r w:rsidRPr="00F721BB">
        <w:rPr>
          <w:b/>
          <w:i/>
        </w:rPr>
        <w:t>Priklausomybės nuo importuojamų pašarų mažinimas</w:t>
      </w:r>
    </w:p>
    <w:p w:rsidR="00D3298E" w:rsidRPr="00F721BB" w:rsidRDefault="00F25C07" w:rsidP="00D3298E">
      <w:pPr>
        <w:pStyle w:val="NormalHanging12a"/>
        <w:tabs>
          <w:tab w:val="left" w:pos="0"/>
        </w:tabs>
        <w:suppressAutoHyphens/>
        <w:rPr>
          <w:b/>
          <w:i/>
          <w:szCs w:val="24"/>
        </w:rPr>
      </w:pPr>
      <w:r>
        <w:t>Z</w:t>
      </w:r>
      <w:r w:rsidR="00D3298E" w:rsidRPr="00F721BB">
        <w:t>.</w:t>
      </w:r>
      <w:r w:rsidR="00D3298E" w:rsidRPr="00F721BB">
        <w:tab/>
        <w:t>kadangi viena iš COVID-19 krizės ir tebesitęsiančio karo Ukrainoje pamokų yra tai, kad Sąjunga turi išsivaduoti iš priklausomybės nuo tam tikrų ypatingos svarbos medžiagų; kadangi paskirtajam Komisijos nariui Christophe Hansenui skirtame įgaliojamajame rašte Komisijos Pirmininkė Ursula von der Leyen prašo jo ieškoti būdų, kaip sumažinti ypatingos svarbos prekių importą</w:t>
      </w:r>
      <w:r w:rsidR="00D3298E" w:rsidRPr="00F721BB">
        <w:rPr>
          <w:rStyle w:val="FootnoteReference"/>
          <w:szCs w:val="24"/>
        </w:rPr>
        <w:footnoteReference w:id="15"/>
      </w:r>
      <w:r w:rsidR="00D3298E" w:rsidRPr="00F721BB">
        <w:t xml:space="preserve">; </w:t>
      </w:r>
    </w:p>
    <w:p w:rsidR="00D3298E" w:rsidRPr="00F721BB" w:rsidRDefault="00D3298E" w:rsidP="00D3298E">
      <w:pPr>
        <w:pStyle w:val="NormalHanging12a"/>
        <w:rPr>
          <w:b/>
          <w:i/>
          <w:szCs w:val="24"/>
        </w:rPr>
      </w:pPr>
      <w:r w:rsidRPr="00F721BB">
        <w:rPr>
          <w:b/>
          <w:i/>
        </w:rPr>
        <w:t>Nedemokratiškas sprendimų priėmimas</w:t>
      </w:r>
    </w:p>
    <w:p w:rsidR="00D3298E" w:rsidRPr="00F721BB" w:rsidRDefault="00F25C07" w:rsidP="00D3298E">
      <w:pPr>
        <w:pStyle w:val="NormalHanging12a"/>
        <w:tabs>
          <w:tab w:val="left" w:pos="0"/>
        </w:tabs>
        <w:suppressAutoHyphens/>
        <w:rPr>
          <w:szCs w:val="24"/>
        </w:rPr>
      </w:pPr>
      <w:r>
        <w:t>AA</w:t>
      </w:r>
      <w:r w:rsidR="00D3298E" w:rsidRPr="00F721BB">
        <w:t>.</w:t>
      </w:r>
      <w:r w:rsidR="00D3298E" w:rsidRPr="00F721BB">
        <w:tab/>
        <w:t>kadangi per savo aštuntąją kadenciją Parlamentas priėmė iš viso 36 rezoliucijas, kuriomis nepritarė tam, kad rinkai būtų teikiamas genetiškai modifikuotas maistas ir pašarai (33 rezoliucijos) ir kad Sąjungoje būtų leidžiama auginti GMO (trys rezoliucijos); kadangi per devintąją kadenciją Parlamentas priėmė 38 rezoliucijas, kuriomis nepritarė tam, kad rinkai būtų teikiami GMO, ir per dabartinę dešimtąją kadenciją jau priėmė 8 rezoliucijas, kuriomis prieštaraujama tam, kad rinkai būtų teikiami GMO;</w:t>
      </w:r>
    </w:p>
    <w:p w:rsidR="00D3298E" w:rsidRPr="00F721BB" w:rsidRDefault="00F25C07" w:rsidP="00D3298E">
      <w:pPr>
        <w:pStyle w:val="NormalHanging12a"/>
        <w:tabs>
          <w:tab w:val="left" w:pos="0"/>
        </w:tabs>
        <w:suppressAutoHyphens/>
        <w:rPr>
          <w:szCs w:val="24"/>
        </w:rPr>
      </w:pPr>
      <w:r>
        <w:t>AB</w:t>
      </w:r>
      <w:r w:rsidR="00D3298E" w:rsidRPr="00F721BB">
        <w:t>.</w:t>
      </w:r>
      <w:r w:rsidR="00D3298E" w:rsidRPr="00F721BB">
        <w:tab/>
        <w:t xml:space="preserve">kadangi, nepaisydama pačios pripažintų demokratijos trūkumų, to, kad valstybės narės nepritaria šių produktų naudojimui, ir Parlamento prieštaravimų, Komisija ir toliau </w:t>
      </w:r>
      <w:r w:rsidR="00D3298E" w:rsidRPr="00F721BB">
        <w:lastRenderedPageBreak/>
        <w:t>suteikia leidimus dėl GMO;</w:t>
      </w:r>
    </w:p>
    <w:p w:rsidR="00D3298E" w:rsidRPr="00F721BB" w:rsidRDefault="00F25C07" w:rsidP="00D3298E">
      <w:pPr>
        <w:pStyle w:val="NormalHanging12a"/>
        <w:tabs>
          <w:tab w:val="left" w:pos="0"/>
        </w:tabs>
        <w:suppressAutoHyphens/>
        <w:rPr>
          <w:szCs w:val="24"/>
        </w:rPr>
      </w:pPr>
      <w:r>
        <w:t>AC</w:t>
      </w:r>
      <w:r w:rsidR="00D3298E" w:rsidRPr="00F721BB">
        <w:t>.</w:t>
      </w:r>
      <w:r w:rsidR="00D3298E" w:rsidRPr="00F721BB">
        <w:tab/>
        <w:t>kadangi nereikia teisės aktų pakeitimų, kad Komisija galėtų nesuteikti leidimų GMO, kai apeliaciniame komitete nesama patvirtinimo kvalifikuota valstybių narių balsų dauguma</w:t>
      </w:r>
      <w:r w:rsidR="00D3298E" w:rsidRPr="00F721BB">
        <w:rPr>
          <w:rStyle w:val="FootnoteReference"/>
          <w:szCs w:val="24"/>
        </w:rPr>
        <w:footnoteReference w:id="16"/>
      </w:r>
      <w:r w:rsidR="00D3298E" w:rsidRPr="00F721BB">
        <w:t>;</w:t>
      </w:r>
    </w:p>
    <w:p w:rsidR="00D3298E" w:rsidRPr="00F721BB" w:rsidRDefault="00F25C07" w:rsidP="00D3298E">
      <w:pPr>
        <w:suppressAutoHyphens/>
        <w:spacing w:after="240"/>
        <w:ind w:left="567" w:hanging="567"/>
        <w:rPr>
          <w:szCs w:val="24"/>
          <w:shd w:val="clear" w:color="auto" w:fill="FFFFFF"/>
        </w:rPr>
      </w:pPr>
      <w:r>
        <w:t>AD</w:t>
      </w:r>
      <w:r w:rsidR="00D3298E" w:rsidRPr="00F721BB">
        <w:t>.</w:t>
      </w:r>
      <w:r w:rsidR="00D3298E" w:rsidRPr="00F721BB">
        <w:tab/>
      </w:r>
      <w:r w:rsidR="00D3298E" w:rsidRPr="00F721BB">
        <w:rPr>
          <w:shd w:val="clear" w:color="auto" w:fill="FFFFFF"/>
        </w:rPr>
        <w:t>kadangi Reglamento (EB) Nr. 1829/2003 35 straipsnyje nurodytas Augalų, gyvūnų, maisto ir pašarų nuolatinis komitetas per 2024 m. lapkričio 22 d. vykusį balsavimą nepateikė nuomonės, o tai reiškia, kad leidimas kvalifikuota valstybių narių balsų dauguma patvirtintas nebuvo; kadangi apeliacinis komitetas balsuodamas 2024 m. gruodžio 17 d. taip pat nusprendė nuomonės neteikti;</w:t>
      </w:r>
    </w:p>
    <w:p w:rsidR="00D3298E" w:rsidRPr="00F721BB" w:rsidRDefault="00D3298E" w:rsidP="00D3298E">
      <w:pPr>
        <w:pStyle w:val="NormalHanging12a"/>
        <w:rPr>
          <w:szCs w:val="24"/>
        </w:rPr>
      </w:pPr>
      <w:r w:rsidRPr="00F721BB">
        <w:t>1.</w:t>
      </w:r>
      <w:r w:rsidRPr="00F721BB">
        <w:tab/>
        <w:t>mano, kad Komisijos įgyvendinimo sprendimo projektas viršija Reglamente (EB) Nr. 1829/2003 numatytus įgyvendinimo įgaliojimus;</w:t>
      </w:r>
    </w:p>
    <w:p w:rsidR="00D3298E" w:rsidRPr="00F721BB" w:rsidRDefault="00D3298E" w:rsidP="00D3298E">
      <w:pPr>
        <w:pStyle w:val="NormalHanging12a"/>
        <w:rPr>
          <w:szCs w:val="24"/>
        </w:rPr>
      </w:pPr>
      <w:r w:rsidRPr="00F721BB">
        <w:t>2.</w:t>
      </w:r>
      <w:r w:rsidRPr="00F721BB">
        <w:tab/>
        <w:t>mano, kad Komisijos įgyvendinimo sprendimo projektas neatitinka Sąjungos teisės, nes jis nesuderinamas su Reglamento (EB) Nr. 1829/2003 tikslu, pagal kurį, remiantis Europos Parlamento ir Tarybos reglamentu (EB) Nr. 178/2002</w:t>
      </w:r>
      <w:r w:rsidRPr="00F721BB">
        <w:rPr>
          <w:rStyle w:val="FootnoteReference"/>
          <w:szCs w:val="24"/>
        </w:rPr>
        <w:footnoteReference w:id="17"/>
      </w:r>
      <w:r w:rsidRPr="00F721BB">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rsidR="00D3298E" w:rsidRPr="00F721BB" w:rsidRDefault="00D3298E" w:rsidP="00D3298E">
      <w:pPr>
        <w:pStyle w:val="NormalHanging12a"/>
        <w:rPr>
          <w:szCs w:val="24"/>
        </w:rPr>
      </w:pPr>
      <w:r w:rsidRPr="00F721BB">
        <w:t>3.</w:t>
      </w:r>
      <w:r w:rsidRPr="00F721BB">
        <w:tab/>
        <w:t>prašo Komisijos atsiimti savo įgyvendinimo sprendimo projektą ir pateikti komitetui naują projektą;</w:t>
      </w:r>
    </w:p>
    <w:p w:rsidR="00D3298E" w:rsidRPr="00F721BB" w:rsidRDefault="00D3298E" w:rsidP="00D3298E">
      <w:pPr>
        <w:pStyle w:val="NormalHanging12a"/>
        <w:rPr>
          <w:szCs w:val="24"/>
        </w:rPr>
      </w:pPr>
      <w:r w:rsidRPr="00F721BB">
        <w:t>4.</w:t>
      </w:r>
      <w:r w:rsidRPr="00F721BB">
        <w:tab/>
        <w:t>ragina Komisiją derybose dėl laisvosios prekybos susitarimų užtikrinti Sąjungos ir jos partnerių standartų konvergenciją, kad būtų laikomasi Sąjungos saugos standartų;</w:t>
      </w:r>
    </w:p>
    <w:p w:rsidR="00D3298E" w:rsidRPr="00F721BB" w:rsidRDefault="00D3298E" w:rsidP="00D3298E">
      <w:pPr>
        <w:pStyle w:val="NormalHanging12a"/>
        <w:rPr>
          <w:szCs w:val="24"/>
        </w:rPr>
      </w:pPr>
      <w:r w:rsidRPr="00F721BB">
        <w:t>5.</w:t>
      </w:r>
      <w:r w:rsidRPr="00F721BB">
        <w:tab/>
        <w:t>ragina Komisiją, vadovaujantis bendros sveikatos koncepcija, nesuteikti leidimo genetiškai modifikuotiems kukurūzams dėl didesnės rizikos biologinei įvairovei, maisto saugai ir darbuotojų sveikatai;</w:t>
      </w:r>
    </w:p>
    <w:p w:rsidR="00D3298E" w:rsidRPr="00F721BB" w:rsidRDefault="00D3298E" w:rsidP="00D3298E">
      <w:pPr>
        <w:pStyle w:val="NormalHanging12a"/>
        <w:rPr>
          <w:szCs w:val="24"/>
        </w:rPr>
      </w:pPr>
      <w:r w:rsidRPr="00F721BB">
        <w:t>6.</w:t>
      </w:r>
      <w:r w:rsidRPr="00F721BB">
        <w:tab/>
        <w:t>tikisi, kad Komisija skubiai įgyvendins savo įsipareigojimą</w:t>
      </w:r>
      <w:r w:rsidRPr="00F721BB">
        <w:rPr>
          <w:rStyle w:val="FootnoteReference"/>
          <w:szCs w:val="24"/>
        </w:rPr>
        <w:footnoteReference w:id="18"/>
      </w:r>
      <w:r w:rsidRPr="00F721BB">
        <w:t xml:space="preserve"> pateikti pasiūlymą, kuriuo būtų užtikrinta, kad Sąjungoje uždraustos pavojingos cheminės medžiagos nebūtų gaminamos eksportui;</w:t>
      </w:r>
    </w:p>
    <w:p w:rsidR="00D3298E" w:rsidRPr="00F721BB" w:rsidRDefault="00D3298E" w:rsidP="00D3298E">
      <w:pPr>
        <w:pStyle w:val="NormalHanging12a"/>
        <w:rPr>
          <w:szCs w:val="24"/>
        </w:rPr>
      </w:pPr>
      <w:r w:rsidRPr="00F721BB">
        <w:t>7.</w:t>
      </w:r>
      <w:r w:rsidRPr="00F721BB">
        <w:tab/>
        <w:t>palankiai vertina tai, kad Komisija 2020 m. rugsėjo 11 d. laiške Parlamento nariams pagaliau pripažino, jog priimant sprendimus dėl GMO leidimų reikia atsižvelgti į tvarumą</w:t>
      </w:r>
      <w:r w:rsidRPr="00F721BB">
        <w:rPr>
          <w:rStyle w:val="FootnoteReference"/>
          <w:szCs w:val="24"/>
        </w:rPr>
        <w:footnoteReference w:id="19"/>
      </w:r>
      <w:r w:rsidRPr="00F721BB">
        <w:t xml:space="preserve">; vis dėlto reiškia didelį nusivylimą, kad nuo to laiko Komisija ir toliau suteikia </w:t>
      </w:r>
      <w:r w:rsidRPr="00F721BB">
        <w:lastRenderedPageBreak/>
        <w:t>leidimus į Sąjungą importuoti GMO, nepaisydama nuolatinių Parlamento prieštaravimų ir to, kad dauguma valstybių narių balsuoja prieš;</w:t>
      </w:r>
    </w:p>
    <w:p w:rsidR="00D3298E" w:rsidRPr="00F721BB" w:rsidRDefault="00D3298E" w:rsidP="00D3298E">
      <w:pPr>
        <w:pStyle w:val="NormalHanging12a"/>
      </w:pPr>
      <w:r w:rsidRPr="00F721BB">
        <w:t>8.</w:t>
      </w:r>
      <w:r w:rsidRPr="00F721BB">
        <w:tab/>
        <w:t>dar kartą ragina Komisiją atsižvelgti į Sąjungos įsipareigojimus pagal tarptautinius susitarimus, kaip antai Paryžiaus klimato susitarimą ir JT BĮK bei JT DVT; pakartoja savo raginimą prie įgyvendinimo aktų projektų pridėti aiškinamąjį memorandumą, kuriame būtų paaiškinta, kaip jais laikomasi žalos nedarymo principo</w:t>
      </w:r>
      <w:r w:rsidRPr="00F721BB">
        <w:rPr>
          <w:rStyle w:val="FootnoteReference"/>
          <w:szCs w:val="24"/>
        </w:rPr>
        <w:footnoteReference w:id="20"/>
      </w:r>
      <w:r w:rsidRPr="00F721BB">
        <w:t xml:space="preserve">; </w:t>
      </w:r>
    </w:p>
    <w:p w:rsidR="00E365E1" w:rsidRPr="00F721BB" w:rsidRDefault="00D3298E" w:rsidP="00EB5380">
      <w:pPr>
        <w:pStyle w:val="NormalHanging12a"/>
      </w:pPr>
      <w:r w:rsidRPr="00F721BB">
        <w:t>9.</w:t>
      </w:r>
      <w:r w:rsidRPr="00F721BB">
        <w:tab/>
        <w:t>paveda Pirmininkei perduoti šią rezoliuciją Tarybai ir Komisijai bei valstybių narių vyriausybėms ir parlamentams.</w:t>
      </w:r>
      <w:bookmarkStart w:id="8" w:name="_GoBack"/>
      <w:bookmarkEnd w:id="8"/>
    </w:p>
    <w:sectPr w:rsidR="00E365E1" w:rsidRPr="00F721BB" w:rsidSect="00F721B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294" w:rsidRPr="00F721BB" w:rsidRDefault="002C2294">
      <w:r w:rsidRPr="00F721BB">
        <w:separator/>
      </w:r>
    </w:p>
  </w:endnote>
  <w:endnote w:type="continuationSeparator" w:id="0">
    <w:p w:rsidR="002C2294" w:rsidRPr="00F721BB" w:rsidRDefault="002C2294">
      <w:r w:rsidRPr="00F72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a??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294" w:rsidRPr="00F721BB" w:rsidRDefault="002C2294">
      <w:r w:rsidRPr="00F721BB">
        <w:separator/>
      </w:r>
    </w:p>
  </w:footnote>
  <w:footnote w:type="continuationSeparator" w:id="0">
    <w:p w:rsidR="002C2294" w:rsidRPr="00F721BB" w:rsidRDefault="002C2294">
      <w:r w:rsidRPr="00F721BB">
        <w:continuationSeparator/>
      </w:r>
    </w:p>
  </w:footnote>
  <w:footnote w:id="1">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OL L 268, 2003 10 18, p. 1, ELI: </w:t>
      </w:r>
      <w:hyperlink r:id="rId1" w:tgtFrame="Gives access to this document through its ELI URI." w:history="1">
        <w:r w:rsidRPr="00ED1E27">
          <w:rPr>
            <w:rStyle w:val="Hyperlink"/>
            <w:sz w:val="24"/>
            <w:lang w:val="lt-LT"/>
          </w:rPr>
          <w:t>http://data.europa.eu/eli/reg/2003/1829/oj</w:t>
        </w:r>
      </w:hyperlink>
      <w:r w:rsidRPr="00F721BB">
        <w:rPr>
          <w:color w:val="000000" w:themeColor="text1"/>
          <w:sz w:val="24"/>
          <w:lang w:val="lt-LT"/>
        </w:rPr>
        <w:t>.</w:t>
      </w:r>
    </w:p>
  </w:footnote>
  <w:footnote w:id="2">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OL L 55, 2011 2 28, p. 13, ELI: </w:t>
      </w:r>
      <w:hyperlink r:id="rId2" w:tgtFrame="Gives access to this document through its ELI URI." w:history="1">
        <w:r w:rsidRPr="00ED1E27">
          <w:rPr>
            <w:rStyle w:val="Hyperlink"/>
            <w:sz w:val="24"/>
            <w:lang w:val="lt-LT"/>
          </w:rPr>
          <w:t>http://data.europa.eu/eli/reg/2011/182/oj</w:t>
        </w:r>
      </w:hyperlink>
      <w:r w:rsidRPr="00F721BB">
        <w:rPr>
          <w:color w:val="000000" w:themeColor="text1"/>
          <w:sz w:val="24"/>
          <w:lang w:val="lt-LT"/>
        </w:rPr>
        <w:t>.</w:t>
      </w:r>
    </w:p>
  </w:footnote>
  <w:footnote w:id="3">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 xml:space="preserve">EFSA genetiškai modifikuotų organizmų specialistų grupės mokslinė nuomonė „Assessment of genetically modified maize DP910521 (application GMFF-2021-2473)“, EFSA leidinys, 2024; 22(8):e8887, </w:t>
      </w:r>
      <w:hyperlink r:id="rId3" w:history="1">
        <w:r w:rsidRPr="00ED1E27">
          <w:rPr>
            <w:rStyle w:val="Hyperlink"/>
            <w:sz w:val="24"/>
            <w:lang w:val="lt-LT"/>
          </w:rPr>
          <w:t>https://doi.org/10.2903/j.efsa.2024.8887</w:t>
        </w:r>
      </w:hyperlink>
      <w:r w:rsidRPr="00F721BB">
        <w:rPr>
          <w:color w:val="000000" w:themeColor="text1"/>
          <w:sz w:val="24"/>
          <w:lang w:val="lt-LT"/>
        </w:rPr>
        <w:t xml:space="preserve">. </w:t>
      </w:r>
    </w:p>
  </w:footnote>
  <w:footnote w:id="4">
    <w:p w:rsidR="00D3298E" w:rsidRPr="00F721BB" w:rsidRDefault="00D3298E" w:rsidP="00F721BB">
      <w:pPr>
        <w:pStyle w:val="FootnoteText"/>
        <w:ind w:left="567" w:hanging="567"/>
        <w:rPr>
          <w:color w:val="000000" w:themeColor="text1"/>
          <w:sz w:val="24"/>
          <w:vertAlign w:val="superscript"/>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Per aštuntąją kadenciją Parlamentas priėmė 36 rezoliucijas, o per devintąją kadenciją – 38 rezoliucijas, kuriose prieštaraujama leidimui naudoti GMO. Be to, per dešimtąją kadenciją Parlamentas priėmė šias rezoliucijas:</w:t>
      </w:r>
    </w:p>
    <w:p w:rsidR="00D3298E" w:rsidRPr="00F721BB" w:rsidRDefault="00F721BB" w:rsidP="00F721BB">
      <w:pPr>
        <w:pStyle w:val="FootnoteText"/>
        <w:ind w:left="567" w:hanging="567"/>
        <w:rPr>
          <w:color w:val="000000" w:themeColor="text1"/>
          <w:sz w:val="24"/>
          <w:vertAlign w:val="superscript"/>
          <w:lang w:val="lt-LT"/>
        </w:rPr>
      </w:pPr>
      <w:r w:rsidRPr="00F721BB">
        <w:rPr>
          <w:color w:val="000000" w:themeColor="text1"/>
          <w:sz w:val="24"/>
          <w:lang w:val="lt-LT"/>
        </w:rPr>
        <w:t xml:space="preserve"> </w:t>
      </w:r>
      <w:r w:rsidRPr="00F721BB">
        <w:rPr>
          <w:color w:val="000000" w:themeColor="text1"/>
          <w:sz w:val="24"/>
          <w:lang w:val="lt-LT"/>
        </w:rPr>
        <w:tab/>
      </w:r>
      <w:r w:rsidR="00D3298E" w:rsidRPr="00F721BB">
        <w:rPr>
          <w:color w:val="000000" w:themeColor="text1"/>
          <w:sz w:val="24"/>
          <w:lang w:val="lt-LT"/>
        </w:rPr>
        <w:t>–</w:t>
      </w:r>
      <w:r w:rsidR="00D3298E" w:rsidRPr="00F721BB">
        <w:rPr>
          <w:color w:val="000000" w:themeColor="text1"/>
          <w:sz w:val="24"/>
          <w:lang w:val="lt-LT"/>
        </w:rPr>
        <w:tab/>
        <w:t>2024 m. lapkričio 26 d. Europos Parlamento rezoliucija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(P10_TA(2024)0038).</w:t>
      </w:r>
    </w:p>
    <w:p w:rsidR="00D3298E" w:rsidRPr="00F721BB" w:rsidRDefault="00F721BB" w:rsidP="00F721BB">
      <w:pPr>
        <w:pStyle w:val="FootnoteText"/>
        <w:ind w:left="567" w:hanging="567"/>
        <w:rPr>
          <w:color w:val="000000" w:themeColor="text1"/>
          <w:sz w:val="24"/>
          <w:vertAlign w:val="superscript"/>
          <w:lang w:val="lt-LT"/>
        </w:rPr>
      </w:pPr>
      <w:r w:rsidRPr="00F721BB">
        <w:rPr>
          <w:color w:val="000000" w:themeColor="text1"/>
          <w:sz w:val="24"/>
          <w:lang w:val="lt-LT"/>
        </w:rPr>
        <w:t xml:space="preserve"> </w:t>
      </w:r>
      <w:r w:rsidRPr="00F721BB">
        <w:rPr>
          <w:color w:val="000000" w:themeColor="text1"/>
          <w:sz w:val="24"/>
          <w:lang w:val="lt-LT"/>
        </w:rPr>
        <w:tab/>
      </w:r>
      <w:r w:rsidR="00D3298E" w:rsidRPr="00F721BB">
        <w:rPr>
          <w:color w:val="000000" w:themeColor="text1"/>
          <w:sz w:val="24"/>
          <w:lang w:val="lt-LT"/>
        </w:rPr>
        <w:t>–</w:t>
      </w:r>
      <w:r w:rsidR="00D3298E" w:rsidRPr="00F721BB">
        <w:rPr>
          <w:color w:val="000000" w:themeColor="text1"/>
          <w:sz w:val="24"/>
          <w:lang w:val="lt-LT"/>
        </w:rPr>
        <w:tab/>
        <w:t>2024 m. lapkričio 26 d. Europos Parlamento rezoliucija dėl Komisijos įgyvendinimo sprendimo (ES) 2024/2627, kuriuo pagal Europos Parlamento ir Tarybos reglamentą (EB) Nr. 1829/2003 leidžiama pateikti rinkai produktus, kurių sudėtyje yra genetiškai modifikuotos medvilnės COT102, kurie iš jos sudaryti arba kurie iš jos pagaminti (P10_TA(2024)0039).</w:t>
      </w:r>
    </w:p>
    <w:p w:rsidR="00D3298E" w:rsidRPr="00F721BB" w:rsidRDefault="00F721BB" w:rsidP="00F721BB">
      <w:pPr>
        <w:pStyle w:val="FootnoteText"/>
        <w:ind w:left="567" w:hanging="567"/>
        <w:rPr>
          <w:color w:val="000000" w:themeColor="text1"/>
          <w:sz w:val="24"/>
          <w:vertAlign w:val="superscript"/>
          <w:lang w:val="lt-LT"/>
        </w:rPr>
      </w:pPr>
      <w:r w:rsidRPr="00F721BB">
        <w:rPr>
          <w:color w:val="000000" w:themeColor="text1"/>
          <w:sz w:val="24"/>
          <w:lang w:val="lt-LT"/>
        </w:rPr>
        <w:t xml:space="preserve"> </w:t>
      </w:r>
      <w:r w:rsidRPr="00F721BB">
        <w:rPr>
          <w:color w:val="000000" w:themeColor="text1"/>
          <w:sz w:val="24"/>
          <w:lang w:val="lt-LT"/>
        </w:rPr>
        <w:tab/>
      </w:r>
      <w:r w:rsidR="00D3298E" w:rsidRPr="00F721BB">
        <w:rPr>
          <w:color w:val="000000" w:themeColor="text1"/>
          <w:sz w:val="24"/>
          <w:lang w:val="lt-LT"/>
        </w:rPr>
        <w:t>–</w:t>
      </w:r>
      <w:r w:rsidR="00D3298E" w:rsidRPr="00F721BB">
        <w:rPr>
          <w:color w:val="000000" w:themeColor="text1"/>
          <w:sz w:val="24"/>
          <w:lang w:val="lt-LT"/>
        </w:rPr>
        <w:tab/>
        <w:t>2024 m. lapkričio 26 d. Europos Parlamento rezoliucija dėl Komisijos įgyvendinimo sprendimo (ES) 2024/2629, kuriuo pagal Europos Parlamento ir Tarybos reglamentą (EB) Nr. </w:t>
      </w:r>
      <w:r w:rsidR="00D3298E" w:rsidRPr="00F721BB">
        <w:rPr>
          <w:color w:val="000000" w:themeColor="text1"/>
          <w:sz w:val="24"/>
          <w:lang w:val="lt-LT"/>
        </w:rPr>
        <w:t>1829/2003 atnaujinamas leidimas pateikti rinkai produktus, kurių sudėtyje yra genetiškai modifikuotų kukurūzų MON 89034 × 1507 × MON 88017 × 59122 ir aštuonių jų subkombinacijų, kurie iš jų sudaryti arba kurie iš jų pagaminti (P10_TA(2024)0040).</w:t>
      </w:r>
    </w:p>
    <w:p w:rsidR="00D3298E" w:rsidRPr="00F721BB" w:rsidRDefault="00F721BB" w:rsidP="00F721BB">
      <w:pPr>
        <w:pStyle w:val="FootnoteText"/>
        <w:ind w:left="567" w:hanging="567"/>
        <w:rPr>
          <w:color w:val="000000" w:themeColor="text1"/>
          <w:sz w:val="24"/>
          <w:vertAlign w:val="superscript"/>
          <w:lang w:val="lt-LT"/>
        </w:rPr>
      </w:pPr>
      <w:r w:rsidRPr="00F721BB">
        <w:rPr>
          <w:color w:val="000000" w:themeColor="text1"/>
          <w:sz w:val="24"/>
          <w:lang w:val="lt-LT"/>
        </w:rPr>
        <w:t xml:space="preserve"> </w:t>
      </w:r>
      <w:r w:rsidRPr="00F721BB">
        <w:rPr>
          <w:color w:val="000000" w:themeColor="text1"/>
          <w:sz w:val="24"/>
          <w:lang w:val="lt-LT"/>
        </w:rPr>
        <w:tab/>
      </w:r>
      <w:r w:rsidR="00D3298E" w:rsidRPr="00F721BB">
        <w:rPr>
          <w:color w:val="000000" w:themeColor="text1"/>
          <w:sz w:val="24"/>
          <w:lang w:val="lt-LT"/>
        </w:rPr>
        <w:t>–</w:t>
      </w:r>
      <w:r w:rsidR="00D3298E" w:rsidRPr="00F721BB">
        <w:rPr>
          <w:color w:val="000000" w:themeColor="text1"/>
          <w:sz w:val="24"/>
          <w:lang w:val="lt-LT"/>
        </w:rPr>
        <w:tab/>
        <w:t>2024 m. lapkričio 26 d. Europos Parlamento rezoliucija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(P10_TA(2024)0041).</w:t>
      </w:r>
    </w:p>
    <w:p w:rsidR="00D3298E" w:rsidRPr="00F721BB" w:rsidRDefault="00F721BB" w:rsidP="00F721BB">
      <w:pPr>
        <w:pStyle w:val="FootnoteText"/>
        <w:ind w:left="567" w:hanging="567"/>
        <w:rPr>
          <w:color w:val="000000" w:themeColor="text1"/>
          <w:sz w:val="24"/>
          <w:vertAlign w:val="superscript"/>
          <w:lang w:val="lt-LT"/>
        </w:rPr>
      </w:pPr>
      <w:r w:rsidRPr="00F721BB">
        <w:rPr>
          <w:color w:val="000000" w:themeColor="text1"/>
          <w:sz w:val="24"/>
          <w:lang w:val="lt-LT"/>
        </w:rPr>
        <w:t xml:space="preserve"> </w:t>
      </w:r>
      <w:r w:rsidRPr="00F721BB">
        <w:rPr>
          <w:color w:val="000000" w:themeColor="text1"/>
          <w:sz w:val="24"/>
          <w:lang w:val="lt-LT"/>
        </w:rPr>
        <w:tab/>
      </w:r>
      <w:r w:rsidR="00D3298E" w:rsidRPr="00F721BB">
        <w:rPr>
          <w:color w:val="000000" w:themeColor="text1"/>
          <w:sz w:val="24"/>
          <w:lang w:val="lt-LT"/>
        </w:rPr>
        <w:t>–</w:t>
      </w:r>
      <w:r w:rsidR="00D3298E" w:rsidRPr="00F721BB">
        <w:rPr>
          <w:color w:val="000000" w:themeColor="text1"/>
          <w:sz w:val="24"/>
          <w:lang w:val="lt-LT"/>
        </w:rPr>
        <w:tab/>
        <w:t>2024 m. lapkričio 26 d. Europos Parlamento rezoliucija dėl Komisijos įgyvendinimo sprendimo (ES) 2024/1822, kuriuo pagal Europos Parlamento ir Tarybos reglamentą (EB) Nr. 1829/2003 leidžiama pateikti rinkai produktus, kurių sudėtyje yra genetiškai modifikuotų kukurūzų DP915635 arba kurie iš jų sudaryti ar pagaminti (P10_TA(2024)0042).</w:t>
      </w:r>
    </w:p>
    <w:p w:rsidR="00D3298E" w:rsidRPr="00F721BB" w:rsidRDefault="00F721BB" w:rsidP="00F721BB">
      <w:pPr>
        <w:pStyle w:val="FootnoteText"/>
        <w:ind w:left="567" w:hanging="567"/>
        <w:rPr>
          <w:color w:val="000000" w:themeColor="text1"/>
          <w:sz w:val="24"/>
          <w:vertAlign w:val="superscript"/>
          <w:lang w:val="lt-LT"/>
        </w:rPr>
      </w:pPr>
      <w:r w:rsidRPr="00F721BB">
        <w:rPr>
          <w:color w:val="000000" w:themeColor="text1"/>
          <w:sz w:val="24"/>
          <w:lang w:val="lt-LT"/>
        </w:rPr>
        <w:t xml:space="preserve"> </w:t>
      </w:r>
      <w:r w:rsidRPr="00F721BB">
        <w:rPr>
          <w:color w:val="000000" w:themeColor="text1"/>
          <w:sz w:val="24"/>
          <w:lang w:val="lt-LT"/>
        </w:rPr>
        <w:tab/>
      </w:r>
      <w:r w:rsidR="00D3298E" w:rsidRPr="00F721BB">
        <w:rPr>
          <w:color w:val="000000" w:themeColor="text1"/>
          <w:sz w:val="24"/>
          <w:lang w:val="lt-LT"/>
        </w:rPr>
        <w:t>–</w:t>
      </w:r>
      <w:r w:rsidR="00D3298E" w:rsidRPr="00F721BB">
        <w:rPr>
          <w:color w:val="000000" w:themeColor="text1"/>
          <w:sz w:val="24"/>
          <w:lang w:val="lt-LT"/>
        </w:rPr>
        <w:tab/>
        <w:t>2024 m. lapkričio 26 d. Europos Parlamento rezoliucija dėl Komisijos įgyvendinimo sprendimo (ES) 2024/1826, kuriuo pagal Europos Parlamento ir Tarybos reglamentą (EB) Nr. 1829/2003 leidžiama pateikti rinkai produktus, kurių sudėtyje yra genetiškai modifikuotų kukurūzų DP23211, kurie iš jų sudaryti ar pagaminti (P10_TA(2024)0043).</w:t>
      </w:r>
    </w:p>
    <w:p w:rsidR="00D3298E" w:rsidRPr="00F721BB" w:rsidRDefault="00F721BB" w:rsidP="00F721BB">
      <w:pPr>
        <w:pStyle w:val="FootnoteText"/>
        <w:ind w:left="567" w:hanging="567"/>
        <w:rPr>
          <w:color w:val="000000" w:themeColor="text1"/>
          <w:sz w:val="24"/>
          <w:vertAlign w:val="superscript"/>
          <w:lang w:val="lt-LT"/>
        </w:rPr>
      </w:pPr>
      <w:r w:rsidRPr="00F721BB">
        <w:rPr>
          <w:color w:val="000000" w:themeColor="text1"/>
          <w:sz w:val="24"/>
          <w:lang w:val="lt-LT"/>
        </w:rPr>
        <w:t xml:space="preserve"> </w:t>
      </w:r>
      <w:r w:rsidRPr="00F721BB">
        <w:rPr>
          <w:color w:val="000000" w:themeColor="text1"/>
          <w:sz w:val="24"/>
          <w:lang w:val="lt-LT"/>
        </w:rPr>
        <w:tab/>
      </w:r>
      <w:r w:rsidR="00D3298E" w:rsidRPr="00F721BB">
        <w:rPr>
          <w:color w:val="000000" w:themeColor="text1"/>
          <w:sz w:val="24"/>
          <w:lang w:val="lt-LT"/>
        </w:rPr>
        <w:t>–</w:t>
      </w:r>
      <w:r w:rsidR="00D3298E" w:rsidRPr="00F721BB">
        <w:rPr>
          <w:color w:val="000000" w:themeColor="text1"/>
          <w:sz w:val="24"/>
          <w:lang w:val="lt-LT"/>
        </w:rPr>
        <w:tab/>
        <w:t>2024 m. lapkričio 26 d. Europos Parlamento rezoliucija dėl Komisijos įgyvendinimo sprendimo (ES) 2024/2618, kuriuo pagal Europos Parlamento ir Tarybos reglamentą (EB) Nr. 1829/2003 leidžiama pateikti rinkai produktus, kurių sudėtyje yra genetiškai modifikuotų kukurūzų DP202216, kurie iš jų sudaryti arba kurie iš jų pagaminti (P10_TA(2024)0044).</w:t>
      </w:r>
    </w:p>
    <w:p w:rsidR="00D3298E" w:rsidRPr="00F721BB" w:rsidRDefault="00F721BB" w:rsidP="00F721BB">
      <w:pPr>
        <w:pStyle w:val="FootnoteText"/>
        <w:ind w:left="567" w:hanging="567"/>
        <w:rPr>
          <w:color w:val="000000" w:themeColor="text1"/>
          <w:sz w:val="24"/>
          <w:lang w:val="lt-LT"/>
        </w:rPr>
      </w:pPr>
      <w:r w:rsidRPr="00F721BB">
        <w:rPr>
          <w:color w:val="000000" w:themeColor="text1"/>
          <w:sz w:val="24"/>
          <w:lang w:val="lt-LT"/>
        </w:rPr>
        <w:t xml:space="preserve"> </w:t>
      </w:r>
      <w:r w:rsidRPr="00F721BB">
        <w:rPr>
          <w:color w:val="000000" w:themeColor="text1"/>
          <w:sz w:val="24"/>
          <w:lang w:val="lt-LT"/>
        </w:rPr>
        <w:tab/>
      </w:r>
      <w:r w:rsidR="00D3298E" w:rsidRPr="00F721BB">
        <w:rPr>
          <w:color w:val="000000" w:themeColor="text1"/>
          <w:sz w:val="24"/>
          <w:lang w:val="lt-LT"/>
        </w:rPr>
        <w:t>–</w:t>
      </w:r>
      <w:r w:rsidR="00D3298E" w:rsidRPr="00F721BB">
        <w:rPr>
          <w:color w:val="000000" w:themeColor="text1"/>
          <w:sz w:val="24"/>
          <w:lang w:val="lt-LT"/>
        </w:rPr>
        <w:tab/>
        <w:t>2024 m. lapkričio 26 d. Europos Parlamento rezoliucija dėl Komisijos įgyvendinimo sprendimo, kuriuo pagal Europos Parlamento ir Tarybos reglamentą (EB) Nr. 1829/2003 leidžiama pateikti rinkai produktus, kurių sudėtyje yra genetiškai modifikuotų kukurūzų MON 94804, kurie iš jų sudaryti arba kurie iš jų pagaminti, projekto P10_TA(2024)0045).</w:t>
      </w:r>
    </w:p>
  </w:footnote>
  <w:footnote w:id="5">
    <w:p w:rsidR="00D3298E" w:rsidRPr="00F721BB" w:rsidRDefault="00D3298E" w:rsidP="00F721BB">
      <w:pPr>
        <w:pStyle w:val="FootnoteText"/>
        <w:ind w:left="567" w:hanging="567"/>
        <w:rPr>
          <w:color w:val="000000" w:themeColor="text1"/>
          <w:sz w:val="24"/>
          <w:lang w:val="lt-LT"/>
        </w:rPr>
      </w:pPr>
      <w:r w:rsidRPr="00F721BB">
        <w:rPr>
          <w:rStyle w:val="FootnoteReference"/>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2009 m. spalio 21 d. Europos Parlamento ir Tarybos reglamentas (EB) Nr. 1107/2009 dėl augalų apsaugos produktų pateikimo į rinką ir panaikinantis Tarybos direktyvas 79/117/EEB ir 91/414/EEB (OL L 309, 2009 11 24, p. </w:t>
      </w:r>
      <w:r w:rsidRPr="00F721BB">
        <w:rPr>
          <w:color w:val="000000" w:themeColor="text1"/>
          <w:sz w:val="24"/>
          <w:lang w:val="lt-LT"/>
        </w:rPr>
        <w:t xml:space="preserve">1, ELI: </w:t>
      </w:r>
      <w:hyperlink r:id="rId4" w:history="1">
        <w:r w:rsidRPr="00ED1E27">
          <w:rPr>
            <w:rStyle w:val="Hyperlink"/>
            <w:sz w:val="24"/>
            <w:lang w:val="lt-LT"/>
          </w:rPr>
          <w:t>https://eur-lex.europa.eu/eli/reg/2009/1107/oj</w:t>
        </w:r>
      </w:hyperlink>
      <w:r w:rsidRPr="00F721BB">
        <w:rPr>
          <w:rStyle w:val="Hyperlink"/>
          <w:color w:val="000000" w:themeColor="text1"/>
          <w:sz w:val="24"/>
          <w:lang w:val="lt-LT"/>
        </w:rPr>
        <w:t>).</w:t>
      </w:r>
    </w:p>
  </w:footnote>
  <w:footnote w:id="6">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2013 m. balandžio 3 d. Komisijos įgyvendinimo reglamentas (ES) Nr. 503/2013 dėl paraiškų genetiškai modifikuotų maisto produktų ir pašarų leidimams gauti pagal Europos Parlamento ir Tarybos reglamentą (EB) Nr. 1829/2003 ir iš dalies jį keičiančius Komisijos reglamentą (EB) Nr. 641/2004 ir Komisijos reglamentą (EB) Nr. 1981/2006 (OL L 157, 2013 6 8, p. </w:t>
      </w:r>
      <w:r w:rsidRPr="00F721BB">
        <w:rPr>
          <w:color w:val="000000" w:themeColor="text1"/>
          <w:sz w:val="24"/>
          <w:lang w:val="lt-LT"/>
        </w:rPr>
        <w:t xml:space="preserve">1, ELI: </w:t>
      </w:r>
      <w:hyperlink r:id="rId5" w:tgtFrame="Gives access to this document through its ELI URI." w:history="1">
        <w:r w:rsidRPr="00ED1E27">
          <w:rPr>
            <w:rStyle w:val="Hyperlink"/>
            <w:sz w:val="24"/>
            <w:lang w:val="lt-LT"/>
          </w:rPr>
          <w:t>http://data.europa.eu/eli/reg_impl/2013/503/oj</w:t>
        </w:r>
      </w:hyperlink>
      <w:r w:rsidRPr="00F721BB">
        <w:rPr>
          <w:color w:val="000000" w:themeColor="text1"/>
          <w:sz w:val="24"/>
          <w:lang w:val="lt-LT"/>
        </w:rPr>
        <w:t>).</w:t>
      </w:r>
    </w:p>
  </w:footnote>
  <w:footnote w:id="7">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Žr., pvz., Schulz, R., Bub, S., Petschick, L. L., Stehle, S., Wolfram, J. (2021) „Applied pesticide toxicity shifts toward plants and invertebrates, even in GM crops“, Science 372(6537), p. 81–84,</w:t>
      </w:r>
      <w:hyperlink r:id="rId6" w:history="1">
        <w:r w:rsidRPr="00ED1E27">
          <w:rPr>
            <w:rStyle w:val="Hyperlink"/>
            <w:sz w:val="24"/>
            <w:lang w:val="lt-LT"/>
          </w:rPr>
          <w:t>https://doi.org/10.1126/science.abe1</w:t>
        </w:r>
        <w:r w:rsidRPr="00E95DD7">
          <w:rPr>
            <w:rStyle w:val="Hyperlink"/>
            <w:sz w:val="24"/>
            <w:lang w:val="lt-LT"/>
          </w:rPr>
          <w:t>1</w:t>
        </w:r>
        <w:r w:rsidRPr="00ED1E27">
          <w:rPr>
            <w:rStyle w:val="Hyperlink"/>
            <w:sz w:val="24"/>
            <w:lang w:val="lt-LT"/>
          </w:rPr>
          <w:t>48</w:t>
        </w:r>
      </w:hyperlink>
      <w:r w:rsidRPr="00F721BB">
        <w:rPr>
          <w:color w:val="000000" w:themeColor="text1"/>
          <w:sz w:val="24"/>
          <w:lang w:val="lt-LT"/>
        </w:rPr>
        <w:t xml:space="preserve">; Bonny, S., „Genetically Modified Herbicide-Tolerant Crops, Weeds, and Herbicides: Overview and Impact“, Environmental Management, 2016 m. sausio mėn.; 57(1), p. 31–48, </w:t>
      </w:r>
      <w:hyperlink r:id="rId7" w:history="1">
        <w:r w:rsidRPr="00ED1E27">
          <w:rPr>
            <w:rStyle w:val="Hyperlink"/>
            <w:sz w:val="24"/>
            <w:lang w:val="lt-LT"/>
          </w:rPr>
          <w:t>https://www.ncbi.nlm.nih.gov/pubmed/26296738</w:t>
        </w:r>
      </w:hyperlink>
      <w:r w:rsidRPr="00F721BB">
        <w:rPr>
          <w:rStyle w:val="Hyperlink"/>
          <w:color w:val="000000" w:themeColor="text1"/>
          <w:sz w:val="24"/>
          <w:lang w:val="lt-LT"/>
        </w:rPr>
        <w:t>;</w:t>
      </w:r>
      <w:r w:rsidRPr="00F721BB">
        <w:rPr>
          <w:color w:val="000000" w:themeColor="text1"/>
          <w:sz w:val="24"/>
          <w:lang w:val="lt-LT"/>
        </w:rPr>
        <w:t xml:space="preserve"> </w:t>
      </w:r>
      <w:r w:rsidRPr="00F721BB">
        <w:rPr>
          <w:sz w:val="24"/>
          <w:lang w:val="lt-LT"/>
        </w:rPr>
        <w:t xml:space="preserve">ir </w:t>
      </w:r>
      <w:r w:rsidRPr="00F721BB">
        <w:rPr>
          <w:color w:val="000000" w:themeColor="text1"/>
          <w:sz w:val="24"/>
          <w:lang w:val="lt-LT"/>
        </w:rPr>
        <w:t xml:space="preserve">Benbrook, C. M., „Impacts of genetically engineered crops on pesticide use in the U.S. – the first sixteen years“, Environmental Sciences Europe, 2012 m. rugsėjo 28 d., 24(24) tomas, </w:t>
      </w:r>
      <w:hyperlink r:id="rId8" w:history="1">
        <w:r w:rsidRPr="00ED1E27">
          <w:rPr>
            <w:rStyle w:val="Hyperlink"/>
            <w:sz w:val="24"/>
            <w:lang w:val="lt-LT"/>
          </w:rPr>
          <w:t>https://enveurope.springeropen.com/articles/10.1186/2190-4715-24-24</w:t>
        </w:r>
      </w:hyperlink>
      <w:r w:rsidRPr="00F721BB">
        <w:rPr>
          <w:color w:val="000000" w:themeColor="text1"/>
          <w:sz w:val="24"/>
          <w:lang w:val="lt-LT"/>
        </w:rPr>
        <w:t>.</w:t>
      </w:r>
    </w:p>
  </w:footnote>
  <w:footnote w:id="8">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Apžvalgą žr. Rubio-Infante, N., Moreno-Fierros, L., „An overview of the safety and biological effects of </w:t>
      </w:r>
      <w:r w:rsidRPr="00F721BB">
        <w:rPr>
          <w:i/>
          <w:color w:val="000000" w:themeColor="text1"/>
          <w:sz w:val="24"/>
          <w:lang w:val="lt-LT"/>
        </w:rPr>
        <w:t>Bacillus thuringiensis</w:t>
      </w:r>
      <w:r w:rsidRPr="00F721BB">
        <w:rPr>
          <w:color w:val="000000" w:themeColor="text1"/>
          <w:sz w:val="24"/>
          <w:lang w:val="lt-LT"/>
        </w:rPr>
        <w:t xml:space="preserve"> Cry toxins in mammals“, Journal of Applied Toxicology, 2016 m. gegužės mėn., 36(5), p. 630–648, </w:t>
      </w:r>
      <w:hyperlink r:id="rId9" w:history="1">
        <w:r w:rsidRPr="00ED1E27">
          <w:rPr>
            <w:rStyle w:val="Hyperlink"/>
            <w:sz w:val="24"/>
            <w:lang w:val="lt-LT"/>
          </w:rPr>
          <w:t>https://onlinelibrary.wiley.com/doi/full/10.1002/jat.3252</w:t>
        </w:r>
      </w:hyperlink>
      <w:r w:rsidRPr="00F721BB">
        <w:rPr>
          <w:color w:val="000000" w:themeColor="text1"/>
          <w:sz w:val="24"/>
          <w:lang w:val="lt-LT"/>
        </w:rPr>
        <w:t>.</w:t>
      </w:r>
    </w:p>
  </w:footnote>
  <w:footnote w:id="9">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Bøhn, T., Macagnan Rover, C., Semenchuk, P. R., „</w:t>
      </w:r>
      <w:r w:rsidRPr="00F721BB">
        <w:rPr>
          <w:i/>
          <w:color w:val="000000" w:themeColor="text1"/>
          <w:sz w:val="24"/>
          <w:lang w:val="lt-LT"/>
        </w:rPr>
        <w:t>Daphnia magna</w:t>
      </w:r>
      <w:r w:rsidRPr="00F721BB">
        <w:rPr>
          <w:color w:val="000000" w:themeColor="text1"/>
          <w:sz w:val="24"/>
          <w:lang w:val="lt-LT"/>
        </w:rPr>
        <w:t xml:space="preserve"> negatively affected by chronic exposure to purified Cry-toxins“, Food and Chemical Toxicology, 2016 m. gegužės mėn., 91 tomas, p. 130–140, </w:t>
      </w:r>
      <w:hyperlink r:id="rId10" w:history="1">
        <w:r w:rsidRPr="00ED1E27">
          <w:rPr>
            <w:rStyle w:val="Hyperlink"/>
            <w:sz w:val="24"/>
            <w:lang w:val="lt-LT"/>
          </w:rPr>
          <w:t>https://www.sciencedirect.com/science/article/pii/S0278691516300722</w:t>
        </w:r>
      </w:hyperlink>
      <w:r w:rsidRPr="00F721BB">
        <w:rPr>
          <w:rStyle w:val="Hyperlink"/>
          <w:color w:val="000000" w:themeColor="text1"/>
          <w:sz w:val="24"/>
          <w:lang w:val="lt-LT"/>
        </w:rPr>
        <w:t>.</w:t>
      </w:r>
    </w:p>
  </w:footnote>
  <w:footnote w:id="10">
    <w:p w:rsidR="00D3298E" w:rsidRPr="00ED1E27" w:rsidRDefault="00D3298E" w:rsidP="00F721BB">
      <w:pPr>
        <w:pStyle w:val="FootnoteText"/>
        <w:ind w:left="567" w:hanging="567"/>
        <w:rPr>
          <w:rStyle w:val="Hyperlink"/>
          <w:lang w:val="lt-LT"/>
        </w:rPr>
      </w:pPr>
      <w:r w:rsidRPr="00F721BB">
        <w:rPr>
          <w:rStyle w:val="Funotenzeichen"/>
          <w:color w:val="000000" w:themeColor="text1"/>
          <w:sz w:val="24"/>
          <w:lang w:val="lt-LT"/>
        </w:rPr>
        <w:footnoteRef/>
      </w:r>
      <w:r w:rsidR="00F721BB" w:rsidRPr="00F721BB">
        <w:rPr>
          <w:sz w:val="24"/>
          <w:lang w:val="lt-LT"/>
        </w:rPr>
        <w:t xml:space="preserve"> </w:t>
      </w:r>
      <w:r w:rsidR="00F721BB" w:rsidRPr="00F721BB">
        <w:rPr>
          <w:sz w:val="24"/>
          <w:lang w:val="lt-LT"/>
        </w:rPr>
        <w:tab/>
      </w:r>
      <w:hyperlink r:id="rId11" w:history="1">
        <w:r w:rsidRPr="00ED1E27">
          <w:rPr>
            <w:rStyle w:val="Hyperlink"/>
            <w:sz w:val="24"/>
            <w:lang w:val="lt-LT"/>
          </w:rPr>
          <w:t>https://efsa.onlinelibrary.wiley.com/action/downloadSupplement?doi=10.2903%2Fj.‌efsa.2024.8716&amp;file=efs28716-sup-0012-Annex8.pdf</w:t>
        </w:r>
      </w:hyperlink>
      <w:r w:rsidRPr="00ED1E27">
        <w:rPr>
          <w:rStyle w:val="Hyperlink"/>
          <w:sz w:val="24"/>
          <w:lang w:val="lt-LT"/>
        </w:rPr>
        <w:t>.</w:t>
      </w:r>
    </w:p>
  </w:footnote>
  <w:footnote w:id="11">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 xml:space="preserve">„Strategic Dialogue on the Future of EU Agriculture - A shared prospect for farming and food in Europe“, 2024 m. rugsėjis, </w:t>
      </w:r>
      <w:hyperlink r:id="rId12" w:history="1">
        <w:r w:rsidRPr="00ED1E27">
          <w:rPr>
            <w:rStyle w:val="Hyperlink"/>
            <w:sz w:val="24"/>
            <w:lang w:val="lt-LT"/>
          </w:rPr>
          <w:t>https://agriculture.ec.europa.eu/document/download/171329ff-0f50-4fa5-946f-aea11032172e_en?filename=strategic-dialogue-report-2024_en.pdf</w:t>
        </w:r>
      </w:hyperlink>
      <w:r w:rsidRPr="00ED1E27">
        <w:rPr>
          <w:rStyle w:val="Hyperlink"/>
          <w:sz w:val="24"/>
          <w:lang w:val="lt-LT"/>
        </w:rPr>
        <w:t>.</w:t>
      </w:r>
    </w:p>
  </w:footnote>
  <w:footnote w:id="12">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sz w:val="24"/>
          <w:lang w:val="lt-LT"/>
        </w:rPr>
        <w:t xml:space="preserve"> </w:t>
      </w:r>
      <w:r w:rsidR="00F721BB" w:rsidRPr="00F721BB">
        <w:rPr>
          <w:sz w:val="24"/>
          <w:lang w:val="lt-LT"/>
        </w:rPr>
        <w:tab/>
      </w:r>
      <w:hyperlink r:id="rId13" w:history="1">
        <w:r w:rsidRPr="00ED1E27">
          <w:rPr>
            <w:rStyle w:val="Hyperlink"/>
            <w:sz w:val="24"/>
            <w:lang w:val="lt-LT"/>
          </w:rPr>
          <w:t>https://www.ohchr.org/en/documents/thematic-reports/ahrc3448-report-special-rapporteur-right-food</w:t>
        </w:r>
      </w:hyperlink>
      <w:r w:rsidRPr="00F721BB">
        <w:rPr>
          <w:color w:val="000000" w:themeColor="text1"/>
          <w:sz w:val="24"/>
          <w:lang w:val="lt-LT"/>
        </w:rPr>
        <w:t>.</w:t>
      </w:r>
    </w:p>
  </w:footnote>
  <w:footnote w:id="13">
    <w:p w:rsidR="00D3298E" w:rsidRPr="00F721BB" w:rsidRDefault="00D3298E" w:rsidP="00F721BB">
      <w:pPr>
        <w:pStyle w:val="FootnoteText"/>
        <w:ind w:left="567" w:hanging="567"/>
        <w:rPr>
          <w:sz w:val="24"/>
          <w:lang w:val="lt-LT"/>
        </w:rPr>
      </w:pPr>
      <w:r w:rsidRPr="00F721BB">
        <w:rPr>
          <w:rStyle w:val="FootnoteReference"/>
          <w:sz w:val="24"/>
          <w:lang w:val="lt-LT"/>
        </w:rPr>
        <w:footnoteRef/>
      </w:r>
      <w:r w:rsidR="00F721BB" w:rsidRPr="00F721BB">
        <w:rPr>
          <w:sz w:val="24"/>
          <w:lang w:val="lt-LT"/>
        </w:rPr>
        <w:t xml:space="preserve"> </w:t>
      </w:r>
      <w:r w:rsidR="00F721BB" w:rsidRPr="00F721BB">
        <w:rPr>
          <w:sz w:val="24"/>
          <w:lang w:val="lt-LT"/>
        </w:rPr>
        <w:tab/>
      </w:r>
      <w:hyperlink r:id="rId14" w:history="1">
        <w:r w:rsidRPr="00F721BB">
          <w:rPr>
            <w:rStyle w:val="Hyperlink"/>
            <w:sz w:val="24"/>
            <w:lang w:val="lt-LT"/>
          </w:rPr>
          <w:t>https://indicators.report/targets/3-9/</w:t>
        </w:r>
      </w:hyperlink>
      <w:r w:rsidRPr="00F721BB">
        <w:rPr>
          <w:rStyle w:val="Hyperlink"/>
          <w:sz w:val="24"/>
          <w:lang w:val="lt-LT"/>
        </w:rPr>
        <w:t>.</w:t>
      </w:r>
    </w:p>
  </w:footnote>
  <w:footnote w:id="14">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sz w:val="24"/>
          <w:lang w:val="lt-LT"/>
        </w:rPr>
        <w:t xml:space="preserve"> </w:t>
      </w:r>
      <w:r w:rsidR="00F721BB" w:rsidRPr="00F721BB">
        <w:rPr>
          <w:sz w:val="24"/>
          <w:lang w:val="lt-LT"/>
        </w:rPr>
        <w:tab/>
      </w:r>
      <w:r w:rsidRPr="00F721BB">
        <w:rPr>
          <w:sz w:val="24"/>
          <w:lang w:val="lt-LT"/>
        </w:rPr>
        <w:t xml:space="preserve">Daugiau informacijos: </w:t>
      </w:r>
      <w:hyperlink r:id="rId15" w:history="1">
        <w:r w:rsidRPr="00F721BB">
          <w:rPr>
            <w:rStyle w:val="Hyperlink"/>
            <w:sz w:val="24"/>
            <w:lang w:val="lt-LT"/>
          </w:rPr>
          <w:t>https://ec.europa.eu/commission/presscorner/detail/lt/ip_22_7834</w:t>
        </w:r>
      </w:hyperlink>
      <w:r w:rsidRPr="00F721BB">
        <w:rPr>
          <w:sz w:val="24"/>
          <w:lang w:val="lt-LT"/>
        </w:rPr>
        <w:t>.</w:t>
      </w:r>
    </w:p>
  </w:footnote>
  <w:footnote w:id="15">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sz w:val="24"/>
          <w:lang w:val="lt-LT"/>
        </w:rPr>
        <w:t xml:space="preserve"> </w:t>
      </w:r>
      <w:r w:rsidR="00F721BB" w:rsidRPr="00F721BB">
        <w:rPr>
          <w:sz w:val="24"/>
          <w:lang w:val="lt-LT"/>
        </w:rPr>
        <w:tab/>
      </w:r>
      <w:hyperlink r:id="rId16" w:history="1">
        <w:r w:rsidRPr="00ED1E27">
          <w:rPr>
            <w:rStyle w:val="Hyperlink"/>
            <w:sz w:val="24"/>
            <w:lang w:val="lt-LT"/>
          </w:rPr>
          <w:t>https://commission.europa.eu/document/2c64e540-c07a-4376-a1da-368d289f4afe_en</w:t>
        </w:r>
      </w:hyperlink>
      <w:r w:rsidRPr="00F721BB">
        <w:rPr>
          <w:rStyle w:val="Hyperlink"/>
          <w:color w:val="000000" w:themeColor="text1"/>
          <w:sz w:val="24"/>
          <w:lang w:val="lt-LT"/>
        </w:rPr>
        <w:t>.</w:t>
      </w:r>
    </w:p>
  </w:footnote>
  <w:footnote w:id="16">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Pagal Reglamento (ES) Nr. 182/2011 6 straipsnio 3 dalį Komisija „gali“, o ne „turi“ suteikti leidimą, jei apeliaciniame komitete nėra pritariančios kvalifikuotos valstybių narių balsų daugumos.</w:t>
      </w:r>
    </w:p>
  </w:footnote>
  <w:footnote w:id="17">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w:t>
      </w:r>
      <w:r w:rsidRPr="00F721BB">
        <w:rPr>
          <w:color w:val="000000" w:themeColor="text1"/>
          <w:sz w:val="24"/>
          <w:lang w:val="lt-LT"/>
        </w:rPr>
        <w:t>1, ELI: </w:t>
      </w:r>
      <w:hyperlink r:id="rId17" w:tgtFrame="Gives access to this document through its ELI URI." w:history="1">
        <w:r w:rsidRPr="00ED1E27">
          <w:rPr>
            <w:rStyle w:val="Hyperlink"/>
            <w:sz w:val="24"/>
            <w:lang w:val="lt-LT"/>
          </w:rPr>
          <w:t>http://data.europa.eu/eli/reg/2002/178/oj</w:t>
        </w:r>
      </w:hyperlink>
      <w:r w:rsidRPr="00F721BB">
        <w:rPr>
          <w:color w:val="000000" w:themeColor="text1"/>
          <w:sz w:val="24"/>
          <w:lang w:val="lt-LT"/>
        </w:rPr>
        <w:t>).</w:t>
      </w:r>
    </w:p>
  </w:footnote>
  <w:footnote w:id="18">
    <w:p w:rsidR="00D3298E" w:rsidRPr="00F721BB" w:rsidRDefault="00D3298E" w:rsidP="00F721BB">
      <w:pPr>
        <w:pStyle w:val="FootnoteText"/>
        <w:ind w:left="567" w:hanging="567"/>
        <w:rPr>
          <w:color w:val="000000" w:themeColor="text1"/>
          <w:sz w:val="24"/>
          <w:lang w:val="lt-LT"/>
        </w:rPr>
      </w:pPr>
      <w:r w:rsidRPr="00F721BB">
        <w:rPr>
          <w:rStyle w:val="FootnoteReference"/>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 xml:space="preserve">Kaip nurodyta 2020 m. spalio 14 d. Komisijos komunikato „Cheminių medžiagų strategija tvarumui užtikrinti. </w:t>
      </w:r>
      <w:r w:rsidRPr="00F721BB">
        <w:rPr>
          <w:color w:val="000000" w:themeColor="text1"/>
          <w:sz w:val="24"/>
          <w:lang w:val="lt-LT"/>
        </w:rPr>
        <w:t>Aplinkos be toksinių medžiagų kūrimas“ COM(2020)0667 priede,</w:t>
      </w:r>
      <w:hyperlink r:id="rId18" w:anchor="document2" w:history="1">
        <w:r w:rsidRPr="00ED1E27">
          <w:rPr>
            <w:rStyle w:val="Hyperlink"/>
            <w:sz w:val="24"/>
            <w:lang w:val="lt-LT"/>
          </w:rPr>
          <w:t>https://eur-lex.europa.eu/legal-content/LT/TXT/?uri=COM%3A2020%3A667%3AFIN#document2</w:t>
        </w:r>
      </w:hyperlink>
      <w:r w:rsidRPr="00F721BB">
        <w:rPr>
          <w:color w:val="000000" w:themeColor="text1"/>
          <w:sz w:val="24"/>
          <w:lang w:val="lt-LT"/>
        </w:rPr>
        <w:t xml:space="preserve">. </w:t>
      </w:r>
    </w:p>
  </w:footnote>
  <w:footnote w:id="19">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sz w:val="24"/>
          <w:lang w:val="lt-LT"/>
        </w:rPr>
        <w:t xml:space="preserve"> </w:t>
      </w:r>
      <w:r w:rsidR="00F721BB" w:rsidRPr="00F721BB">
        <w:rPr>
          <w:sz w:val="24"/>
          <w:lang w:val="lt-LT"/>
        </w:rPr>
        <w:tab/>
      </w:r>
      <w:hyperlink r:id="rId19" w:history="1">
        <w:r w:rsidRPr="00ED1E27">
          <w:rPr>
            <w:rStyle w:val="Hyperlink"/>
            <w:sz w:val="24"/>
            <w:lang w:val="lt-LT"/>
          </w:rPr>
          <w:t>https://tillymetz.lu/wp-content/uploads/2020/09/Co-signed-letter-MEP-Metz.pdf</w:t>
        </w:r>
      </w:hyperlink>
      <w:r w:rsidRPr="00F721BB">
        <w:rPr>
          <w:rStyle w:val="Hyperlink"/>
          <w:color w:val="000000" w:themeColor="text1"/>
          <w:sz w:val="24"/>
          <w:lang w:val="lt-LT"/>
        </w:rPr>
        <w:t>.</w:t>
      </w:r>
    </w:p>
  </w:footnote>
  <w:footnote w:id="20">
    <w:p w:rsidR="00D3298E" w:rsidRPr="00F721BB" w:rsidRDefault="00D3298E" w:rsidP="00F721BB">
      <w:pPr>
        <w:pStyle w:val="FootnoteText"/>
        <w:ind w:left="567" w:hanging="567"/>
        <w:rPr>
          <w:color w:val="000000" w:themeColor="text1"/>
          <w:sz w:val="24"/>
          <w:lang w:val="lt-LT"/>
        </w:rPr>
      </w:pPr>
      <w:r w:rsidRPr="00F721BB">
        <w:rPr>
          <w:rStyle w:val="Funotenzeichen"/>
          <w:color w:val="000000" w:themeColor="text1"/>
          <w:sz w:val="24"/>
          <w:lang w:val="lt-LT"/>
        </w:rPr>
        <w:footnoteRef/>
      </w:r>
      <w:r w:rsidR="00F721BB" w:rsidRPr="00F721BB">
        <w:rPr>
          <w:color w:val="000000" w:themeColor="text1"/>
          <w:sz w:val="24"/>
          <w:lang w:val="lt-LT"/>
        </w:rPr>
        <w:t xml:space="preserve"> </w:t>
      </w:r>
      <w:r w:rsidR="00F721BB" w:rsidRPr="00F721BB">
        <w:rPr>
          <w:color w:val="000000" w:themeColor="text1"/>
          <w:sz w:val="24"/>
          <w:lang w:val="lt-LT"/>
        </w:rPr>
        <w:tab/>
      </w:r>
      <w:r w:rsidRPr="00F721BB">
        <w:rPr>
          <w:color w:val="000000" w:themeColor="text1"/>
          <w:sz w:val="24"/>
          <w:lang w:val="lt-LT"/>
        </w:rPr>
        <w:t>2020 m. sausio 15 d. Europos Parlamento rezoliucija dėl Europos žaliojo kurso (OL C 270, 2021 7 7, p. 2), 102 dalis.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LT"/>
    <w:docVar w:name="dvnumam" w:val="0"/>
    <w:docVar w:name="dvpe" w:val="766.932"/>
    <w:docVar w:name="dvtitre" w:val="2025 m. vasario 12 d. Europos Parlamento rezoliucija dėl Komisijos įgyvendinimo sprendimo, kuriuo pagal Europos Parlamento ir Tarybos reglamentą (EB) Nr. 1829/2003 leidžiama pateikti rinkai produktus, kurių sudėtyje yra genetiškai modifikuotų kukurūzų DP910521, kurie iš jų sudaryti arba kurie iš jų pagaminti, projekto(D102174/03 – 2024/3010(RSP))"/>
  </w:docVars>
  <w:rsids>
    <w:rsidRoot w:val="002C2294"/>
    <w:rsid w:val="00002272"/>
    <w:rsid w:val="00064002"/>
    <w:rsid w:val="000677B9"/>
    <w:rsid w:val="000831BA"/>
    <w:rsid w:val="000A42CC"/>
    <w:rsid w:val="000E7DD9"/>
    <w:rsid w:val="0010095E"/>
    <w:rsid w:val="00125B37"/>
    <w:rsid w:val="00187494"/>
    <w:rsid w:val="001F32AE"/>
    <w:rsid w:val="002767FF"/>
    <w:rsid w:val="002B18FE"/>
    <w:rsid w:val="002B5493"/>
    <w:rsid w:val="002C229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216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864"/>
    <w:rsid w:val="00A1687D"/>
    <w:rsid w:val="00A43E52"/>
    <w:rsid w:val="00A4678D"/>
    <w:rsid w:val="00A778C7"/>
    <w:rsid w:val="00AB441E"/>
    <w:rsid w:val="00AB6293"/>
    <w:rsid w:val="00AE0928"/>
    <w:rsid w:val="00AF3B82"/>
    <w:rsid w:val="00B12E95"/>
    <w:rsid w:val="00B22876"/>
    <w:rsid w:val="00B558F0"/>
    <w:rsid w:val="00B87C40"/>
    <w:rsid w:val="00BC0E7D"/>
    <w:rsid w:val="00BD48FE"/>
    <w:rsid w:val="00BD7BD8"/>
    <w:rsid w:val="00BE6ADC"/>
    <w:rsid w:val="00C05BFE"/>
    <w:rsid w:val="00C23CD4"/>
    <w:rsid w:val="00C61C0C"/>
    <w:rsid w:val="00C941CB"/>
    <w:rsid w:val="00CB4782"/>
    <w:rsid w:val="00CC2357"/>
    <w:rsid w:val="00CF071A"/>
    <w:rsid w:val="00D058B8"/>
    <w:rsid w:val="00D15FA2"/>
    <w:rsid w:val="00D3298E"/>
    <w:rsid w:val="00D56C11"/>
    <w:rsid w:val="00D834A0"/>
    <w:rsid w:val="00D872DF"/>
    <w:rsid w:val="00D91E21"/>
    <w:rsid w:val="00DA7FCD"/>
    <w:rsid w:val="00E365E1"/>
    <w:rsid w:val="00E820A4"/>
    <w:rsid w:val="00E95DD7"/>
    <w:rsid w:val="00EB006A"/>
    <w:rsid w:val="00EB4772"/>
    <w:rsid w:val="00EB5380"/>
    <w:rsid w:val="00ED169E"/>
    <w:rsid w:val="00ED1E27"/>
    <w:rsid w:val="00ED4235"/>
    <w:rsid w:val="00F04346"/>
    <w:rsid w:val="00F075DC"/>
    <w:rsid w:val="00F149E9"/>
    <w:rsid w:val="00F25C07"/>
    <w:rsid w:val="00F5134D"/>
    <w:rsid w:val="00F721B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84C249C-4157-468F-97C4-4CBBBD28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D3298E"/>
    <w:pPr>
      <w:spacing w:before="480" w:after="240"/>
    </w:pPr>
  </w:style>
  <w:style w:type="paragraph" w:customStyle="1" w:styleId="NormalHanging12a">
    <w:name w:val="NormalHanging12a"/>
    <w:basedOn w:val="Normal"/>
    <w:qFormat/>
    <w:rsid w:val="00D3298E"/>
    <w:pPr>
      <w:spacing w:after="240"/>
      <w:ind w:left="567" w:hanging="567"/>
    </w:pPr>
  </w:style>
  <w:style w:type="character" w:styleId="Hyperlink">
    <w:name w:val="Hyperlink"/>
    <w:basedOn w:val="DefaultParagraphFont"/>
    <w:uiPriority w:val="99"/>
    <w:rsid w:val="00D3298E"/>
    <w:rPr>
      <w:color w:val="0563C1" w:themeColor="hyperlink"/>
      <w:u w:val="single"/>
    </w:rPr>
  </w:style>
  <w:style w:type="character" w:customStyle="1" w:styleId="Funotenzeichen">
    <w:name w:val="Fußnotenzeichen"/>
    <w:qFormat/>
    <w:rsid w:val="00D3298E"/>
    <w:rPr>
      <w:vertAlign w:val="superscript"/>
    </w:rPr>
  </w:style>
  <w:style w:type="paragraph" w:styleId="BalloonText">
    <w:name w:val="Balloon Text"/>
    <w:basedOn w:val="Normal"/>
    <w:link w:val="BalloonTextChar"/>
    <w:rsid w:val="00BC0E7D"/>
    <w:rPr>
      <w:rFonts w:ascii="Segoe UI" w:hAnsi="Segoe UI" w:cs="Segoe UI"/>
      <w:sz w:val="18"/>
      <w:szCs w:val="18"/>
    </w:rPr>
  </w:style>
  <w:style w:type="character" w:customStyle="1" w:styleId="BalloonTextChar">
    <w:name w:val="Balloon Text Char"/>
    <w:basedOn w:val="DefaultParagraphFont"/>
    <w:link w:val="BalloonText"/>
    <w:rsid w:val="00BC0E7D"/>
    <w:rPr>
      <w:rFonts w:ascii="Segoe UI" w:hAnsi="Segoe UI" w:cs="Segoe UI"/>
      <w:sz w:val="18"/>
      <w:szCs w:val="18"/>
      <w:lang w:val="lt-LT"/>
    </w:rPr>
  </w:style>
  <w:style w:type="character" w:styleId="FollowedHyperlink">
    <w:name w:val="FollowedHyperlink"/>
    <w:basedOn w:val="DefaultParagraphFont"/>
    <w:rsid w:val="00E95D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LT/TXT/?uri=COM:2020:667:FIN"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lt/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2EB2F-923A-48D0-9A7D-48E9E043B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1840</Words>
  <Characters>12483</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2025-02-12T12:54:00Z</dcterms:created>
  <dcterms:modified xsi:type="dcterms:W3CDTF">2025-02-12T12:54:00Z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B10-0061/2025</vt:lpwstr>
  </property>
  <property fmtid="{D5CDD505-2E9C-101B-9397-08002B2CF9AE}" pid="4" name="&lt;Type&gt;">
    <vt:lpwstr>RR</vt:lpwstr>
  </property>
</Properties>
</file>