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614C" w:rsidTr="0010095E">
        <w:trPr>
          <w:trHeight w:hRule="exact" w:val="1418"/>
        </w:trPr>
        <w:tc>
          <w:tcPr>
            <w:tcW w:w="6804" w:type="dxa"/>
            <w:shd w:val="clear" w:color="auto" w:fill="auto"/>
            <w:vAlign w:val="center"/>
          </w:tcPr>
          <w:p w:rsidR="00751A4A" w:rsidRPr="00DD614C" w:rsidRDefault="006C597C" w:rsidP="0010095E">
            <w:pPr>
              <w:pStyle w:val="EPName"/>
            </w:pPr>
            <w:r w:rsidRPr="00DD614C">
              <w:t>Eiropas Parlaments</w:t>
            </w:r>
          </w:p>
          <w:p w:rsidR="00751A4A" w:rsidRPr="00DD614C" w:rsidRDefault="005F1B17" w:rsidP="005F1B17">
            <w:pPr>
              <w:pStyle w:val="EPTerm"/>
              <w:rPr>
                <w:rStyle w:val="HideTWBExt"/>
                <w:noProof w:val="0"/>
                <w:vanish w:val="0"/>
                <w:color w:val="auto"/>
              </w:rPr>
            </w:pPr>
            <w:r w:rsidRPr="00DD614C">
              <w:t>2024</w:t>
            </w:r>
            <w:r w:rsidR="00817416" w:rsidRPr="00DD614C">
              <w:t>-202</w:t>
            </w:r>
            <w:r w:rsidRPr="00DD614C">
              <w:t>9</w:t>
            </w:r>
          </w:p>
        </w:tc>
        <w:tc>
          <w:tcPr>
            <w:tcW w:w="2268" w:type="dxa"/>
            <w:shd w:val="clear" w:color="auto" w:fill="auto"/>
          </w:tcPr>
          <w:p w:rsidR="00751A4A" w:rsidRPr="00DD614C" w:rsidRDefault="00187494" w:rsidP="0010095E">
            <w:pPr>
              <w:pStyle w:val="EPLogo"/>
            </w:pPr>
            <w:r w:rsidRPr="00DD61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614C" w:rsidRDefault="00D058B8" w:rsidP="004C5D52">
      <w:pPr>
        <w:pStyle w:val="LineTop"/>
      </w:pPr>
    </w:p>
    <w:p w:rsidR="00680577" w:rsidRPr="00DD614C" w:rsidRDefault="006C597C" w:rsidP="00680577">
      <w:pPr>
        <w:pStyle w:val="EPBodyTA1"/>
      </w:pPr>
      <w:r w:rsidRPr="00DD614C">
        <w:t>PIEŅEMTIE TEKSTI</w:t>
      </w:r>
    </w:p>
    <w:p w:rsidR="00D058B8" w:rsidRPr="00DD614C" w:rsidRDefault="00D058B8" w:rsidP="00D058B8">
      <w:pPr>
        <w:pStyle w:val="LineBottom"/>
      </w:pPr>
    </w:p>
    <w:p w:rsidR="006C597C" w:rsidRPr="00DD614C" w:rsidRDefault="006C597C" w:rsidP="006C597C">
      <w:pPr>
        <w:pStyle w:val="ATHeading1"/>
      </w:pPr>
      <w:bookmarkStart w:id="0" w:name="TANumber"/>
      <w:r w:rsidRPr="00DD614C">
        <w:t>P10_TA(2025)00</w:t>
      </w:r>
      <w:bookmarkEnd w:id="0"/>
      <w:r w:rsidR="002546BD">
        <w:t>14</w:t>
      </w:r>
    </w:p>
    <w:p w:rsidR="006C597C" w:rsidRPr="00DD614C" w:rsidRDefault="00E368F0" w:rsidP="006C597C">
      <w:pPr>
        <w:pStyle w:val="ATHeading2"/>
      </w:pPr>
      <w:bookmarkStart w:id="1" w:name="title"/>
      <w:r>
        <w:t>Ģ</w:t>
      </w:r>
      <w:r w:rsidR="006C597C" w:rsidRPr="00DD614C">
        <w:t>enētiski modificēta</w:t>
      </w:r>
      <w:r>
        <w:t xml:space="preserve"> </w:t>
      </w:r>
      <w:r w:rsidR="006C597C" w:rsidRPr="00DD614C">
        <w:t>kukurūza DP910521</w:t>
      </w:r>
      <w:bookmarkEnd w:id="1"/>
    </w:p>
    <w:p w:rsidR="006C597C" w:rsidRPr="00DD614C" w:rsidRDefault="006C597C" w:rsidP="006C597C">
      <w:pPr>
        <w:rPr>
          <w:i/>
          <w:vanish/>
        </w:rPr>
      </w:pPr>
      <w:r w:rsidRPr="00DD614C">
        <w:rPr>
          <w:i/>
        </w:rPr>
        <w:fldChar w:fldCharType="begin"/>
      </w:r>
      <w:r w:rsidRPr="00DD614C">
        <w:rPr>
          <w:i/>
        </w:rPr>
        <w:instrText xml:space="preserve"> TC"(</w:instrText>
      </w:r>
      <w:bookmarkStart w:id="2" w:name="DocNumber"/>
      <w:r w:rsidRPr="00DD614C">
        <w:rPr>
          <w:i/>
        </w:rPr>
        <w:instrText>B10-0061/2025</w:instrText>
      </w:r>
      <w:bookmarkEnd w:id="2"/>
      <w:r w:rsidRPr="00DD614C">
        <w:rPr>
          <w:i/>
        </w:rPr>
        <w:instrText xml:space="preserve">)"\l3 \n&gt; \* MERGEFORMAT </w:instrText>
      </w:r>
      <w:r w:rsidRPr="00DD614C">
        <w:rPr>
          <w:i/>
        </w:rPr>
        <w:fldChar w:fldCharType="end"/>
      </w:r>
    </w:p>
    <w:p w:rsidR="006C597C" w:rsidRPr="00DD614C" w:rsidRDefault="006C597C" w:rsidP="006C597C">
      <w:pPr>
        <w:rPr>
          <w:vanish/>
        </w:rPr>
      </w:pPr>
      <w:bookmarkStart w:id="3" w:name="PE"/>
      <w:r w:rsidRPr="00DD614C">
        <w:rPr>
          <w:vanish/>
        </w:rPr>
        <w:t>PE766.932</w:t>
      </w:r>
      <w:bookmarkEnd w:id="3"/>
    </w:p>
    <w:p w:rsidR="00D00209" w:rsidRPr="00DD614C" w:rsidRDefault="006C597C" w:rsidP="00E368F0">
      <w:pPr>
        <w:pStyle w:val="ATHeading3"/>
      </w:pPr>
      <w:bookmarkStart w:id="4" w:name="Sujet"/>
      <w:r w:rsidRPr="00DD614C">
        <w:t xml:space="preserve">Eiropas Parlamenta 2025. gada </w:t>
      </w:r>
      <w:r w:rsidR="003D1B92">
        <w:t>12</w:t>
      </w:r>
      <w:r w:rsidRPr="00DD614C">
        <w:t xml:space="preserve">. </w:t>
      </w:r>
      <w:r w:rsidR="003D1B92">
        <w:t>februāra</w:t>
      </w:r>
      <w:r w:rsidRPr="00DD614C">
        <w:t xml:space="preserve"> rezolūcija par projektu Komisijas īstenošanas lēmumam, ar ko, ievērojot Eiropas Parlamenta un Padomes Regulu (EK) Nr. 1829/2003, atļauj laist tirgū produktus, kas satur ģenētiski modificētu kukurūzu DP910521, no tās sastāv vai ir no tās ražoti</w:t>
      </w:r>
      <w:bookmarkEnd w:id="4"/>
      <w:r w:rsidRPr="00DD614C">
        <w:t xml:space="preserve"> </w:t>
      </w:r>
      <w:bookmarkStart w:id="5" w:name="References"/>
      <w:r w:rsidRPr="00DD614C">
        <w:t>(D102174/03 – 2024/3010(RSP))</w:t>
      </w:r>
      <w:bookmarkStart w:id="6" w:name="TextBodyBegin"/>
      <w:bookmarkEnd w:id="5"/>
      <w:bookmarkEnd w:id="6"/>
    </w:p>
    <w:p w:rsidR="00D00209" w:rsidRPr="00DD614C" w:rsidRDefault="00D00209" w:rsidP="00D00209">
      <w:pPr>
        <w:pStyle w:val="EPComma"/>
      </w:pPr>
      <w:r w:rsidRPr="00DD614C">
        <w:rPr>
          <w:i/>
          <w:iCs/>
        </w:rPr>
        <w:t>Eiropas Parlaments</w:t>
      </w:r>
      <w:r w:rsidRPr="00DD614C">
        <w:t>,</w:t>
      </w:r>
    </w:p>
    <w:p w:rsidR="00D00209" w:rsidRPr="00DD614C" w:rsidRDefault="00D00209" w:rsidP="00D00209">
      <w:pPr>
        <w:pStyle w:val="NormalHanging12a"/>
      </w:pPr>
      <w:r w:rsidRPr="00DD614C">
        <w:t>–</w:t>
      </w:r>
      <w:r w:rsidRPr="00DD614C">
        <w:tab/>
        <w:t>ņemot vērā projektu Komisijas īstenošanas lēmumam, ar ko, ievērojot Eiropas Parlamenta un Padomes Regulu (EK) Nr. 1829/2003, atļauj laist tirgū produktus, kas satur ģenētiski modificētu kukurūzu DP910521, no tās sastāv vai ir no tās ražoti (D102174/03),</w:t>
      </w:r>
    </w:p>
    <w:p w:rsidR="00D00209" w:rsidRPr="00DD614C" w:rsidRDefault="00D00209" w:rsidP="00D00209">
      <w:pPr>
        <w:pStyle w:val="NormalHanging12a"/>
        <w:rPr>
          <w:szCs w:val="24"/>
        </w:rPr>
      </w:pPr>
      <w:r w:rsidRPr="00DD614C">
        <w:t>–</w:t>
      </w:r>
      <w:r w:rsidRPr="00DD614C">
        <w:tab/>
        <w:t>ņemot vērā Eiropas Parlamenta un Padomes 2003. gada 22. septembra Regulu (EK) Nr. 1829/2003 par ģenētiski modificētu pārtiku un barību</w:t>
      </w:r>
      <w:r w:rsidRPr="00DD614C">
        <w:rPr>
          <w:rStyle w:val="FootnoteReference"/>
          <w:szCs w:val="24"/>
        </w:rPr>
        <w:footnoteReference w:id="1"/>
      </w:r>
      <w:r w:rsidRPr="00DD614C">
        <w:t xml:space="preserve"> un jo īpaši tās 7. panta 3. punktu un 19. panta 3. punktu,</w:t>
      </w:r>
    </w:p>
    <w:p w:rsidR="00D00209" w:rsidRPr="00DD614C" w:rsidRDefault="00D00209" w:rsidP="00D00209">
      <w:pPr>
        <w:pStyle w:val="NormalHanging12a"/>
        <w:rPr>
          <w:szCs w:val="24"/>
        </w:rPr>
      </w:pPr>
      <w:r w:rsidRPr="00DD614C">
        <w:t>–</w:t>
      </w:r>
      <w:r w:rsidRPr="00DD614C">
        <w:tab/>
        <w:t xml:space="preserve">ņemot vērā </w:t>
      </w:r>
      <w:r w:rsidRPr="00DD614C">
        <w:rPr>
          <w:shd w:val="clear" w:color="auto" w:fill="FFFFFF"/>
        </w:rPr>
        <w:t>Regulas (EK) Nr. 1829/2003 35. pantā minētās Augu, dzīvnieku, pārtikas aprites un dzīvnieku barības pastāvīgās komitejas 2024. gada 22. novembra balsojumu, kura rezultātā atzinums netika sniegts, un Pārsūdzības komitejas 2024. gada 17. decembra balsojumu, kura rezultātā arī netika sniegts atzinums</w:t>
      </w:r>
      <w:r w:rsidRPr="00DD614C">
        <w:t>,</w:t>
      </w:r>
    </w:p>
    <w:p w:rsidR="00D00209" w:rsidRPr="00DD614C" w:rsidRDefault="00D00209" w:rsidP="00D00209">
      <w:pPr>
        <w:pStyle w:val="NormalHanging12a"/>
        <w:rPr>
          <w:szCs w:val="24"/>
        </w:rPr>
      </w:pPr>
      <w:r w:rsidRPr="00DD614C">
        <w:t>–</w:t>
      </w:r>
      <w:r w:rsidRPr="00DD614C">
        <w:tab/>
        <w:t>ņemot vērā 11. pantu Eiropas Parlamenta un Padomes 2011. gada 16. februāra Regulā (ES) Nr. 182/2011, ar ko nosaka normas un vispārīgus principus par dalībvalstu kontroles mehānismiem, kuri attiecas uz Komisijas īstenošanas pilnvaru izmantošanu</w:t>
      </w:r>
      <w:r w:rsidRPr="00DD614C">
        <w:rPr>
          <w:rStyle w:val="FootnoteReference"/>
          <w:szCs w:val="24"/>
        </w:rPr>
        <w:footnoteReference w:id="2"/>
      </w:r>
      <w:r w:rsidRPr="00DD614C">
        <w:t>,</w:t>
      </w:r>
    </w:p>
    <w:p w:rsidR="00D00209" w:rsidRPr="00DD614C" w:rsidRDefault="00D00209" w:rsidP="00D00209">
      <w:pPr>
        <w:pStyle w:val="NormalHanging12a"/>
        <w:rPr>
          <w:szCs w:val="24"/>
        </w:rPr>
      </w:pPr>
      <w:r w:rsidRPr="00DD614C">
        <w:t>–</w:t>
      </w:r>
      <w:r w:rsidRPr="00DD614C">
        <w:tab/>
        <w:t>ņemot vērā Eiropas Pārtikas nekaitīguma iestādes (</w:t>
      </w:r>
      <w:r w:rsidRPr="00DD614C">
        <w:rPr>
          <w:i/>
          <w:iCs/>
        </w:rPr>
        <w:t>EFSA</w:t>
      </w:r>
      <w:r w:rsidRPr="00DD614C">
        <w:t>) 2024. gada 19. jūnijā pieņemto atzinumu, kas publicēts 2024. gada 1. augustā</w:t>
      </w:r>
      <w:r w:rsidRPr="00DD614C">
        <w:rPr>
          <w:rStyle w:val="FootnoteReference"/>
          <w:szCs w:val="24"/>
        </w:rPr>
        <w:footnoteReference w:id="3"/>
      </w:r>
      <w:r w:rsidRPr="00DD614C">
        <w:t>,</w:t>
      </w:r>
    </w:p>
    <w:p w:rsidR="00D00209" w:rsidRPr="00DD614C" w:rsidRDefault="00D00209" w:rsidP="00D00209">
      <w:pPr>
        <w:pStyle w:val="NormalHanging12a"/>
        <w:rPr>
          <w:szCs w:val="24"/>
        </w:rPr>
      </w:pPr>
      <w:r w:rsidRPr="00DD614C">
        <w:t>–</w:t>
      </w:r>
      <w:r w:rsidRPr="00DD614C">
        <w:tab/>
      </w:r>
      <w:r w:rsidRPr="00DD614C">
        <w:rPr>
          <w:shd w:val="clear" w:color="auto" w:fill="FFFFFF"/>
        </w:rPr>
        <w:t xml:space="preserve">ņemot vērā Parlamenta iepriekšējās rezolūcijas, kurās ir iebilsts pret atļauju izmantot </w:t>
      </w:r>
      <w:r w:rsidRPr="00DD614C">
        <w:rPr>
          <w:shd w:val="clear" w:color="auto" w:fill="FFFFFF"/>
        </w:rPr>
        <w:lastRenderedPageBreak/>
        <w:t>ģenētiski modificētus organismus (ĢMO)</w:t>
      </w:r>
      <w:r w:rsidRPr="00DD614C">
        <w:rPr>
          <w:rStyle w:val="FootnoteReference"/>
          <w:szCs w:val="24"/>
          <w:shd w:val="clear" w:color="auto" w:fill="FFFFFF"/>
        </w:rPr>
        <w:footnoteReference w:id="4"/>
      </w:r>
      <w:r w:rsidRPr="00DD614C">
        <w:rPr>
          <w:shd w:val="clear" w:color="auto" w:fill="FFFFFF"/>
        </w:rPr>
        <w:t>,</w:t>
      </w:r>
    </w:p>
    <w:p w:rsidR="00D00209" w:rsidRPr="00DD614C" w:rsidRDefault="00D00209" w:rsidP="00D00209">
      <w:pPr>
        <w:pStyle w:val="NormalHanging12a"/>
        <w:rPr>
          <w:szCs w:val="24"/>
        </w:rPr>
      </w:pPr>
      <w:r w:rsidRPr="00DD614C">
        <w:t>–</w:t>
      </w:r>
      <w:r w:rsidRPr="00DD614C">
        <w:tab/>
        <w:t>ņemot vērā Reglamenta 115. panta 2. un 3. punktu,</w:t>
      </w:r>
    </w:p>
    <w:p w:rsidR="00D00209" w:rsidRPr="00DD614C" w:rsidRDefault="00D00209" w:rsidP="00D00209">
      <w:pPr>
        <w:pStyle w:val="NormalHanging12a"/>
        <w:rPr>
          <w:szCs w:val="24"/>
        </w:rPr>
      </w:pPr>
      <w:r w:rsidRPr="00DD614C">
        <w:t>–</w:t>
      </w:r>
      <w:r w:rsidRPr="00DD614C">
        <w:tab/>
        <w:t xml:space="preserve">ņemot vērā Vides, </w:t>
      </w:r>
      <w:r w:rsidR="003D1B92" w:rsidRPr="003D1B92">
        <w:t>klimata un pārtikas nekaitīguma</w:t>
      </w:r>
      <w:r w:rsidRPr="00DD614C">
        <w:t xml:space="preserve"> komitejas rezolūcijas priekšlikumu,</w:t>
      </w:r>
    </w:p>
    <w:p w:rsidR="00D00209" w:rsidRPr="00DD614C" w:rsidRDefault="00D00209" w:rsidP="00D00209">
      <w:pPr>
        <w:pStyle w:val="NormalHanging12a"/>
        <w:rPr>
          <w:szCs w:val="24"/>
        </w:rPr>
      </w:pPr>
      <w:r w:rsidRPr="00DD614C">
        <w:t>A.</w:t>
      </w:r>
      <w:r w:rsidRPr="00DD614C">
        <w:tab/>
        <w:t xml:space="preserve">tā kā 2022. gada 27. jūnijā uzņēmums </w:t>
      </w:r>
      <w:proofErr w:type="spellStart"/>
      <w:r w:rsidRPr="00DD614C">
        <w:rPr>
          <w:i/>
          <w:iCs/>
        </w:rPr>
        <w:t>Corteva</w:t>
      </w:r>
      <w:proofErr w:type="spellEnd"/>
      <w:r w:rsidRPr="00DD614C">
        <w:rPr>
          <w:i/>
          <w:iCs/>
        </w:rPr>
        <w:t xml:space="preserve"> </w:t>
      </w:r>
      <w:proofErr w:type="spellStart"/>
      <w:r w:rsidRPr="00DD614C">
        <w:rPr>
          <w:i/>
          <w:iCs/>
        </w:rPr>
        <w:t>Agriscience</w:t>
      </w:r>
      <w:proofErr w:type="spellEnd"/>
      <w:r w:rsidRPr="00DD614C">
        <w:rPr>
          <w:i/>
          <w:iCs/>
        </w:rPr>
        <w:t xml:space="preserve"> </w:t>
      </w:r>
      <w:proofErr w:type="spellStart"/>
      <w:r w:rsidRPr="00DD614C">
        <w:rPr>
          <w:i/>
          <w:iCs/>
        </w:rPr>
        <w:t>Belgium</w:t>
      </w:r>
      <w:proofErr w:type="spellEnd"/>
      <w:r w:rsidRPr="00DD614C">
        <w:rPr>
          <w:i/>
          <w:iCs/>
        </w:rPr>
        <w:t xml:space="preserve"> B.V.</w:t>
      </w:r>
      <w:r w:rsidRPr="00DD614C">
        <w:t xml:space="preserve">, kas atrodas Beļģijā, uzņēmuma </w:t>
      </w:r>
      <w:proofErr w:type="spellStart"/>
      <w:r w:rsidRPr="00DD614C">
        <w:rPr>
          <w:i/>
          <w:iCs/>
        </w:rPr>
        <w:t>Corteva</w:t>
      </w:r>
      <w:proofErr w:type="spellEnd"/>
      <w:r w:rsidRPr="00DD614C">
        <w:rPr>
          <w:i/>
          <w:iCs/>
        </w:rPr>
        <w:t xml:space="preserve"> </w:t>
      </w:r>
      <w:proofErr w:type="spellStart"/>
      <w:r w:rsidRPr="00DD614C">
        <w:rPr>
          <w:i/>
          <w:iCs/>
        </w:rPr>
        <w:t>Agriscience</w:t>
      </w:r>
      <w:proofErr w:type="spellEnd"/>
      <w:r w:rsidRPr="00DD614C">
        <w:rPr>
          <w:i/>
          <w:iCs/>
        </w:rPr>
        <w:t xml:space="preserve"> LLC</w:t>
      </w:r>
      <w:r w:rsidRPr="00DD614C">
        <w:t xml:space="preserve">, kas atrodas Amerikas Savienotajās Valstīs, vārdā iesniedza </w:t>
      </w:r>
      <w:r w:rsidRPr="00DD614C">
        <w:rPr>
          <w:snapToGrid w:val="0"/>
        </w:rPr>
        <w:t>Nīderlandes valsts kompetentajai iestādei</w:t>
      </w:r>
      <w:r w:rsidRPr="00DD614C">
        <w:t xml:space="preserve"> pieteikumu par tādas pārtikas, pārtikas sastāvdaļu un barības laišanu tirgū, kas satur ģenētiski modificētu kukurūzu DP910521 ("ĢM kukurūza"), no tās sastāv vai ir no tās ražota;</w:t>
      </w:r>
    </w:p>
    <w:p w:rsidR="00D00209" w:rsidRPr="00DD614C" w:rsidRDefault="00D00209" w:rsidP="00D00209">
      <w:pPr>
        <w:pStyle w:val="NormalHanging12a"/>
        <w:rPr>
          <w:szCs w:val="24"/>
        </w:rPr>
      </w:pPr>
      <w:r w:rsidRPr="00DD614C">
        <w:lastRenderedPageBreak/>
        <w:t>B.</w:t>
      </w:r>
      <w:r w:rsidRPr="00DD614C">
        <w:tab/>
        <w:t xml:space="preserve">tā kā ĢM kukurūza rada Cry1B.34 toksīnu un ir izturīga pret herbicīdu </w:t>
      </w:r>
      <w:proofErr w:type="spellStart"/>
      <w:r w:rsidRPr="00DD614C">
        <w:t>glufozinātu</w:t>
      </w:r>
      <w:proofErr w:type="spellEnd"/>
      <w:r w:rsidRPr="00DD614C">
        <w:t>;</w:t>
      </w:r>
    </w:p>
    <w:p w:rsidR="00D00209" w:rsidRPr="00DD614C" w:rsidRDefault="00D00209" w:rsidP="00D00209">
      <w:pPr>
        <w:pStyle w:val="NormalHanging12a"/>
        <w:tabs>
          <w:tab w:val="left" w:pos="0"/>
        </w:tabs>
        <w:suppressAutoHyphens/>
        <w:rPr>
          <w:szCs w:val="24"/>
        </w:rPr>
      </w:pPr>
      <w:r w:rsidRPr="00DD614C">
        <w:t>C.</w:t>
      </w:r>
      <w:r w:rsidRPr="00DD614C">
        <w:tab/>
        <w:t xml:space="preserve">tā kā </w:t>
      </w:r>
      <w:proofErr w:type="spellStart"/>
      <w:r w:rsidRPr="00DD614C">
        <w:t>glufozināts</w:t>
      </w:r>
      <w:proofErr w:type="spellEnd"/>
      <w:r w:rsidRPr="00DD614C">
        <w:t xml:space="preserve"> ir klasificēts kā reproduktīvajai sistēmai toksiska viela (1B) un tāpēc tam tiek piemēroti Eiropas Parlamenta un Padomes Regulā (EK) Nr. 1107/2009</w:t>
      </w:r>
      <w:r w:rsidRPr="00DD614C">
        <w:rPr>
          <w:rStyle w:val="FootnoteReference"/>
          <w:szCs w:val="24"/>
        </w:rPr>
        <w:footnoteReference w:id="5"/>
      </w:r>
      <w:r w:rsidRPr="00DD614C">
        <w:t xml:space="preserve"> noteiktie izslēgšanas kritēriji; tā kā termiņš atļaujai lietot </w:t>
      </w:r>
      <w:proofErr w:type="spellStart"/>
      <w:r w:rsidRPr="00DD614C">
        <w:t>glufozinātu</w:t>
      </w:r>
      <w:proofErr w:type="spellEnd"/>
      <w:r w:rsidRPr="00DD614C">
        <w:t xml:space="preserve"> Savienībā beidzās 2018. gada 31. jūlijā;</w:t>
      </w:r>
    </w:p>
    <w:p w:rsidR="00D00209" w:rsidRPr="00DD614C" w:rsidRDefault="00D00209" w:rsidP="00D00209">
      <w:pPr>
        <w:pStyle w:val="NormalHanging12a"/>
        <w:tabs>
          <w:tab w:val="left" w:pos="0"/>
        </w:tabs>
        <w:suppressAutoHyphens/>
        <w:rPr>
          <w:szCs w:val="24"/>
        </w:rPr>
      </w:pPr>
      <w:r w:rsidRPr="00DD614C">
        <w:t>D.</w:t>
      </w:r>
      <w:r w:rsidRPr="00DD614C">
        <w:tab/>
        <w:t xml:space="preserve">tā kā Cry1B.34 ir sintētisks sapludinātais proteīns, kurā apvienots Cry1B, Cry1Ca1 un Cry9Db1 un kurš izstrādāts, lai nodrošinātu izturību pret insektiem, konkrētāk, tauriņu kārtas kaitēkļiem, bet nav pierādīts tā specifiskums </w:t>
      </w:r>
      <w:proofErr w:type="spellStart"/>
      <w:r w:rsidRPr="00DD614C">
        <w:t>mērķsugām</w:t>
      </w:r>
      <w:proofErr w:type="spellEnd"/>
      <w:r w:rsidRPr="00DD614C">
        <w:t>;</w:t>
      </w:r>
    </w:p>
    <w:p w:rsidR="00D00209" w:rsidRPr="00DD614C" w:rsidRDefault="00D00209" w:rsidP="00D00209">
      <w:pPr>
        <w:pStyle w:val="NormalHanging12a"/>
        <w:tabs>
          <w:tab w:val="left" w:pos="0"/>
        </w:tabs>
        <w:suppressAutoHyphens/>
        <w:rPr>
          <w:szCs w:val="24"/>
        </w:rPr>
      </w:pPr>
      <w:r w:rsidRPr="00DD614C">
        <w:t>E.</w:t>
      </w:r>
      <w:r w:rsidRPr="00DD614C">
        <w:tab/>
        <w:t>tā kā ģenētiskā modifikācija ietver divu posmu procesu, proti, CRISPR/Cas9 izmantošanu, lai ievietotu "nosēšanās platformu", kam seko bombardēšana ar mikroskopiskām daļiņām, lai panāktu gēnu ekspresijas kasetes ievietošanu;</w:t>
      </w:r>
    </w:p>
    <w:p w:rsidR="00D00209" w:rsidRPr="00DD614C" w:rsidRDefault="00D00209" w:rsidP="00D00209">
      <w:pPr>
        <w:pStyle w:val="NormalHanging12a"/>
        <w:rPr>
          <w:b/>
          <w:i/>
          <w:szCs w:val="24"/>
        </w:rPr>
      </w:pPr>
      <w:r w:rsidRPr="00DD614C">
        <w:rPr>
          <w:b/>
          <w:i/>
        </w:rPr>
        <w:t>Trūkst komplementāro herbicīdu novērtējuma</w:t>
      </w:r>
    </w:p>
    <w:p w:rsidR="00D00209" w:rsidRPr="00DD614C" w:rsidRDefault="00D00209" w:rsidP="00D00209">
      <w:pPr>
        <w:pStyle w:val="NormalHanging12a"/>
        <w:tabs>
          <w:tab w:val="left" w:pos="0"/>
        </w:tabs>
        <w:suppressAutoHyphens/>
        <w:rPr>
          <w:szCs w:val="24"/>
        </w:rPr>
      </w:pPr>
      <w:r w:rsidRPr="00DD614C">
        <w:t>F.</w:t>
      </w:r>
      <w:r w:rsidRPr="00DD614C">
        <w:tab/>
        <w:t>tā kā Komisijas Īstenošanas regulā (ES) Nr. 503/2013</w:t>
      </w:r>
      <w:r w:rsidRPr="00DD614C">
        <w:rPr>
          <w:rStyle w:val="FootnoteReference"/>
          <w:szCs w:val="24"/>
        </w:rPr>
        <w:footnoteReference w:id="6"/>
      </w:r>
      <w:r w:rsidRPr="00DD614C">
        <w:t xml:space="preserve"> ir prasīts novērtēt, vai paredzamās lauksaimniecības darbības ietekmēs pētīto galējo punktu rezultātus; tā kā saskaņā ar minēto īstenošanas regulu tas jo īpaši attiecas uz </w:t>
      </w:r>
      <w:proofErr w:type="spellStart"/>
      <w:r w:rsidRPr="00DD614C">
        <w:t>herbicīdtolerantiem</w:t>
      </w:r>
      <w:proofErr w:type="spellEnd"/>
      <w:r w:rsidRPr="00DD614C">
        <w:t xml:space="preserve"> augiem;</w:t>
      </w:r>
    </w:p>
    <w:p w:rsidR="00D00209" w:rsidRPr="00DD614C" w:rsidRDefault="00D00209" w:rsidP="00D00209">
      <w:pPr>
        <w:pStyle w:val="NormalHanging12a"/>
        <w:tabs>
          <w:tab w:val="left" w:pos="0"/>
        </w:tabs>
        <w:suppressAutoHyphens/>
        <w:rPr>
          <w:szCs w:val="24"/>
        </w:rPr>
      </w:pPr>
      <w:r w:rsidRPr="00DD614C">
        <w:t>G.</w:t>
      </w:r>
      <w:r w:rsidRPr="00DD614C">
        <w:tab/>
        <w:t xml:space="preserve">tā kā lielāko daļu ĢM kultūraugu ģenētiski modificē, lai tie būtu toleranti pret vienu vai vairākiem komplementāriem herbicīdiem, kurus var izmantot visā ĢM kultūraugu audzēšanas laikā, attiecīgajam kultūraugam neiznīkstot, kā tas būtu gadījumā, ja izmantotu pret herbicīdiem neizturīgu kultūru; tā kā vairākos pētījumos konstatēts, ka </w:t>
      </w:r>
      <w:proofErr w:type="spellStart"/>
      <w:r w:rsidRPr="00DD614C">
        <w:t>herbicīdtolerantu</w:t>
      </w:r>
      <w:proofErr w:type="spellEnd"/>
      <w:r w:rsidRPr="00DD614C">
        <w:t xml:space="preserve"> ĢM kultūraugu audzēšanā vairāk izmanto komplementārus herbicīdus, un tas lielā mērā notiek tādēļ, ka ir parādījušās </w:t>
      </w:r>
      <w:proofErr w:type="spellStart"/>
      <w:r w:rsidRPr="00DD614C">
        <w:t>herbicīdtolerantas</w:t>
      </w:r>
      <w:proofErr w:type="spellEnd"/>
      <w:r w:rsidRPr="00DD614C">
        <w:t xml:space="preserve"> nezāles</w:t>
      </w:r>
      <w:r w:rsidRPr="00DD614C">
        <w:rPr>
          <w:rStyle w:val="FootnoteReference"/>
          <w:szCs w:val="24"/>
        </w:rPr>
        <w:footnoteReference w:id="7"/>
      </w:r>
      <w:r w:rsidRPr="00DD614C">
        <w:t>;</w:t>
      </w:r>
    </w:p>
    <w:p w:rsidR="00D00209" w:rsidRPr="00DD614C" w:rsidRDefault="00D00209" w:rsidP="00D00209">
      <w:pPr>
        <w:pStyle w:val="NormalHanging12a"/>
        <w:tabs>
          <w:tab w:val="left" w:pos="0"/>
        </w:tabs>
        <w:suppressAutoHyphens/>
        <w:rPr>
          <w:szCs w:val="24"/>
        </w:rPr>
      </w:pPr>
      <w:r w:rsidRPr="00DD614C">
        <w:t>H.</w:t>
      </w:r>
      <w:r w:rsidRPr="00DD614C">
        <w:tab/>
        <w:t xml:space="preserve">tā kā </w:t>
      </w:r>
      <w:proofErr w:type="spellStart"/>
      <w:r w:rsidRPr="00DD614C">
        <w:t>herbicīdtolerantu</w:t>
      </w:r>
      <w:proofErr w:type="spellEnd"/>
      <w:r w:rsidRPr="00DD614C">
        <w:t xml:space="preserve"> ĢM kultūraugu izmantošanas dēļ lauksaimnieki ir piesaistīti nezāļu pārvaldības sistēmai, kas lielā mērā vai pilnībā ir atkarīga no herbicīdiem, un to panāk, uzliekot piemaksu par ĢM sēklām, kas attaisnojama tikai tad, ja lauksaimnieki, kas iegādājas šādas sēklas, izsmidzina arī komplementārus herbicīdus; tā kā lielāka atkarība no komplementāriem herbicīdiem saimniecībās, kurās audzē ĢM kultūraugus, </w:t>
      </w:r>
      <w:r w:rsidRPr="00DD614C">
        <w:lastRenderedPageBreak/>
        <w:t xml:space="preserve">paātrina pret minētajiem herbicīdiem </w:t>
      </w:r>
      <w:proofErr w:type="spellStart"/>
      <w:r w:rsidRPr="00DD614C">
        <w:t>rezistentu</w:t>
      </w:r>
      <w:proofErr w:type="spellEnd"/>
      <w:r w:rsidRPr="00DD614C">
        <w:t xml:space="preserve"> nezāļu rašanos un izplatību un tādējādi rada vajadzību vēl vairāk izmantot herbicīdus, proti, apburto loku, ko dēvē par "herbicīdu skrejceliņu";</w:t>
      </w:r>
    </w:p>
    <w:p w:rsidR="00D00209" w:rsidRPr="00DD614C" w:rsidRDefault="00D00209" w:rsidP="00D00209">
      <w:pPr>
        <w:pStyle w:val="NormalHanging12a"/>
        <w:tabs>
          <w:tab w:val="left" w:pos="0"/>
        </w:tabs>
        <w:suppressAutoHyphens/>
        <w:rPr>
          <w:szCs w:val="24"/>
        </w:rPr>
      </w:pPr>
      <w:r w:rsidRPr="00DD614C">
        <w:t>I.</w:t>
      </w:r>
      <w:r w:rsidRPr="00DD614C">
        <w:tab/>
        <w:t xml:space="preserve">tā kā negatīvā ietekme, ko rada pārmērīga paļaušanās uz herbicīdiem, pasliktina augsnes veselību, ūdens kvalitāti un </w:t>
      </w:r>
      <w:proofErr w:type="spellStart"/>
      <w:r w:rsidRPr="00DD614C">
        <w:t>biodaudzveidību</w:t>
      </w:r>
      <w:proofErr w:type="spellEnd"/>
      <w:r w:rsidRPr="00DD614C">
        <w:t xml:space="preserve"> augsnē un zem tās, kā arī palielinās iedarbība uz cilvēkiem un dzīvniekiem, iespējams, arī tāpēc, ka lielāks daudzums herbicīdu atlieku nonāk pārtikā un dzīvnieku barībā;</w:t>
      </w:r>
    </w:p>
    <w:p w:rsidR="00D00209" w:rsidRPr="00DD614C" w:rsidRDefault="00D00209" w:rsidP="00D00209">
      <w:pPr>
        <w:pStyle w:val="NormalHanging12a"/>
        <w:tabs>
          <w:tab w:val="left" w:pos="0"/>
        </w:tabs>
        <w:suppressAutoHyphens/>
        <w:rPr>
          <w:szCs w:val="24"/>
        </w:rPr>
      </w:pPr>
      <w:r w:rsidRPr="00DD614C">
        <w:t>J.</w:t>
      </w:r>
      <w:r w:rsidRPr="00DD614C">
        <w:tab/>
        <w:t xml:space="preserve">tā kā tiek uzskatīts, ka novērtējums par ĢM augos konstatētajām herbicīdu atliekām un metabolītiem ir ārpus </w:t>
      </w:r>
      <w:r w:rsidRPr="00DD614C">
        <w:rPr>
          <w:i/>
          <w:iCs/>
        </w:rPr>
        <w:t>EFSA</w:t>
      </w:r>
      <w:r w:rsidRPr="00DD614C">
        <w:t xml:space="preserve"> Ekspertu grupas ģenētiski modificētu organismu jautājumos ("</w:t>
      </w:r>
      <w:r w:rsidRPr="00DD614C">
        <w:rPr>
          <w:i/>
          <w:iCs/>
        </w:rPr>
        <w:t>EFSA</w:t>
      </w:r>
      <w:r w:rsidRPr="00DD614C">
        <w:t xml:space="preserve"> Ekspertu grupa ĢMO jautājumos") kompetences, un tādēļ to neveic kā daļu no ĢMO apstiprināšanas procesa;</w:t>
      </w:r>
    </w:p>
    <w:p w:rsidR="00D00209" w:rsidRPr="00DD614C" w:rsidRDefault="00D00209" w:rsidP="00D00209">
      <w:pPr>
        <w:pStyle w:val="NormalHanging12a"/>
        <w:rPr>
          <w:b/>
          <w:i/>
          <w:szCs w:val="24"/>
        </w:rPr>
      </w:pPr>
      <w:r w:rsidRPr="00DD614C">
        <w:rPr>
          <w:b/>
          <w:i/>
        </w:rPr>
        <w:t xml:space="preserve">Neatbildēti jautājumi par </w:t>
      </w:r>
      <w:proofErr w:type="spellStart"/>
      <w:r w:rsidRPr="00DD614C">
        <w:rPr>
          <w:b/>
          <w:i/>
        </w:rPr>
        <w:t>Bt</w:t>
      </w:r>
      <w:proofErr w:type="spellEnd"/>
      <w:r w:rsidRPr="00DD614C">
        <w:rPr>
          <w:b/>
          <w:i/>
        </w:rPr>
        <w:t> toksīniem</w:t>
      </w:r>
    </w:p>
    <w:p w:rsidR="00D00209" w:rsidRPr="00DD614C" w:rsidRDefault="00D00209" w:rsidP="00D00209">
      <w:pPr>
        <w:pStyle w:val="NormalHanging12a"/>
        <w:tabs>
          <w:tab w:val="left" w:pos="0"/>
        </w:tabs>
        <w:suppressAutoHyphens/>
        <w:rPr>
          <w:szCs w:val="24"/>
        </w:rPr>
      </w:pPr>
      <w:r w:rsidRPr="00DD614C">
        <w:t>K.</w:t>
      </w:r>
      <w:r w:rsidRPr="00DD614C">
        <w:tab/>
        <w:t xml:space="preserve">tā kā vairāki pētījumi liecina, ka ir novērotas blakusparādības, kas </w:t>
      </w:r>
      <w:proofErr w:type="spellStart"/>
      <w:r w:rsidRPr="00DD614C">
        <w:t>Bt</w:t>
      </w:r>
      <w:proofErr w:type="spellEnd"/>
      <w:r w:rsidRPr="00DD614C">
        <w:t xml:space="preserve"> toksīnu iedarbības rezultātā var ietekmēt cilvēka imūnsistēmu, un ka daži </w:t>
      </w:r>
      <w:proofErr w:type="spellStart"/>
      <w:r w:rsidRPr="00DD614C">
        <w:t>Bt</w:t>
      </w:r>
      <w:proofErr w:type="spellEnd"/>
      <w:r w:rsidRPr="00DD614C">
        <w:t xml:space="preserve"> toksīni var darboties kā </w:t>
      </w:r>
      <w:proofErr w:type="spellStart"/>
      <w:r w:rsidRPr="00DD614C">
        <w:t>palīgvielas</w:t>
      </w:r>
      <w:proofErr w:type="spellEnd"/>
      <w:r w:rsidRPr="00DD614C">
        <w:rPr>
          <w:rStyle w:val="FootnoteReference"/>
          <w:szCs w:val="24"/>
        </w:rPr>
        <w:footnoteReference w:id="8"/>
      </w:r>
      <w:r w:rsidRPr="00DD614C">
        <w:t>, proti, nonākot saskarē ar citiem proteīniem, tie var palielināt šo proteīnu alerģiskas iedarbības iespējamību;</w:t>
      </w:r>
    </w:p>
    <w:p w:rsidR="00D00209" w:rsidRPr="00DD614C" w:rsidRDefault="00D00209" w:rsidP="00D00209">
      <w:pPr>
        <w:pStyle w:val="NormalHanging12a"/>
        <w:tabs>
          <w:tab w:val="left" w:pos="0"/>
        </w:tabs>
        <w:suppressAutoHyphens/>
        <w:rPr>
          <w:szCs w:val="24"/>
        </w:rPr>
      </w:pPr>
      <w:r w:rsidRPr="00DD614C">
        <w:t>L.</w:t>
      </w:r>
      <w:r w:rsidRPr="00DD614C">
        <w:tab/>
        <w:t xml:space="preserve">tā kā zinātniskā pētījumā tika atklāts, ka </w:t>
      </w:r>
      <w:proofErr w:type="spellStart"/>
      <w:r w:rsidRPr="00DD614C">
        <w:t>Bt</w:t>
      </w:r>
      <w:proofErr w:type="spellEnd"/>
      <w:r w:rsidRPr="00DD614C">
        <w:t xml:space="preserve"> toksīnu toksiskumu var pastiprināt arī mijiedarbība ar atliekām, kas radušās no izsmidzināšanas ar herbicīdiem, un ka ir vajadzīgi turpmāki pētījumi par transformācijas notikumu kombinēto iedarbību (ĢM kultūras, kas pārveidotas tā, lai būtu tolerantas pret herbicīdiem un ražotu insekticīdus </w:t>
      </w:r>
      <w:proofErr w:type="spellStart"/>
      <w:r w:rsidRPr="00DD614C">
        <w:t>Bt</w:t>
      </w:r>
      <w:proofErr w:type="spellEnd"/>
      <w:r w:rsidRPr="00DD614C">
        <w:t> toksīnu veidā)</w:t>
      </w:r>
      <w:r w:rsidRPr="00DD614C">
        <w:rPr>
          <w:rStyle w:val="FootnoteReference"/>
          <w:szCs w:val="24"/>
        </w:rPr>
        <w:footnoteReference w:id="9"/>
      </w:r>
      <w:r w:rsidRPr="00DD614C">
        <w:t xml:space="preserve">; tā kā tomēr tiek uzskatīts, ka herbicīdu atlieku un to metabolītu potenciālās mijiedarbības ar </w:t>
      </w:r>
      <w:proofErr w:type="spellStart"/>
      <w:r w:rsidRPr="00DD614C">
        <w:t>Bt</w:t>
      </w:r>
      <w:proofErr w:type="spellEnd"/>
      <w:r w:rsidRPr="00DD614C">
        <w:t xml:space="preserve"> toksīniem novērtēšana neietilpst </w:t>
      </w:r>
      <w:r w:rsidRPr="00DD614C">
        <w:rPr>
          <w:i/>
          <w:iCs/>
        </w:rPr>
        <w:t>EFSA</w:t>
      </w:r>
      <w:r w:rsidRPr="00DD614C">
        <w:t xml:space="preserve"> Ekspertu grupas ĢMO jautājumos kompetencē, un tāpēc tā netiek veikta kā daļa no riska novērtējuma;</w:t>
      </w:r>
    </w:p>
    <w:p w:rsidR="00D00209" w:rsidRPr="00DD614C" w:rsidRDefault="00D00209" w:rsidP="00D00209">
      <w:pPr>
        <w:pStyle w:val="NormalHanging12a"/>
        <w:rPr>
          <w:b/>
          <w:i/>
          <w:szCs w:val="24"/>
        </w:rPr>
      </w:pPr>
      <w:proofErr w:type="spellStart"/>
      <w:r w:rsidRPr="00DD614C">
        <w:rPr>
          <w:b/>
          <w:i/>
        </w:rPr>
        <w:t>Bt</w:t>
      </w:r>
      <w:proofErr w:type="spellEnd"/>
      <w:r w:rsidRPr="00DD614C">
        <w:rPr>
          <w:b/>
          <w:i/>
        </w:rPr>
        <w:t xml:space="preserve"> kultūras: ietekme uz </w:t>
      </w:r>
      <w:proofErr w:type="spellStart"/>
      <w:r w:rsidRPr="00DD614C">
        <w:rPr>
          <w:b/>
          <w:i/>
        </w:rPr>
        <w:t>blakussugu</w:t>
      </w:r>
      <w:proofErr w:type="spellEnd"/>
      <w:r w:rsidRPr="00DD614C">
        <w:rPr>
          <w:b/>
          <w:i/>
        </w:rPr>
        <w:t xml:space="preserve"> organismiem</w:t>
      </w:r>
    </w:p>
    <w:p w:rsidR="00D00209" w:rsidRPr="00DD614C" w:rsidRDefault="00D00209" w:rsidP="00D00209">
      <w:pPr>
        <w:pStyle w:val="NormalHanging12a"/>
        <w:tabs>
          <w:tab w:val="left" w:pos="0"/>
        </w:tabs>
        <w:suppressAutoHyphens/>
        <w:rPr>
          <w:szCs w:val="24"/>
        </w:rPr>
      </w:pPr>
      <w:r w:rsidRPr="00DD614C">
        <w:t>M.</w:t>
      </w:r>
      <w:r w:rsidRPr="00DD614C">
        <w:tab/>
        <w:t xml:space="preserve">tā kā atšķirībā no insekticīdu lietošanas, ja iedarbība notiek izsmidzināšanas laikā un ierobežotu laiku pēc tās, </w:t>
      </w:r>
      <w:proofErr w:type="spellStart"/>
      <w:r w:rsidRPr="00DD614C">
        <w:t>Bt</w:t>
      </w:r>
      <w:proofErr w:type="spellEnd"/>
      <w:r w:rsidRPr="00DD614C">
        <w:t xml:space="preserve"> ĢM kultūraugu izmantošana izraisa pastāvīgu </w:t>
      </w:r>
      <w:proofErr w:type="spellStart"/>
      <w:r w:rsidRPr="00DD614C">
        <w:t>Bt</w:t>
      </w:r>
      <w:proofErr w:type="spellEnd"/>
      <w:r w:rsidRPr="00DD614C">
        <w:t xml:space="preserve"> toksīnu iedarbību uz mērķa organismiem un </w:t>
      </w:r>
      <w:proofErr w:type="spellStart"/>
      <w:r w:rsidRPr="00DD614C">
        <w:t>blakussugu</w:t>
      </w:r>
      <w:proofErr w:type="spellEnd"/>
      <w:r w:rsidRPr="00DD614C">
        <w:t xml:space="preserve"> organismiem;</w:t>
      </w:r>
    </w:p>
    <w:p w:rsidR="00D00209" w:rsidRPr="00DD614C" w:rsidRDefault="00D00209" w:rsidP="00D00209">
      <w:pPr>
        <w:pStyle w:val="NormalHanging12a"/>
        <w:tabs>
          <w:tab w:val="left" w:pos="0"/>
        </w:tabs>
        <w:suppressAutoHyphens/>
        <w:rPr>
          <w:szCs w:val="24"/>
        </w:rPr>
      </w:pPr>
      <w:r w:rsidRPr="00DD614C">
        <w:t>N.</w:t>
      </w:r>
      <w:r w:rsidRPr="00DD614C">
        <w:tab/>
        <w:t xml:space="preserve">tā kā pieņēmumu, ka </w:t>
      </w:r>
      <w:proofErr w:type="spellStart"/>
      <w:r w:rsidRPr="00DD614C">
        <w:t>Bt</w:t>
      </w:r>
      <w:proofErr w:type="spellEnd"/>
      <w:r w:rsidRPr="00DD614C">
        <w:t xml:space="preserve"> toksīniem ir vienots, tikai mērķa organismus ietekmējošs iedarbības veids, vairs nevar uzskatīt par pareizu un nevar izslēgt ietekmi uz </w:t>
      </w:r>
      <w:proofErr w:type="spellStart"/>
      <w:r w:rsidRPr="00DD614C">
        <w:t>blakussugu</w:t>
      </w:r>
      <w:proofErr w:type="spellEnd"/>
      <w:r w:rsidRPr="00DD614C">
        <w:t xml:space="preserve"> organismiem; tā kā tiek ziņots par dažādu ietekmi uz aizvien lielāku skaitu </w:t>
      </w:r>
      <w:proofErr w:type="spellStart"/>
      <w:r w:rsidRPr="00DD614C">
        <w:t>blakussugu</w:t>
      </w:r>
      <w:proofErr w:type="spellEnd"/>
      <w:r w:rsidRPr="00DD614C">
        <w:t xml:space="preserve"> organismu;</w:t>
      </w:r>
    </w:p>
    <w:p w:rsidR="00D00209" w:rsidRPr="00DD614C" w:rsidRDefault="00D00209" w:rsidP="00D00209">
      <w:pPr>
        <w:pStyle w:val="NormalHanging12a"/>
        <w:rPr>
          <w:b/>
          <w:i/>
          <w:szCs w:val="24"/>
        </w:rPr>
      </w:pPr>
      <w:r w:rsidRPr="00DD614C">
        <w:rPr>
          <w:b/>
          <w:i/>
        </w:rPr>
        <w:t>Dalībvalstu un ieinteresēto personu komentāri</w:t>
      </w:r>
    </w:p>
    <w:p w:rsidR="00D00209" w:rsidRPr="00DD614C" w:rsidRDefault="00D00209" w:rsidP="00D00209">
      <w:pPr>
        <w:pStyle w:val="NormalHanging12a"/>
        <w:tabs>
          <w:tab w:val="left" w:pos="0"/>
        </w:tabs>
        <w:suppressAutoHyphens/>
        <w:rPr>
          <w:szCs w:val="24"/>
        </w:rPr>
      </w:pPr>
      <w:r w:rsidRPr="00DD614C">
        <w:t>O.</w:t>
      </w:r>
      <w:r w:rsidRPr="00DD614C">
        <w:tab/>
        <w:t xml:space="preserve">tā kā dalībvalstis trīs mēnešu apspriešanās periodā </w:t>
      </w:r>
      <w:r w:rsidRPr="00DD614C">
        <w:rPr>
          <w:i/>
          <w:iCs/>
        </w:rPr>
        <w:t>EFSA</w:t>
      </w:r>
      <w:r w:rsidRPr="00DD614C">
        <w:t xml:space="preserve"> iesniedza daudzas kritiskas </w:t>
      </w:r>
      <w:r w:rsidRPr="00DD614C">
        <w:lastRenderedPageBreak/>
        <w:t>piezīmes</w:t>
      </w:r>
      <w:r w:rsidRPr="00DD614C">
        <w:rPr>
          <w:rStyle w:val="FootnoteReference"/>
          <w:szCs w:val="24"/>
        </w:rPr>
        <w:footnoteReference w:id="10"/>
      </w:r>
      <w:r w:rsidRPr="00DD614C">
        <w:t xml:space="preserve">, arī par to, ka attiecīgo pētījumu sarakstā, kas norādīts pieteikuma iesniedzēja literatūras pārskatā, nav iekļauti pētījumi par </w:t>
      </w:r>
      <w:proofErr w:type="spellStart"/>
      <w:r w:rsidRPr="00DD614C">
        <w:t>Bt</w:t>
      </w:r>
      <w:proofErr w:type="spellEnd"/>
      <w:r w:rsidRPr="00DD614C">
        <w:t xml:space="preserve"> proteīnu apriti vidē vai par </w:t>
      </w:r>
      <w:proofErr w:type="spellStart"/>
      <w:r w:rsidRPr="00DD614C">
        <w:t>Bt</w:t>
      </w:r>
      <w:proofErr w:type="spellEnd"/>
      <w:r w:rsidRPr="00DD614C">
        <w:t xml:space="preserve"> kultūru atlieku iespējamo ietekmi uz </w:t>
      </w:r>
      <w:proofErr w:type="spellStart"/>
      <w:r w:rsidRPr="00DD614C">
        <w:t>blakussugu</w:t>
      </w:r>
      <w:proofErr w:type="spellEnd"/>
      <w:r w:rsidRPr="00DD614C">
        <w:t xml:space="preserve"> organismiem, lai gan šādi pētījumi pastāv; </w:t>
      </w:r>
    </w:p>
    <w:p w:rsidR="00D00209" w:rsidRPr="00DD614C" w:rsidRDefault="00D00209" w:rsidP="00D00209">
      <w:pPr>
        <w:pStyle w:val="NormalHanging12a"/>
        <w:tabs>
          <w:tab w:val="left" w:pos="0"/>
        </w:tabs>
        <w:suppressAutoHyphens/>
        <w:rPr>
          <w:szCs w:val="24"/>
        </w:rPr>
      </w:pPr>
      <w:bookmarkStart w:id="7" w:name="_GoBack_Copy_1"/>
      <w:bookmarkEnd w:id="7"/>
      <w:r w:rsidRPr="00DD614C">
        <w:t>P.</w:t>
      </w:r>
      <w:r w:rsidRPr="00DD614C">
        <w:tab/>
        <w:t xml:space="preserve">tā kā </w:t>
      </w:r>
      <w:proofErr w:type="spellStart"/>
      <w:r w:rsidRPr="00DD614C">
        <w:t>laukizmēģinājumos</w:t>
      </w:r>
      <w:proofErr w:type="spellEnd"/>
      <w:r w:rsidRPr="00DD614C">
        <w:t>, kas veikti, lai analizētu ĢM kukurūzas sastāvu un fenotipu, nav ņemti vērā dažādi vides apstākļi un ģenētiskais fons, kas ir būtiski tās audzēšanai, jo īpaši tādās valstīs kā Brazīlija;</w:t>
      </w:r>
    </w:p>
    <w:p w:rsidR="00D00209" w:rsidRPr="00DD614C" w:rsidRDefault="00D00209" w:rsidP="00D00209">
      <w:pPr>
        <w:pStyle w:val="NormalHanging12a"/>
        <w:tabs>
          <w:tab w:val="left" w:pos="0"/>
        </w:tabs>
        <w:suppressAutoHyphens/>
        <w:rPr>
          <w:szCs w:val="24"/>
        </w:rPr>
      </w:pPr>
      <w:r w:rsidRPr="00DD614C">
        <w:t>Q.</w:t>
      </w:r>
      <w:r w:rsidRPr="00DD614C">
        <w:tab/>
        <w:t>tā kā Cry1B.34 toksiskuma novērtējumā nav ņemta vērā augu sastāvdaļu vai izmantoto herbicīdu atlieku kopējā ietekme;</w:t>
      </w:r>
    </w:p>
    <w:p w:rsidR="00D00209" w:rsidRPr="00DD614C" w:rsidRDefault="00D00209" w:rsidP="00D00209">
      <w:pPr>
        <w:pStyle w:val="NormalHanging12a"/>
        <w:tabs>
          <w:tab w:val="left" w:pos="0"/>
        </w:tabs>
        <w:suppressAutoHyphens/>
        <w:rPr>
          <w:szCs w:val="24"/>
        </w:rPr>
      </w:pPr>
      <w:r w:rsidRPr="00DD614C">
        <w:t>R.</w:t>
      </w:r>
      <w:r w:rsidRPr="00DD614C">
        <w:tab/>
        <w:t xml:space="preserve">tā kā komplementārais herbicīds </w:t>
      </w:r>
      <w:proofErr w:type="spellStart"/>
      <w:r w:rsidRPr="00DD614C">
        <w:t>glufozināts</w:t>
      </w:r>
      <w:proofErr w:type="spellEnd"/>
      <w:r w:rsidRPr="00DD614C">
        <w:t xml:space="preserve"> ir saistīts ar ievērojamu risku </w:t>
      </w:r>
      <w:proofErr w:type="spellStart"/>
      <w:r w:rsidRPr="00DD614C">
        <w:t>biodaudzveidībai</w:t>
      </w:r>
      <w:proofErr w:type="spellEnd"/>
      <w:r w:rsidRPr="00DD614C">
        <w:t>, augsnes un ūdens kvalitātei, kā arī ekosistēmas ilgtermiņa veselībai;</w:t>
      </w:r>
    </w:p>
    <w:p w:rsidR="00D00209" w:rsidRPr="00DD614C" w:rsidRDefault="00D00209" w:rsidP="00D00209">
      <w:pPr>
        <w:pStyle w:val="NormalHanging12a"/>
        <w:tabs>
          <w:tab w:val="left" w:pos="0"/>
        </w:tabs>
        <w:suppressAutoHyphens/>
        <w:rPr>
          <w:szCs w:val="24"/>
        </w:rPr>
      </w:pPr>
      <w:r w:rsidRPr="00DD614C">
        <w:t>S.</w:t>
      </w:r>
      <w:r w:rsidRPr="00DD614C">
        <w:tab/>
        <w:t xml:space="preserve">tā kā gēnu sajaukšanās risks ar radniecīgiem savvaļas augiem, piemēram, </w:t>
      </w:r>
      <w:proofErr w:type="spellStart"/>
      <w:r w:rsidRPr="00DD614C">
        <w:t>teosinti</w:t>
      </w:r>
      <w:proofErr w:type="spellEnd"/>
      <w:r w:rsidRPr="00DD614C">
        <w:t xml:space="preserve">, par ko ziņots Spānijā un Francijā, rada bažas par </w:t>
      </w:r>
      <w:proofErr w:type="spellStart"/>
      <w:r w:rsidRPr="00DD614C">
        <w:t>transgēnu</w:t>
      </w:r>
      <w:proofErr w:type="spellEnd"/>
      <w:r w:rsidRPr="00DD614C">
        <w:t xml:space="preserve"> noturību un ietekmi uz vidi;</w:t>
      </w:r>
    </w:p>
    <w:p w:rsidR="00D00209" w:rsidRPr="00DD614C" w:rsidRDefault="00D00209" w:rsidP="00D00209">
      <w:pPr>
        <w:pStyle w:val="NormalHanging12a"/>
        <w:tabs>
          <w:tab w:val="left" w:pos="0"/>
        </w:tabs>
        <w:suppressAutoHyphens/>
        <w:rPr>
          <w:szCs w:val="24"/>
        </w:rPr>
      </w:pPr>
      <w:r w:rsidRPr="00DD614C">
        <w:t>T.</w:t>
      </w:r>
      <w:r w:rsidRPr="00DD614C">
        <w:tab/>
        <w:t>tā kā Īstenošanas regulā (ES) Nr. 503/2013 paredzētās monitoringa prasības nav pienācīgi īstenotas, jo nav veikta neatkarīga datu pārbaude;</w:t>
      </w:r>
    </w:p>
    <w:p w:rsidR="00D00209" w:rsidRPr="00DD614C" w:rsidRDefault="00D00209" w:rsidP="002546BD">
      <w:pPr>
        <w:pStyle w:val="NormalHanging12a"/>
        <w:ind w:left="0" w:firstLine="0"/>
        <w:rPr>
          <w:b/>
          <w:i/>
          <w:szCs w:val="24"/>
        </w:rPr>
      </w:pPr>
      <w:r w:rsidRPr="00DD614C">
        <w:rPr>
          <w:b/>
          <w:i/>
        </w:rPr>
        <w:t>Vienlīdzīgu konkurences apstākļu nodrošināšana visā pasaulē un Savienības starptautisko saistību ievērošana</w:t>
      </w:r>
    </w:p>
    <w:p w:rsidR="00D00209" w:rsidRPr="00DD614C" w:rsidRDefault="00D00209" w:rsidP="00D00209">
      <w:pPr>
        <w:pStyle w:val="NormalHanging12a"/>
        <w:tabs>
          <w:tab w:val="left" w:pos="0"/>
        </w:tabs>
        <w:suppressAutoHyphens/>
        <w:rPr>
          <w:szCs w:val="24"/>
        </w:rPr>
      </w:pPr>
      <w:r w:rsidRPr="00DD614C">
        <w:t>U.</w:t>
      </w:r>
      <w:r w:rsidRPr="00DD614C">
        <w:tab/>
        <w:t>tā kā stratēģiskā dialoga par lauksaimniecības nākotni Eiropas Savienībā secinājumos</w:t>
      </w:r>
      <w:r w:rsidRPr="00DD614C">
        <w:rPr>
          <w:vertAlign w:val="superscript"/>
        </w:rPr>
        <w:footnoteReference w:id="11"/>
      </w:r>
      <w:r w:rsidRPr="00DD614C">
        <w:t xml:space="preserve"> Komisija tiek aicināta atkārtoti izvērtēt savu pieeju attiecībā uz tirgus pieejamību lauksaimniecības pārtikas importam un eksportam, ņemot vērā izaicinājumu, ko rada Savienības un tās tirdzniecības partneru atšķirīgie standarti; tā kā taisnīgākas tirdzniecības attiecības globālā līmenī, kas saskan ar veselīgas vides mērķiem, bija viena no galvenajām lauksaimnieku prasībām 2023. un 2024. gada demonstrāciju laikā;</w:t>
      </w:r>
    </w:p>
    <w:p w:rsidR="00D00209" w:rsidRDefault="00D00209" w:rsidP="00D00209">
      <w:pPr>
        <w:pStyle w:val="NormalHanging12a"/>
        <w:tabs>
          <w:tab w:val="left" w:pos="0"/>
        </w:tabs>
        <w:suppressAutoHyphens/>
      </w:pPr>
      <w:r w:rsidRPr="00DD614C">
        <w:t>V.</w:t>
      </w:r>
      <w:r w:rsidRPr="00DD614C">
        <w:tab/>
        <w:t>tā kā ANO īpašā referenta jautājumos par tiesībām uz pārtiku 2017. gada ziņojumā konstatēts, ka jo īpaši jaunattīstības valstīs bīstamiem pesticīdiem ir katastrofāla iedarbība uz veselību</w:t>
      </w:r>
      <w:r w:rsidRPr="00DD614C">
        <w:rPr>
          <w:vertAlign w:val="superscript"/>
        </w:rPr>
        <w:footnoteReference w:id="12"/>
      </w:r>
      <w:r w:rsidRPr="00DD614C">
        <w:t>; tā kā ANO ilgtspējīgas attīstības mērķu ("ANO IAM") 3. mērķa 9. </w:t>
      </w:r>
      <w:proofErr w:type="spellStart"/>
      <w:r w:rsidRPr="00DD614C">
        <w:t>apakšmērķis</w:t>
      </w:r>
      <w:proofErr w:type="spellEnd"/>
      <w:r w:rsidRPr="00DD614C">
        <w:t xml:space="preserve"> paredz līdz 2030. gadam būtiski samazināt tādu nāves gadījumu un slimību skaitu, ko izraisa bīstamas ķīmiskas vielas un gaisa, ūdens un augsnes piesārņojums un kontaminācija</w:t>
      </w:r>
      <w:r w:rsidRPr="00DD614C">
        <w:rPr>
          <w:rStyle w:val="FootnoteReference"/>
          <w:szCs w:val="24"/>
        </w:rPr>
        <w:footnoteReference w:id="13"/>
      </w:r>
      <w:r w:rsidRPr="00DD614C">
        <w:t>;</w:t>
      </w:r>
    </w:p>
    <w:p w:rsidR="002546BD" w:rsidRPr="00DD614C" w:rsidRDefault="002546BD" w:rsidP="00D00209">
      <w:pPr>
        <w:pStyle w:val="NormalHanging12a"/>
        <w:tabs>
          <w:tab w:val="left" w:pos="0"/>
        </w:tabs>
        <w:suppressAutoHyphens/>
        <w:rPr>
          <w:szCs w:val="24"/>
        </w:rPr>
      </w:pPr>
      <w:r>
        <w:rPr>
          <w:szCs w:val="24"/>
        </w:rPr>
        <w:t>W</w:t>
      </w:r>
      <w:r w:rsidRPr="002546BD">
        <w:rPr>
          <w:szCs w:val="24"/>
        </w:rPr>
        <w:t>.</w:t>
      </w:r>
      <w:r w:rsidRPr="002546BD">
        <w:rPr>
          <w:szCs w:val="24"/>
        </w:rPr>
        <w:tab/>
        <w:t xml:space="preserve">tā kā tirdzniecības nolīgums starp ES un </w:t>
      </w:r>
      <w:proofErr w:type="spellStart"/>
      <w:r w:rsidRPr="002546BD">
        <w:rPr>
          <w:szCs w:val="24"/>
        </w:rPr>
        <w:t>Mercosur</w:t>
      </w:r>
      <w:proofErr w:type="spellEnd"/>
      <w:r w:rsidRPr="002546BD">
        <w:rPr>
          <w:szCs w:val="24"/>
        </w:rPr>
        <w:t xml:space="preserve"> stimulēs tādas pārtikas un dzīvnieku barības importu Savienībā, kas satur ģenētiski modificētus organismu</w:t>
      </w:r>
      <w:r>
        <w:rPr>
          <w:szCs w:val="24"/>
        </w:rPr>
        <w:t>s, sastāv vai ir ražota no tiem;</w:t>
      </w:r>
      <w:r w:rsidRPr="002546BD">
        <w:rPr>
          <w:szCs w:val="24"/>
        </w:rPr>
        <w:t xml:space="preserve"> tā kā Brazīlija un Argentīna ir starp pasaulē lielākajiem ĢMO ražotājiem un pesticīdu izmantotājiem, tostarp tādu ĢMO un pesticīdu, kuri Savienībā ir aizliegti </w:t>
      </w:r>
      <w:r w:rsidRPr="002546BD">
        <w:rPr>
          <w:szCs w:val="24"/>
        </w:rPr>
        <w:lastRenderedPageBreak/>
        <w:t xml:space="preserve">veselības vai vides apsvērumu dēļ; </w:t>
      </w:r>
    </w:p>
    <w:p w:rsidR="00D00209" w:rsidRPr="00DD614C" w:rsidRDefault="002546BD" w:rsidP="00D00209">
      <w:pPr>
        <w:pStyle w:val="NormalHanging12a"/>
        <w:tabs>
          <w:tab w:val="left" w:pos="0"/>
        </w:tabs>
        <w:suppressAutoHyphens/>
        <w:rPr>
          <w:szCs w:val="24"/>
        </w:rPr>
      </w:pPr>
      <w:r>
        <w:t>X</w:t>
      </w:r>
      <w:r w:rsidR="00D00209" w:rsidRPr="00DD614C">
        <w:t>.</w:t>
      </w:r>
      <w:r w:rsidR="00D00209" w:rsidRPr="00DD614C">
        <w:tab/>
        <w:t xml:space="preserve">tā kā </w:t>
      </w:r>
      <w:proofErr w:type="spellStart"/>
      <w:r w:rsidR="00D00209" w:rsidRPr="00DD614C">
        <w:t>Kuņminas</w:t>
      </w:r>
      <w:proofErr w:type="spellEnd"/>
      <w:r w:rsidR="00D00209" w:rsidRPr="00DD614C">
        <w:t xml:space="preserve">–Monreālas globālais </w:t>
      </w:r>
      <w:proofErr w:type="spellStart"/>
      <w:r w:rsidR="00D00209" w:rsidRPr="00DD614C">
        <w:t>biodaudzveidības</w:t>
      </w:r>
      <w:proofErr w:type="spellEnd"/>
      <w:r w:rsidR="00D00209" w:rsidRPr="00DD614C">
        <w:t xml:space="preserve"> satvars, par ko 2022. gada decembrī vienojās ANO Konvencijas par bioloģisko daudzveidību ("ANO KBD") Pušu konferences 15. sesijā, ietver globālu mērķi līdz 2030. gadam vismaz par 50 % samazināt pesticīdu radīto apdraudējumu</w:t>
      </w:r>
      <w:r w:rsidR="00D00209" w:rsidRPr="00DD614C">
        <w:rPr>
          <w:vertAlign w:val="superscript"/>
        </w:rPr>
        <w:footnoteReference w:id="14"/>
      </w:r>
      <w:r w:rsidR="00D00209" w:rsidRPr="00DD614C">
        <w:t>;</w:t>
      </w:r>
    </w:p>
    <w:p w:rsidR="00D00209" w:rsidRPr="00DD614C" w:rsidRDefault="002546BD" w:rsidP="00D00209">
      <w:pPr>
        <w:pStyle w:val="NormalHanging12a"/>
        <w:tabs>
          <w:tab w:val="left" w:pos="0"/>
        </w:tabs>
        <w:suppressAutoHyphens/>
        <w:rPr>
          <w:szCs w:val="24"/>
        </w:rPr>
      </w:pPr>
      <w:r>
        <w:t>Y</w:t>
      </w:r>
      <w:r w:rsidR="00D00209" w:rsidRPr="00DD614C">
        <w:t>.</w:t>
      </w:r>
      <w:r w:rsidR="00D00209" w:rsidRPr="00DD614C">
        <w:tab/>
        <w:t>tā kā Regulā (EK) Nr. 1829/2003 ir noteikts, ka ĢM pārtika vai dzīvnieku barība nedrīkst nelabvēlīgi ietekmēt cilvēku veselību, dzīvnieku veselību vai vidi un ka Komisijai savu lēmumu izstrādē ir jāņem vērā visi attiecīgie Savienības tiesību aktu noteikumi un citi pamatoti faktori, kas attiecas uz izskatāmo jautājumu; tā kā šādiem pamatotiem faktoriem būtu jāietver Savienības saistības, kas izriet no ANO IAM un ANO KBD;</w:t>
      </w:r>
    </w:p>
    <w:p w:rsidR="00D00209" w:rsidRPr="00DD614C" w:rsidRDefault="00D00209" w:rsidP="00D00209">
      <w:pPr>
        <w:pStyle w:val="NormalHanging12a"/>
        <w:rPr>
          <w:b/>
          <w:i/>
          <w:szCs w:val="24"/>
        </w:rPr>
      </w:pPr>
      <w:r w:rsidRPr="00DD614C">
        <w:rPr>
          <w:b/>
          <w:i/>
        </w:rPr>
        <w:t>Atkarības no importētas barības samazināšana</w:t>
      </w:r>
    </w:p>
    <w:p w:rsidR="00D00209" w:rsidRPr="00DD614C" w:rsidRDefault="002546BD" w:rsidP="00D00209">
      <w:pPr>
        <w:pStyle w:val="NormalHanging12a"/>
        <w:tabs>
          <w:tab w:val="left" w:pos="0"/>
        </w:tabs>
        <w:suppressAutoHyphens/>
        <w:rPr>
          <w:b/>
          <w:i/>
          <w:szCs w:val="24"/>
        </w:rPr>
      </w:pPr>
      <w:r>
        <w:t>Z</w:t>
      </w:r>
      <w:r w:rsidR="00D00209" w:rsidRPr="00DD614C">
        <w:t>.</w:t>
      </w:r>
      <w:r w:rsidR="00D00209" w:rsidRPr="00DD614C">
        <w:tab/>
        <w:t xml:space="preserve">tā kā viena no atziņām, kas gūta no Covid-19 krīzes un joprojām notiekošā kara Ukrainā, ir tāda, ka Savienībai ir jāizbeidz atkarība no atsevišķām kritiski svarīgām izejvielām; tā kā komisāram Kristofam </w:t>
      </w:r>
      <w:proofErr w:type="spellStart"/>
      <w:r w:rsidR="00D00209" w:rsidRPr="00DD614C">
        <w:t>Hansenam</w:t>
      </w:r>
      <w:proofErr w:type="spellEnd"/>
      <w:r w:rsidR="00D00209" w:rsidRPr="00DD614C">
        <w:t xml:space="preserve"> adresētajā pilnvarojuma vēstulē Komisijas priekšsēdētāja Urzula fon der </w:t>
      </w:r>
      <w:proofErr w:type="spellStart"/>
      <w:r w:rsidR="00D00209" w:rsidRPr="00DD614C">
        <w:t>Leiena</w:t>
      </w:r>
      <w:proofErr w:type="spellEnd"/>
      <w:r w:rsidR="00D00209" w:rsidRPr="00DD614C">
        <w:t xml:space="preserve"> aicina viņu meklēt veidus, kā samazināt kritiski svarīgu preču importu</w:t>
      </w:r>
      <w:r w:rsidR="00D00209" w:rsidRPr="00DD614C">
        <w:rPr>
          <w:rStyle w:val="FootnoteReference"/>
          <w:szCs w:val="24"/>
        </w:rPr>
        <w:footnoteReference w:id="15"/>
      </w:r>
      <w:r w:rsidR="00D00209" w:rsidRPr="00DD614C">
        <w:t xml:space="preserve">; </w:t>
      </w:r>
    </w:p>
    <w:p w:rsidR="00D00209" w:rsidRPr="00DD614C" w:rsidRDefault="00D00209" w:rsidP="00D00209">
      <w:pPr>
        <w:pStyle w:val="NormalHanging12a"/>
        <w:rPr>
          <w:b/>
          <w:i/>
          <w:szCs w:val="24"/>
        </w:rPr>
      </w:pPr>
      <w:r w:rsidRPr="00DD614C">
        <w:rPr>
          <w:b/>
          <w:i/>
        </w:rPr>
        <w:t>Nedemokrātiska lēmumu pieņemšana</w:t>
      </w:r>
    </w:p>
    <w:p w:rsidR="00D00209" w:rsidRPr="00DD614C" w:rsidRDefault="002546BD" w:rsidP="00D00209">
      <w:pPr>
        <w:pStyle w:val="NormalHanging12a"/>
        <w:tabs>
          <w:tab w:val="left" w:pos="0"/>
        </w:tabs>
        <w:suppressAutoHyphens/>
        <w:rPr>
          <w:szCs w:val="24"/>
        </w:rPr>
      </w:pPr>
      <w:r>
        <w:t>AA</w:t>
      </w:r>
      <w:r w:rsidR="00D00209" w:rsidRPr="00DD614C">
        <w:t>.</w:t>
      </w:r>
      <w:r w:rsidR="00D00209" w:rsidRPr="00DD614C">
        <w:tab/>
        <w:t xml:space="preserve">tā kā Parlaments astotajā </w:t>
      </w:r>
      <w:proofErr w:type="spellStart"/>
      <w:r w:rsidR="00D00209" w:rsidRPr="00DD614C">
        <w:t>sasaukumā</w:t>
      </w:r>
      <w:proofErr w:type="spellEnd"/>
      <w:r w:rsidR="00D00209" w:rsidRPr="00DD614C">
        <w:t xml:space="preserve"> kopumā pieņēma 36 rezolūcijas, kurās iebilda pret tādu ĢMO laišanu tirgū, kas paredzēti izmantošanai pārtikā un dzīvnieku barībā (33 rezolūcijas), un pret ĢMO audzēšanu Savienībā (trīs rezolūcijas); tā kā Parlaments devītajā </w:t>
      </w:r>
      <w:proofErr w:type="spellStart"/>
      <w:r w:rsidR="00D00209" w:rsidRPr="00DD614C">
        <w:t>sasaukumā</w:t>
      </w:r>
      <w:proofErr w:type="spellEnd"/>
      <w:r w:rsidR="00D00209" w:rsidRPr="00DD614C">
        <w:t xml:space="preserve"> pieņēma 38 rezolūcijas, kurās iebilda pret ĢMO laišanu tirgū, un pašreizējā desmitajā </w:t>
      </w:r>
      <w:proofErr w:type="spellStart"/>
      <w:r w:rsidR="00D00209" w:rsidRPr="00DD614C">
        <w:t>sasaukumā</w:t>
      </w:r>
      <w:proofErr w:type="spellEnd"/>
      <w:r w:rsidR="00D00209" w:rsidRPr="00DD614C">
        <w:t xml:space="preserve"> jau ir pieņēmis vēl astoņas rezolūcijas, kurās iebilst pret ĢMO laišanu tirgū;</w:t>
      </w:r>
    </w:p>
    <w:p w:rsidR="00D00209" w:rsidRPr="00DD614C" w:rsidRDefault="00D00209" w:rsidP="00D00209">
      <w:pPr>
        <w:pStyle w:val="NormalHanging12a"/>
        <w:tabs>
          <w:tab w:val="left" w:pos="0"/>
        </w:tabs>
        <w:suppressAutoHyphens/>
        <w:rPr>
          <w:szCs w:val="24"/>
        </w:rPr>
      </w:pPr>
      <w:r w:rsidRPr="00DD614C">
        <w:t>A</w:t>
      </w:r>
      <w:r w:rsidR="002546BD">
        <w:t>B</w:t>
      </w:r>
      <w:r w:rsidRPr="00DD614C">
        <w:t>.</w:t>
      </w:r>
      <w:r w:rsidRPr="00DD614C">
        <w:tab/>
        <w:t>tā kā Komisija turpina piešķirt atļaujas ĢMO, neraugoties uz pašas atzītajām nepilnībām demokrātiskā lēmumu pieņemšanas procesā, dalībvalstu atbalsta trūkumu un Parlamenta iebildumiem;</w:t>
      </w:r>
    </w:p>
    <w:p w:rsidR="00D00209" w:rsidRPr="00DD614C" w:rsidRDefault="00D00209" w:rsidP="00D00209">
      <w:pPr>
        <w:pStyle w:val="NormalHanging12a"/>
        <w:tabs>
          <w:tab w:val="left" w:pos="0"/>
        </w:tabs>
        <w:suppressAutoHyphens/>
        <w:rPr>
          <w:szCs w:val="24"/>
        </w:rPr>
      </w:pPr>
      <w:r w:rsidRPr="00DD614C">
        <w:t>A</w:t>
      </w:r>
      <w:r w:rsidR="002546BD">
        <w:t>C</w:t>
      </w:r>
      <w:r w:rsidRPr="00DD614C">
        <w:t>.</w:t>
      </w:r>
      <w:r w:rsidRPr="00DD614C">
        <w:tab/>
        <w:t>tā kā nav vajadzīgas izmaiņas tiesību aktos, lai Komisija varētu nepiešķirt atļaujas ĢMO gadījumos, kad ar dalībvalstu kvalificētu balsu vairākumu nav sniegts pozitīvs atzinums Pārsūdzības komitejā</w:t>
      </w:r>
      <w:r w:rsidRPr="00DD614C">
        <w:rPr>
          <w:rStyle w:val="FootnoteReference"/>
          <w:szCs w:val="24"/>
        </w:rPr>
        <w:footnoteReference w:id="16"/>
      </w:r>
      <w:r w:rsidRPr="00DD614C">
        <w:t>;</w:t>
      </w:r>
    </w:p>
    <w:p w:rsidR="00D00209" w:rsidRPr="00DD614C" w:rsidRDefault="00D00209" w:rsidP="00D00209">
      <w:pPr>
        <w:suppressAutoHyphens/>
        <w:spacing w:after="240"/>
        <w:ind w:left="567" w:hanging="567"/>
        <w:rPr>
          <w:szCs w:val="24"/>
          <w:shd w:val="clear" w:color="auto" w:fill="FFFFFF"/>
        </w:rPr>
      </w:pPr>
      <w:r w:rsidRPr="00DD614C">
        <w:t>A</w:t>
      </w:r>
      <w:r w:rsidR="002546BD">
        <w:t>D</w:t>
      </w:r>
      <w:bookmarkStart w:id="8" w:name="_GoBack"/>
      <w:bookmarkEnd w:id="8"/>
      <w:r w:rsidRPr="00DD614C">
        <w:t>.</w:t>
      </w:r>
      <w:r w:rsidRPr="00DD614C">
        <w:tab/>
      </w:r>
      <w:r w:rsidRPr="00DD614C">
        <w:rPr>
          <w:shd w:val="clear" w:color="auto" w:fill="FFFFFF"/>
        </w:rPr>
        <w:t>tā kā Augu, dzīvnieku, pārtikas aprites un dzīvnieku barības pastāvīgā komiteja, kas minēta Regulas (EK) Nr. 1829/2003 35. pantā, 2024. gada 22. novembra balsojumā nolēma atzinumu nesniegt un tas nozīmē, ka atļaujai nav dalībvalstu kvalificēta balsu vairākuma atbalsta; tā kā arī Pārsūdzības komitejas 2024. gada 17. decembra balsojumā atzinums netika sniegts,</w:t>
      </w:r>
    </w:p>
    <w:p w:rsidR="00D00209" w:rsidRPr="00DD614C" w:rsidRDefault="00D00209" w:rsidP="00D00209">
      <w:pPr>
        <w:pStyle w:val="NormalHanging12a"/>
        <w:rPr>
          <w:szCs w:val="24"/>
        </w:rPr>
      </w:pPr>
      <w:r w:rsidRPr="00DD614C">
        <w:t>1.</w:t>
      </w:r>
      <w:r w:rsidRPr="00DD614C">
        <w:tab/>
        <w:t xml:space="preserve">uzskata, ka Komisijas īstenošanas lēmuma projekts pārsniedz Regulā (EK) </w:t>
      </w:r>
      <w:r w:rsidRPr="00DD614C">
        <w:lastRenderedPageBreak/>
        <w:t>Nr. 1829/2003 paredzētās īstenošanas pilnvaras;</w:t>
      </w:r>
    </w:p>
    <w:p w:rsidR="00D00209" w:rsidRPr="00DD614C" w:rsidRDefault="00D00209" w:rsidP="00D00209">
      <w:pPr>
        <w:pStyle w:val="NormalHanging12a"/>
        <w:rPr>
          <w:szCs w:val="24"/>
        </w:rPr>
      </w:pPr>
      <w:r w:rsidRPr="00DD614C">
        <w:t>2.</w:t>
      </w:r>
      <w:r w:rsidRPr="00DD614C">
        <w:tab/>
        <w:t>uzskata, ka Komisijas īstenošanas lēmuma projekts neatbilst Savienības tiesību normām, jo nav savienojams ar Regulas (EK) Nr. 1829/2003 mērķi, kas saskaņā ar Eiropas Parlamenta un Padomes Regulā (EK) Nr. 178/2002</w:t>
      </w:r>
      <w:r w:rsidRPr="00DD614C">
        <w:rPr>
          <w:rStyle w:val="FootnoteReference"/>
          <w:szCs w:val="24"/>
        </w:rPr>
        <w:footnoteReference w:id="17"/>
      </w:r>
      <w:r w:rsidRPr="00DD614C">
        <w:t xml:space="preserve"> paredzētajiem vispārīgajiem principiem ir nodrošināt pamatu, lai garantētu cilvēku dzīvības un veselības, dzīvnieku veselības un labturības, vides un patērētāju interešu augsta līmeņa aizsardzību saistībā ar ĢM pārtiku un dzīvnieku barību, vienlaikus nodrošinot efektīvu iekšējā tirgus darbību;</w:t>
      </w:r>
    </w:p>
    <w:p w:rsidR="00D00209" w:rsidRPr="00DD614C" w:rsidRDefault="00D00209" w:rsidP="00D00209">
      <w:pPr>
        <w:pStyle w:val="NormalHanging12a"/>
        <w:rPr>
          <w:szCs w:val="24"/>
        </w:rPr>
      </w:pPr>
      <w:r w:rsidRPr="00DD614C">
        <w:t>3.</w:t>
      </w:r>
      <w:r w:rsidRPr="00DD614C">
        <w:tab/>
        <w:t>prasa Komisijai atsaukt īstenošanas lēmuma projektu un iesniegt komitejai jaunu projektu;</w:t>
      </w:r>
    </w:p>
    <w:p w:rsidR="00D00209" w:rsidRPr="00DD614C" w:rsidRDefault="00D00209" w:rsidP="00D00209">
      <w:pPr>
        <w:pStyle w:val="NormalHanging12a"/>
        <w:rPr>
          <w:szCs w:val="24"/>
        </w:rPr>
      </w:pPr>
      <w:r w:rsidRPr="00DD614C">
        <w:t>4.</w:t>
      </w:r>
      <w:r w:rsidRPr="00DD614C">
        <w:tab/>
        <w:t>aicina Komisiju sarunās par brīvās tirdzniecības nolīgumiem nodrošināt standartu konverģenci starp Savienību un tās partneriem, lai panāktu atbilstību Savienības drošības standartiem;</w:t>
      </w:r>
    </w:p>
    <w:p w:rsidR="00D00209" w:rsidRPr="00DD614C" w:rsidRDefault="00D00209" w:rsidP="00D00209">
      <w:pPr>
        <w:pStyle w:val="NormalHanging12a"/>
        <w:rPr>
          <w:szCs w:val="24"/>
        </w:rPr>
      </w:pPr>
      <w:r w:rsidRPr="00DD614C">
        <w:t>5.</w:t>
      </w:r>
      <w:r w:rsidRPr="00DD614C">
        <w:tab/>
        <w:t xml:space="preserve">aicina Komisiju atbilstīgi pieejai "Viena veselība" nepiešķirt atļauju ĢM kukurūzai, jo pastāv lielāks risks </w:t>
      </w:r>
      <w:proofErr w:type="spellStart"/>
      <w:r w:rsidRPr="00DD614C">
        <w:t>biodaudzveidībai</w:t>
      </w:r>
      <w:proofErr w:type="spellEnd"/>
      <w:r w:rsidRPr="00DD614C">
        <w:t>, pārtikas nekaitīgumam un dara ņēmēju veselībai;</w:t>
      </w:r>
    </w:p>
    <w:p w:rsidR="00D00209" w:rsidRPr="00DD614C" w:rsidRDefault="00D00209" w:rsidP="00D00209">
      <w:pPr>
        <w:pStyle w:val="NormalHanging12a"/>
        <w:rPr>
          <w:szCs w:val="24"/>
        </w:rPr>
      </w:pPr>
      <w:r w:rsidRPr="00DD614C">
        <w:t>6.</w:t>
      </w:r>
      <w:r w:rsidRPr="00DD614C">
        <w:tab/>
        <w:t>sagaida, ka Komisija steidzami pildīs savu apņemšanos</w:t>
      </w:r>
      <w:r w:rsidRPr="00DD614C">
        <w:rPr>
          <w:rStyle w:val="FootnoteReference"/>
          <w:szCs w:val="24"/>
        </w:rPr>
        <w:footnoteReference w:id="18"/>
      </w:r>
      <w:r w:rsidRPr="00DD614C">
        <w:t xml:space="preserve"> nākt klajā ar priekšlikumu, kas nodrošinātu, ka bīstamās ķīmiskās vielas, kuras ir aizliegtas Savienībā, netiek ražotas eksportam;</w:t>
      </w:r>
    </w:p>
    <w:p w:rsidR="00D00209" w:rsidRPr="00DD614C" w:rsidRDefault="00D00209" w:rsidP="00D00209">
      <w:pPr>
        <w:pStyle w:val="NormalHanging12a"/>
        <w:rPr>
          <w:szCs w:val="24"/>
        </w:rPr>
      </w:pPr>
      <w:r w:rsidRPr="00DD614C">
        <w:t>7.</w:t>
      </w:r>
      <w:r w:rsidRPr="00DD614C">
        <w:tab/>
        <w:t>atzinīgi vērtē to, ka Komisija 2020. gada 11. septembra vēstulē deputātiem beidzot atzina, ka ĢMO atļauju piešķiršanas lēmumos ir jāņem vērā ilgtspēja</w:t>
      </w:r>
      <w:r w:rsidRPr="00DD614C">
        <w:rPr>
          <w:rStyle w:val="FootnoteReference"/>
          <w:szCs w:val="24"/>
        </w:rPr>
        <w:footnoteReference w:id="19"/>
      </w:r>
      <w:r w:rsidRPr="00DD614C">
        <w:t>; tomēr pauž dziļu vilšanos, jo kopš tā laika Komisija ir turpinājusi piešķirt atļaujas ĢMO importam Savienībā, lai gan Parlaments turpina pret to iebilst un vairākums dalībvalstu balso pret šādu atļauju piešķiršanu;</w:t>
      </w:r>
    </w:p>
    <w:p w:rsidR="00D00209" w:rsidRPr="00DD614C" w:rsidRDefault="00D00209" w:rsidP="00D00209">
      <w:pPr>
        <w:pStyle w:val="NormalHanging12a"/>
      </w:pPr>
      <w:r w:rsidRPr="00DD614C">
        <w:t>8.</w:t>
      </w:r>
      <w:r w:rsidRPr="00DD614C">
        <w:tab/>
        <w:t>atkārtoti mudina Komisiju ņemt vērā Savienības saistības saskaņā ar starptautiskiem nolīgumiem, piemēram, Parīzes klimata nolīgumu, ANO Konvenciju par bioloģisko daudzveidību un ANO ilgtspējīgas attīstības mērķiem; atkārtoti prasa īstenošanas aktu projektiem pievienot paskaidrojuma rakstu, kurā būtu paskaidrots, kā minētie akti atbalsta principu "nekaitēt"</w:t>
      </w:r>
      <w:r w:rsidRPr="00DD614C">
        <w:rPr>
          <w:rStyle w:val="FootnoteReference"/>
          <w:szCs w:val="24"/>
        </w:rPr>
        <w:footnoteReference w:id="20"/>
      </w:r>
      <w:r w:rsidRPr="00DD614C">
        <w:t xml:space="preserve">; </w:t>
      </w:r>
    </w:p>
    <w:p w:rsidR="00DD614C" w:rsidRPr="00DD614C" w:rsidRDefault="00D00209" w:rsidP="00DD614C">
      <w:pPr>
        <w:pStyle w:val="NormalHanging12a"/>
      </w:pPr>
      <w:r w:rsidRPr="00DD614C">
        <w:t>9.</w:t>
      </w:r>
      <w:r w:rsidRPr="00DD614C">
        <w:tab/>
        <w:t>uzdod priekšsēdētājai šo rezolūciju nosūtīt Padomei un Komisijai, kā arī dalībvalstu valdībām un parlamentiem.</w:t>
      </w:r>
    </w:p>
    <w:p w:rsidR="00E365E1" w:rsidRPr="00DD614C" w:rsidRDefault="00E365E1" w:rsidP="006C597C"/>
    <w:sectPr w:rsidR="00E365E1" w:rsidRPr="00DD614C" w:rsidSect="00DD61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97C" w:rsidRPr="00DD614C" w:rsidRDefault="006C597C">
      <w:r w:rsidRPr="00DD614C">
        <w:separator/>
      </w:r>
    </w:p>
  </w:endnote>
  <w:endnote w:type="continuationSeparator" w:id="0">
    <w:p w:rsidR="006C597C" w:rsidRPr="00DD614C" w:rsidRDefault="006C597C">
      <w:r w:rsidRPr="00DD61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1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1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1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97C" w:rsidRPr="00DD614C" w:rsidRDefault="006C597C">
      <w:r w:rsidRPr="00DD614C">
        <w:separator/>
      </w:r>
    </w:p>
  </w:footnote>
  <w:footnote w:type="continuationSeparator" w:id="0">
    <w:p w:rsidR="006C597C" w:rsidRPr="00DD614C" w:rsidRDefault="006C597C">
      <w:r w:rsidRPr="00DD614C">
        <w:continuationSeparator/>
      </w:r>
    </w:p>
  </w:footnote>
  <w:footnote w:id="1">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OV L 268, 18.10.2003., 1. lpp., ELI:</w:t>
      </w:r>
      <w:r w:rsidRPr="00DD614C">
        <w:rPr>
          <w:color w:val="000000" w:themeColor="text1"/>
          <w:sz w:val="24"/>
          <w:lang w:val="lv-LV"/>
        </w:rPr>
        <w:t> </w:t>
      </w:r>
      <w:r w:rsidR="002546BD">
        <w:fldChar w:fldCharType="begin"/>
      </w:r>
      <w:r w:rsidR="002546BD" w:rsidRPr="002546BD">
        <w:rPr>
          <w:lang w:val="sv-SE"/>
        </w:rPr>
        <w:instrText xml:space="preserve"> HYPERLINK "http://data.europa.eu/eli/reg/2003/1829/oj" \t "Gives access to this document through its ELI URI." </w:instrText>
      </w:r>
      <w:r w:rsidR="002546BD">
        <w:fldChar w:fldCharType="separate"/>
      </w:r>
      <w:r w:rsidRPr="00DD614C">
        <w:rPr>
          <w:rStyle w:val="Hyperlink"/>
          <w:color w:val="000000" w:themeColor="text1"/>
          <w:sz w:val="24"/>
          <w:lang w:val="lv-LV"/>
        </w:rPr>
        <w:t>http://data.europa.eu/eli/reg/2003/1829/oj</w:t>
      </w:r>
      <w:r w:rsidR="002546BD">
        <w:rPr>
          <w:rStyle w:val="Hyperlink"/>
          <w:color w:val="000000" w:themeColor="text1"/>
          <w:sz w:val="24"/>
          <w:lang w:val="lv-LV"/>
        </w:rPr>
        <w:fldChar w:fldCharType="end"/>
      </w:r>
      <w:r w:rsidRPr="00DD614C">
        <w:rPr>
          <w:color w:val="000000" w:themeColor="text1"/>
          <w:sz w:val="24"/>
          <w:lang w:val="lv-LV"/>
        </w:rPr>
        <w:t>.</w:t>
      </w:r>
    </w:p>
  </w:footnote>
  <w:footnote w:id="2">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OV L 55, 28.2.2011., 13. lpp., ELI:</w:t>
      </w:r>
      <w:r w:rsidRPr="00DD614C">
        <w:rPr>
          <w:color w:val="000000" w:themeColor="text1"/>
          <w:sz w:val="24"/>
          <w:lang w:val="lv-LV"/>
        </w:rPr>
        <w:t> </w:t>
      </w:r>
      <w:r w:rsidR="002546BD">
        <w:fldChar w:fldCharType="begin"/>
      </w:r>
      <w:r w:rsidR="002546BD" w:rsidRPr="002546BD">
        <w:rPr>
          <w:lang w:val="sv-SE"/>
        </w:rPr>
        <w:instrText xml:space="preserve"> HYPERLINK "http://data.europ</w:instrText>
      </w:r>
      <w:r w:rsidR="002546BD" w:rsidRPr="002546BD">
        <w:rPr>
          <w:lang w:val="sv-SE"/>
        </w:rPr>
        <w:instrText xml:space="preserve">a.eu/eli/reg/2011/182/oj" \t "Gives access to this document through its ELI URI." </w:instrText>
      </w:r>
      <w:r w:rsidR="002546BD">
        <w:fldChar w:fldCharType="separate"/>
      </w:r>
      <w:r w:rsidRPr="00DD614C">
        <w:rPr>
          <w:rStyle w:val="Hyperlink"/>
          <w:color w:val="000000" w:themeColor="text1"/>
          <w:sz w:val="24"/>
          <w:lang w:val="lv-LV"/>
        </w:rPr>
        <w:t>http://data.europa.eu/eli/reg/2011/182/oj</w:t>
      </w:r>
      <w:r w:rsidR="002546BD">
        <w:rPr>
          <w:rStyle w:val="Hyperlink"/>
          <w:color w:val="000000" w:themeColor="text1"/>
          <w:sz w:val="24"/>
          <w:lang w:val="lv-LV"/>
        </w:rPr>
        <w:fldChar w:fldCharType="end"/>
      </w:r>
      <w:r w:rsidRPr="00DD614C">
        <w:rPr>
          <w:color w:val="000000" w:themeColor="text1"/>
          <w:sz w:val="24"/>
          <w:lang w:val="lv-LV"/>
        </w:rPr>
        <w:t>.</w:t>
      </w:r>
    </w:p>
  </w:footnote>
  <w:footnote w:id="3">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i/>
          <w:iCs/>
          <w:color w:val="000000" w:themeColor="text1"/>
          <w:sz w:val="24"/>
          <w:lang w:val="lv-LV"/>
        </w:rPr>
        <w:t xml:space="preserve"> </w:t>
      </w:r>
      <w:r w:rsidR="00DD614C" w:rsidRPr="00DD614C">
        <w:rPr>
          <w:i/>
          <w:iCs/>
          <w:color w:val="000000" w:themeColor="text1"/>
          <w:sz w:val="24"/>
          <w:lang w:val="lv-LV"/>
        </w:rPr>
        <w:tab/>
      </w:r>
      <w:r w:rsidRPr="00DD614C">
        <w:rPr>
          <w:i/>
          <w:iCs/>
          <w:color w:val="000000" w:themeColor="text1"/>
          <w:sz w:val="24"/>
          <w:lang w:val="lv-LV"/>
        </w:rPr>
        <w:t>EFSA</w:t>
      </w:r>
      <w:r w:rsidRPr="00DD614C">
        <w:rPr>
          <w:color w:val="000000" w:themeColor="text1"/>
          <w:sz w:val="24"/>
          <w:lang w:val="lv-LV"/>
        </w:rPr>
        <w:t xml:space="preserve"> Ekspertu grupas ģenētiski modificētu organismu jautājumos zinātniskais atzinums par dokumentu "</w:t>
      </w:r>
      <w:proofErr w:type="spellStart"/>
      <w:r w:rsidRPr="00DD614C">
        <w:rPr>
          <w:i/>
          <w:iCs/>
          <w:color w:val="000000" w:themeColor="text1"/>
          <w:sz w:val="24"/>
          <w:lang w:val="lv-LV"/>
        </w:rPr>
        <w:t>Assessment</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of</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genetically</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modified</w:t>
      </w:r>
      <w:proofErr w:type="spellEnd"/>
      <w:r w:rsidRPr="00DD614C">
        <w:rPr>
          <w:i/>
          <w:iCs/>
          <w:color w:val="000000" w:themeColor="text1"/>
          <w:sz w:val="24"/>
          <w:lang w:val="lv-LV"/>
        </w:rPr>
        <w:t xml:space="preserve"> maize DP910521 (</w:t>
      </w:r>
      <w:proofErr w:type="spellStart"/>
      <w:r w:rsidRPr="00DD614C">
        <w:rPr>
          <w:i/>
          <w:iCs/>
          <w:color w:val="000000" w:themeColor="text1"/>
          <w:sz w:val="24"/>
          <w:lang w:val="lv-LV"/>
        </w:rPr>
        <w:t>application</w:t>
      </w:r>
      <w:proofErr w:type="spellEnd"/>
      <w:r w:rsidRPr="00DD614C">
        <w:rPr>
          <w:i/>
          <w:iCs/>
          <w:color w:val="000000" w:themeColor="text1"/>
          <w:sz w:val="24"/>
          <w:lang w:val="lv-LV"/>
        </w:rPr>
        <w:t xml:space="preserve"> GMFF-2021-2473)</w:t>
      </w:r>
      <w:r w:rsidRPr="00DD614C">
        <w:rPr>
          <w:color w:val="000000" w:themeColor="text1"/>
          <w:sz w:val="24"/>
          <w:lang w:val="lv-LV"/>
        </w:rPr>
        <w:t xml:space="preserve">", </w:t>
      </w:r>
      <w:r w:rsidRPr="00DD614C">
        <w:rPr>
          <w:i/>
          <w:iCs/>
          <w:color w:val="000000" w:themeColor="text1"/>
          <w:sz w:val="24"/>
          <w:lang w:val="lv-LV"/>
        </w:rPr>
        <w:t>EFSA</w:t>
      </w:r>
      <w:r w:rsidRPr="00DD614C">
        <w:rPr>
          <w:color w:val="000000" w:themeColor="text1"/>
          <w:sz w:val="24"/>
          <w:lang w:val="lv-LV"/>
        </w:rPr>
        <w:t xml:space="preserve"> Vēstnesis 2024;22(8):e8887, </w:t>
      </w:r>
      <w:r w:rsidR="002546BD">
        <w:fldChar w:fldCharType="begin"/>
      </w:r>
      <w:r w:rsidR="002546BD" w:rsidRPr="002546BD">
        <w:rPr>
          <w:lang w:val="lv-LV"/>
        </w:rPr>
        <w:instrText xml:space="preserve"> HYPERLINK "https://doi.org/10.2903/j.efsa.2024.8887" </w:instrText>
      </w:r>
      <w:r w:rsidR="002546BD">
        <w:fldChar w:fldCharType="separate"/>
      </w:r>
      <w:r w:rsidRPr="003D1B92">
        <w:rPr>
          <w:rStyle w:val="Hyperlink"/>
          <w:color w:val="000000" w:themeColor="text1"/>
          <w:sz w:val="24"/>
          <w:u w:val="none"/>
          <w:lang w:val="lv-LV"/>
        </w:rPr>
        <w:t>https://doi.org/10.2903/j.efsa.2024.8887</w:t>
      </w:r>
      <w:r w:rsidR="002546BD">
        <w:rPr>
          <w:rStyle w:val="Hyperlink"/>
          <w:color w:val="000000" w:themeColor="text1"/>
          <w:sz w:val="24"/>
          <w:u w:val="none"/>
          <w:lang w:val="lv-LV"/>
        </w:rPr>
        <w:fldChar w:fldCharType="end"/>
      </w:r>
      <w:r w:rsidRPr="00DD614C">
        <w:rPr>
          <w:color w:val="000000" w:themeColor="text1"/>
          <w:sz w:val="24"/>
          <w:lang w:val="lv-LV"/>
        </w:rPr>
        <w:t xml:space="preserve">. </w:t>
      </w:r>
    </w:p>
  </w:footnote>
  <w:footnote w:id="4">
    <w:p w:rsidR="00D00209" w:rsidRPr="00DD614C" w:rsidRDefault="00D00209" w:rsidP="00DD614C">
      <w:pPr>
        <w:pStyle w:val="FootnoteText"/>
        <w:ind w:left="567" w:hanging="567"/>
        <w:rPr>
          <w:color w:val="000000" w:themeColor="text1"/>
          <w:sz w:val="24"/>
          <w:vertAlign w:val="superscript"/>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 xml:space="preserve">Parlaments astotajā </w:t>
      </w:r>
      <w:proofErr w:type="spellStart"/>
      <w:r w:rsidRPr="00DD614C">
        <w:rPr>
          <w:sz w:val="24"/>
          <w:lang w:val="lv-LV"/>
        </w:rPr>
        <w:t>sasaukumā</w:t>
      </w:r>
      <w:proofErr w:type="spellEnd"/>
      <w:r w:rsidRPr="00DD614C">
        <w:rPr>
          <w:sz w:val="24"/>
          <w:lang w:val="lv-LV"/>
        </w:rPr>
        <w:t xml:space="preserve"> pieņēma 36 rezolūcijas un devītajā </w:t>
      </w:r>
      <w:proofErr w:type="spellStart"/>
      <w:r w:rsidRPr="00DD614C">
        <w:rPr>
          <w:sz w:val="24"/>
          <w:lang w:val="lv-LV"/>
        </w:rPr>
        <w:t>sasaukumā</w:t>
      </w:r>
      <w:proofErr w:type="spellEnd"/>
      <w:r w:rsidRPr="00DD614C">
        <w:rPr>
          <w:sz w:val="24"/>
          <w:lang w:val="lv-LV"/>
        </w:rPr>
        <w:t> — 38 rezolūcijas, ar ko iebilda pret atļauju izmantot ĢMO.</w:t>
      </w:r>
      <w:r w:rsidRPr="00DD614C">
        <w:rPr>
          <w:color w:val="000000" w:themeColor="text1"/>
          <w:sz w:val="24"/>
          <w:lang w:val="lv-LV"/>
        </w:rPr>
        <w:t xml:space="preserve"> Turklāt desmitajā </w:t>
      </w:r>
      <w:proofErr w:type="spellStart"/>
      <w:r w:rsidRPr="00DD614C">
        <w:rPr>
          <w:color w:val="000000" w:themeColor="text1"/>
          <w:sz w:val="24"/>
          <w:lang w:val="lv-LV"/>
        </w:rPr>
        <w:t>sasaukumā</w:t>
      </w:r>
      <w:proofErr w:type="spellEnd"/>
      <w:r w:rsidRPr="00DD614C">
        <w:rPr>
          <w:color w:val="000000" w:themeColor="text1"/>
          <w:sz w:val="24"/>
          <w:lang w:val="lv-LV"/>
        </w:rPr>
        <w:t xml:space="preserve"> Parlaments ir pieņēmis šādas rezolūcijas:</w:t>
      </w:r>
    </w:p>
    <w:p w:rsidR="00D00209" w:rsidRPr="00DD614C" w:rsidRDefault="00DD614C" w:rsidP="00DD614C">
      <w:pPr>
        <w:pStyle w:val="FootnoteText"/>
        <w:ind w:left="567" w:hanging="567"/>
        <w:rPr>
          <w:color w:val="000000" w:themeColor="text1"/>
          <w:sz w:val="24"/>
          <w:vertAlign w:val="superscript"/>
          <w:lang w:val="lv-LV"/>
        </w:rPr>
      </w:pPr>
      <w:r w:rsidRPr="00DD614C">
        <w:rPr>
          <w:color w:val="000000" w:themeColor="text1"/>
          <w:sz w:val="24"/>
          <w:lang w:val="lv-LV"/>
        </w:rPr>
        <w:t xml:space="preserve"> </w:t>
      </w:r>
      <w:r w:rsidRPr="00DD614C">
        <w:rPr>
          <w:color w:val="000000" w:themeColor="text1"/>
          <w:sz w:val="24"/>
          <w:lang w:val="lv-LV"/>
        </w:rPr>
        <w:tab/>
      </w:r>
      <w:r w:rsidR="00D00209" w:rsidRPr="00DD614C">
        <w:rPr>
          <w:color w:val="000000" w:themeColor="text1"/>
          <w:sz w:val="24"/>
          <w:lang w:val="lv-LV"/>
        </w:rPr>
        <w:t>–</w:t>
      </w:r>
      <w:r w:rsidR="00D00209" w:rsidRPr="00DD614C">
        <w:rPr>
          <w:color w:val="000000" w:themeColor="text1"/>
          <w:sz w:val="24"/>
          <w:lang w:val="lv-LV"/>
        </w:rPr>
        <w:tab/>
        <w:t>Eiropas Parlamenta 2024. gada 26. novembra rezolūcija par projektu Komisijas Īstenošanas lēmumam (ES) 2024/2628, ar kuru atbilstoši Eiropas Parlamenta un Padomes Regulai (EK) Nr. 1829/2003 atjauno atļauju laist tirgū produktus, kas satur ģenētiski modificētu kukurūzu MON 89034 × 1507 × NK603, sastāv vai ir ražoti no tās (P10_TA(2024)0038);</w:t>
      </w:r>
    </w:p>
    <w:p w:rsidR="00D00209" w:rsidRPr="00DD614C" w:rsidRDefault="00DD614C" w:rsidP="00DD614C">
      <w:pPr>
        <w:pStyle w:val="FootnoteText"/>
        <w:ind w:left="567" w:hanging="567"/>
        <w:rPr>
          <w:color w:val="000000" w:themeColor="text1"/>
          <w:sz w:val="24"/>
          <w:vertAlign w:val="superscript"/>
          <w:lang w:val="lv-LV"/>
        </w:rPr>
      </w:pPr>
      <w:r w:rsidRPr="00DD614C">
        <w:rPr>
          <w:color w:val="000000" w:themeColor="text1"/>
          <w:sz w:val="24"/>
          <w:lang w:val="lv-LV"/>
        </w:rPr>
        <w:t xml:space="preserve"> </w:t>
      </w:r>
      <w:r w:rsidRPr="00DD614C">
        <w:rPr>
          <w:color w:val="000000" w:themeColor="text1"/>
          <w:sz w:val="24"/>
          <w:lang w:val="lv-LV"/>
        </w:rPr>
        <w:tab/>
      </w:r>
      <w:r w:rsidR="00D00209" w:rsidRPr="00DD614C">
        <w:rPr>
          <w:color w:val="000000" w:themeColor="text1"/>
          <w:sz w:val="24"/>
          <w:lang w:val="lv-LV"/>
        </w:rPr>
        <w:t>–</w:t>
      </w:r>
      <w:r w:rsidR="00D00209" w:rsidRPr="00DD614C">
        <w:rPr>
          <w:color w:val="000000" w:themeColor="text1"/>
          <w:sz w:val="24"/>
          <w:lang w:val="lv-LV"/>
        </w:rPr>
        <w:tab/>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(P10_TA(2024)0039);</w:t>
      </w:r>
    </w:p>
    <w:p w:rsidR="00D00209" w:rsidRPr="00DD614C" w:rsidRDefault="00DD614C" w:rsidP="00DD614C">
      <w:pPr>
        <w:pStyle w:val="FootnoteText"/>
        <w:ind w:left="567" w:hanging="567"/>
        <w:rPr>
          <w:color w:val="000000" w:themeColor="text1"/>
          <w:sz w:val="24"/>
          <w:vertAlign w:val="superscript"/>
          <w:lang w:val="lv-LV"/>
        </w:rPr>
      </w:pPr>
      <w:r w:rsidRPr="00DD614C">
        <w:rPr>
          <w:color w:val="000000" w:themeColor="text1"/>
          <w:sz w:val="24"/>
          <w:lang w:val="lv-LV"/>
        </w:rPr>
        <w:t xml:space="preserve"> </w:t>
      </w:r>
      <w:r w:rsidRPr="00DD614C">
        <w:rPr>
          <w:color w:val="000000" w:themeColor="text1"/>
          <w:sz w:val="24"/>
          <w:lang w:val="lv-LV"/>
        </w:rPr>
        <w:tab/>
      </w:r>
      <w:r w:rsidR="00D00209" w:rsidRPr="00DD614C">
        <w:rPr>
          <w:color w:val="000000" w:themeColor="text1"/>
          <w:sz w:val="24"/>
          <w:lang w:val="lv-LV"/>
        </w:rPr>
        <w:t>–</w:t>
      </w:r>
      <w:r w:rsidR="00D00209" w:rsidRPr="00DD614C">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w:t>
      </w:r>
      <w:proofErr w:type="spellStart"/>
      <w:r w:rsidR="00D00209" w:rsidRPr="00DD614C">
        <w:rPr>
          <w:color w:val="000000" w:themeColor="text1"/>
          <w:sz w:val="24"/>
          <w:lang w:val="lv-LV"/>
        </w:rPr>
        <w:t>apakškombinācijas</w:t>
      </w:r>
      <w:proofErr w:type="spellEnd"/>
      <w:r w:rsidR="00D00209" w:rsidRPr="00DD614C">
        <w:rPr>
          <w:color w:val="000000" w:themeColor="text1"/>
          <w:sz w:val="24"/>
          <w:lang w:val="lv-LV"/>
        </w:rPr>
        <w:t>, sastāv vai ir ražoti no tām (P10_TA(2024)0040);</w:t>
      </w:r>
    </w:p>
    <w:p w:rsidR="00D00209" w:rsidRPr="00DD614C" w:rsidRDefault="00DD614C" w:rsidP="00DD614C">
      <w:pPr>
        <w:pStyle w:val="FootnoteText"/>
        <w:ind w:left="567" w:hanging="567"/>
        <w:rPr>
          <w:color w:val="000000" w:themeColor="text1"/>
          <w:sz w:val="24"/>
          <w:vertAlign w:val="superscript"/>
          <w:lang w:val="lv-LV"/>
        </w:rPr>
      </w:pPr>
      <w:r w:rsidRPr="00DD614C">
        <w:rPr>
          <w:color w:val="000000" w:themeColor="text1"/>
          <w:sz w:val="24"/>
          <w:lang w:val="lv-LV"/>
        </w:rPr>
        <w:t xml:space="preserve"> </w:t>
      </w:r>
      <w:r w:rsidRPr="00DD614C">
        <w:rPr>
          <w:color w:val="000000" w:themeColor="text1"/>
          <w:sz w:val="24"/>
          <w:lang w:val="lv-LV"/>
        </w:rPr>
        <w:tab/>
      </w:r>
      <w:r w:rsidR="00D00209" w:rsidRPr="00DD614C">
        <w:rPr>
          <w:color w:val="000000" w:themeColor="text1"/>
          <w:sz w:val="24"/>
          <w:lang w:val="lv-LV"/>
        </w:rPr>
        <w:t>–</w:t>
      </w:r>
      <w:r w:rsidR="00D00209" w:rsidRPr="00DD614C">
        <w:rPr>
          <w:color w:val="000000" w:themeColor="text1"/>
          <w:sz w:val="24"/>
          <w:lang w:val="lv-LV"/>
        </w:rPr>
        <w:tab/>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(P10_TA(2024)0041);</w:t>
      </w:r>
    </w:p>
    <w:p w:rsidR="00D00209" w:rsidRPr="00DD614C" w:rsidRDefault="00DD614C" w:rsidP="00DD614C">
      <w:pPr>
        <w:pStyle w:val="FootnoteText"/>
        <w:ind w:left="567" w:hanging="567"/>
        <w:rPr>
          <w:color w:val="000000" w:themeColor="text1"/>
          <w:sz w:val="24"/>
          <w:vertAlign w:val="superscript"/>
          <w:lang w:val="lv-LV"/>
        </w:rPr>
      </w:pPr>
      <w:r w:rsidRPr="00DD614C">
        <w:rPr>
          <w:color w:val="000000" w:themeColor="text1"/>
          <w:sz w:val="24"/>
          <w:lang w:val="lv-LV"/>
        </w:rPr>
        <w:t xml:space="preserve"> </w:t>
      </w:r>
      <w:r w:rsidRPr="00DD614C">
        <w:rPr>
          <w:color w:val="000000" w:themeColor="text1"/>
          <w:sz w:val="24"/>
          <w:lang w:val="lv-LV"/>
        </w:rPr>
        <w:tab/>
      </w:r>
      <w:r w:rsidR="00D00209" w:rsidRPr="00DD614C">
        <w:rPr>
          <w:color w:val="000000" w:themeColor="text1"/>
          <w:sz w:val="24"/>
          <w:lang w:val="lv-LV"/>
        </w:rPr>
        <w:t>–</w:t>
      </w:r>
      <w:r w:rsidR="00D00209" w:rsidRPr="00DD614C">
        <w:rPr>
          <w:color w:val="000000" w:themeColor="text1"/>
          <w:sz w:val="24"/>
          <w:lang w:val="lv-LV"/>
        </w:rPr>
        <w:tab/>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(P10_TA(2024)0042);</w:t>
      </w:r>
    </w:p>
    <w:p w:rsidR="00D00209" w:rsidRPr="00DD614C" w:rsidRDefault="00DD614C" w:rsidP="00DD614C">
      <w:pPr>
        <w:pStyle w:val="FootnoteText"/>
        <w:ind w:left="567" w:hanging="567"/>
        <w:rPr>
          <w:color w:val="000000" w:themeColor="text1"/>
          <w:sz w:val="24"/>
          <w:vertAlign w:val="superscript"/>
          <w:lang w:val="lv-LV"/>
        </w:rPr>
      </w:pPr>
      <w:r w:rsidRPr="00DD614C">
        <w:rPr>
          <w:color w:val="000000" w:themeColor="text1"/>
          <w:sz w:val="24"/>
          <w:lang w:val="lv-LV"/>
        </w:rPr>
        <w:t xml:space="preserve"> </w:t>
      </w:r>
      <w:r w:rsidRPr="00DD614C">
        <w:rPr>
          <w:color w:val="000000" w:themeColor="text1"/>
          <w:sz w:val="24"/>
          <w:lang w:val="lv-LV"/>
        </w:rPr>
        <w:tab/>
      </w:r>
      <w:r w:rsidR="00D00209" w:rsidRPr="00DD614C">
        <w:rPr>
          <w:color w:val="000000" w:themeColor="text1"/>
          <w:sz w:val="24"/>
          <w:lang w:val="lv-LV"/>
        </w:rPr>
        <w:t>–</w:t>
      </w:r>
      <w:r w:rsidR="00D00209" w:rsidRPr="00DD614C">
        <w:rPr>
          <w:color w:val="000000" w:themeColor="text1"/>
          <w:sz w:val="24"/>
          <w:lang w:val="lv-LV"/>
        </w:rPr>
        <w:tab/>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(P10_TA(2024)0043);</w:t>
      </w:r>
    </w:p>
    <w:p w:rsidR="00D00209" w:rsidRPr="00DD614C" w:rsidRDefault="00DD614C" w:rsidP="00DD614C">
      <w:pPr>
        <w:pStyle w:val="FootnoteText"/>
        <w:ind w:left="567" w:hanging="567"/>
        <w:rPr>
          <w:color w:val="000000" w:themeColor="text1"/>
          <w:sz w:val="24"/>
          <w:vertAlign w:val="superscript"/>
          <w:lang w:val="lv-LV"/>
        </w:rPr>
      </w:pPr>
      <w:r w:rsidRPr="00DD614C">
        <w:rPr>
          <w:color w:val="000000" w:themeColor="text1"/>
          <w:sz w:val="24"/>
          <w:lang w:val="lv-LV"/>
        </w:rPr>
        <w:t xml:space="preserve"> </w:t>
      </w:r>
      <w:r w:rsidRPr="00DD614C">
        <w:rPr>
          <w:color w:val="000000" w:themeColor="text1"/>
          <w:sz w:val="24"/>
          <w:lang w:val="lv-LV"/>
        </w:rPr>
        <w:tab/>
      </w:r>
      <w:r w:rsidR="00D00209" w:rsidRPr="00DD614C">
        <w:rPr>
          <w:color w:val="000000" w:themeColor="text1"/>
          <w:sz w:val="24"/>
          <w:lang w:val="lv-LV"/>
        </w:rPr>
        <w:t>–</w:t>
      </w:r>
      <w:r w:rsidR="00D00209" w:rsidRPr="00DD614C">
        <w:rPr>
          <w:color w:val="000000" w:themeColor="text1"/>
          <w:sz w:val="24"/>
          <w:lang w:val="lv-LV"/>
        </w:rPr>
        <w:tab/>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(P10_TA(2024)0044);</w:t>
      </w:r>
    </w:p>
    <w:p w:rsidR="00D00209" w:rsidRPr="00DD614C" w:rsidRDefault="00DD614C" w:rsidP="00DD614C">
      <w:pPr>
        <w:pStyle w:val="FootnoteText"/>
        <w:ind w:left="567" w:hanging="567"/>
        <w:rPr>
          <w:color w:val="000000" w:themeColor="text1"/>
          <w:sz w:val="24"/>
          <w:lang w:val="lv-LV"/>
        </w:rPr>
      </w:pPr>
      <w:r w:rsidRPr="00DD614C">
        <w:rPr>
          <w:color w:val="000000" w:themeColor="text1"/>
          <w:sz w:val="24"/>
          <w:lang w:val="lv-LV"/>
        </w:rPr>
        <w:t xml:space="preserve"> </w:t>
      </w:r>
      <w:r w:rsidRPr="00DD614C">
        <w:rPr>
          <w:color w:val="000000" w:themeColor="text1"/>
          <w:sz w:val="24"/>
          <w:lang w:val="lv-LV"/>
        </w:rPr>
        <w:tab/>
      </w:r>
      <w:r w:rsidR="00D00209" w:rsidRPr="00DD614C">
        <w:rPr>
          <w:color w:val="000000" w:themeColor="text1"/>
          <w:sz w:val="24"/>
          <w:lang w:val="lv-LV"/>
        </w:rPr>
        <w:t>–</w:t>
      </w:r>
      <w:r w:rsidR="00D00209" w:rsidRPr="00DD614C">
        <w:rPr>
          <w:color w:val="000000" w:themeColor="text1"/>
          <w:sz w:val="24"/>
          <w:lang w:val="lv-LV"/>
        </w:rPr>
        <w:tab/>
        <w:t>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(P10_TA(2024)0045).</w:t>
      </w:r>
    </w:p>
  </w:footnote>
  <w:footnote w:id="5">
    <w:p w:rsidR="00D00209" w:rsidRPr="00DD614C" w:rsidRDefault="00D00209" w:rsidP="00DD614C">
      <w:pPr>
        <w:pStyle w:val="FootnoteText"/>
        <w:ind w:left="567" w:hanging="567"/>
        <w:rPr>
          <w:color w:val="000000" w:themeColor="text1"/>
          <w:sz w:val="24"/>
          <w:lang w:val="lv-LV"/>
        </w:rPr>
      </w:pPr>
      <w:r w:rsidRPr="00DD614C">
        <w:rPr>
          <w:rStyle w:val="FootnoteReference"/>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Eiropas Parlamenta un Padomes Regula (EK) Nr. 1107/2009 (2009. gada 21. oktobris) par augu aizsardzības līdzekļu laišanu tirgū, ar ko atceļ Padomes Direktīvas 79/117/EEK un 91/414/EEK (OV L 309, 24.11.2009., 1. lpp., ELI:</w:t>
      </w:r>
      <w:r w:rsidRPr="00DD614C">
        <w:rPr>
          <w:color w:val="000000" w:themeColor="text1"/>
          <w:sz w:val="24"/>
          <w:lang w:val="lv-LV"/>
        </w:rPr>
        <w:t xml:space="preserve"> </w:t>
      </w:r>
      <w:r w:rsidR="002546BD">
        <w:fldChar w:fldCharType="begin"/>
      </w:r>
      <w:r w:rsidR="002546BD" w:rsidRPr="002546BD">
        <w:rPr>
          <w:lang w:val="lv-LV"/>
        </w:rPr>
        <w:instrText xml:space="preserve"> HYPERLINK </w:instrText>
      </w:r>
      <w:r w:rsidR="002546BD" w:rsidRPr="002546BD">
        <w:rPr>
          <w:lang w:val="lv-LV"/>
        </w:rPr>
        <w:instrText xml:space="preserve">"https://eur-lex.europa.eu/eli/reg/2009/1107/oj" </w:instrText>
      </w:r>
      <w:r w:rsidR="002546BD">
        <w:fldChar w:fldCharType="separate"/>
      </w:r>
      <w:r w:rsidRPr="00DD614C">
        <w:rPr>
          <w:rStyle w:val="Hyperlink"/>
          <w:color w:val="000000" w:themeColor="text1"/>
          <w:sz w:val="24"/>
          <w:lang w:val="lv-LV"/>
        </w:rPr>
        <w:t>https://eur-lex.europa.eu/eli/reg/2009/1107/oj</w:t>
      </w:r>
      <w:r w:rsidR="002546BD">
        <w:rPr>
          <w:rStyle w:val="Hyperlink"/>
          <w:color w:val="000000" w:themeColor="text1"/>
          <w:sz w:val="24"/>
          <w:lang w:val="lv-LV"/>
        </w:rPr>
        <w:fldChar w:fldCharType="end"/>
      </w:r>
      <w:r w:rsidRPr="00DD614C">
        <w:rPr>
          <w:rStyle w:val="Hyperlink"/>
          <w:color w:val="000000" w:themeColor="text1"/>
          <w:sz w:val="24"/>
          <w:lang w:val="lv-LV"/>
        </w:rPr>
        <w:t>).</w:t>
      </w:r>
    </w:p>
  </w:footnote>
  <w:footnote w:id="6">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Komisijas Īstenošanas regula (ES) Nr. 503/2013 (2013. gada 3. aprīlis) par ģenētiski modificētas pārtikas un barības atļauju pieteikumiem saskaņā ar Eiropas Parlamenta un Padomes Regulu (EK) Nr. 1829/2003 un par Komisijas Regulas (EK) Nr. 641/2004 un Komisijas Regulas (EK) Nr. 1981/2006 grozījumiem (OV L 157, 8.6.2013., 1. </w:t>
      </w:r>
      <w:r w:rsidRPr="00DD614C">
        <w:rPr>
          <w:sz w:val="24"/>
          <w:lang w:val="lv-LV"/>
        </w:rPr>
        <w:t>lpp., ELI:</w:t>
      </w:r>
      <w:r w:rsidRPr="00DD614C">
        <w:rPr>
          <w:color w:val="000000" w:themeColor="text1"/>
          <w:sz w:val="24"/>
          <w:lang w:val="lv-LV"/>
        </w:rPr>
        <w:t xml:space="preserve"> </w:t>
      </w:r>
      <w:hyperlink r:id="rId1" w:tgtFrame="Gives access to this document through its ELI URI." w:history="1">
        <w:r w:rsidRPr="002546BD">
          <w:rPr>
            <w:rStyle w:val="Hyperlink"/>
            <w:color w:val="000000" w:themeColor="text1"/>
            <w:sz w:val="24"/>
            <w:u w:val="none"/>
            <w:lang w:val="lv-LV"/>
          </w:rPr>
          <w:t>http://data.europa.eu/eli/reg_impl/2013/503/oj</w:t>
        </w:r>
      </w:hyperlink>
      <w:r w:rsidRPr="00DD614C">
        <w:rPr>
          <w:color w:val="000000" w:themeColor="text1"/>
          <w:sz w:val="24"/>
          <w:lang w:val="lv-LV"/>
        </w:rPr>
        <w:t>).</w:t>
      </w:r>
    </w:p>
  </w:footnote>
  <w:footnote w:id="7">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 xml:space="preserve">Sk., piemēram, </w:t>
      </w:r>
      <w:proofErr w:type="spellStart"/>
      <w:r w:rsidRPr="00DD614C">
        <w:rPr>
          <w:i/>
          <w:iCs/>
          <w:sz w:val="24"/>
          <w:lang w:val="lv-LV"/>
        </w:rPr>
        <w:t>Schulz</w:t>
      </w:r>
      <w:proofErr w:type="spellEnd"/>
      <w:r w:rsidRPr="00DD614C">
        <w:rPr>
          <w:i/>
          <w:iCs/>
          <w:sz w:val="24"/>
          <w:lang w:val="lv-LV"/>
        </w:rPr>
        <w:t xml:space="preserve">, R., </w:t>
      </w:r>
      <w:proofErr w:type="spellStart"/>
      <w:r w:rsidRPr="00DD614C">
        <w:rPr>
          <w:i/>
          <w:iCs/>
          <w:sz w:val="24"/>
          <w:lang w:val="lv-LV"/>
        </w:rPr>
        <w:t>Bub</w:t>
      </w:r>
      <w:proofErr w:type="spellEnd"/>
      <w:r w:rsidRPr="00DD614C">
        <w:rPr>
          <w:i/>
          <w:iCs/>
          <w:sz w:val="24"/>
          <w:lang w:val="lv-LV"/>
        </w:rPr>
        <w:t xml:space="preserve">, S., </w:t>
      </w:r>
      <w:proofErr w:type="spellStart"/>
      <w:r w:rsidRPr="00DD614C">
        <w:rPr>
          <w:i/>
          <w:iCs/>
          <w:sz w:val="24"/>
          <w:lang w:val="lv-LV"/>
        </w:rPr>
        <w:t>Petschick</w:t>
      </w:r>
      <w:proofErr w:type="spellEnd"/>
      <w:r w:rsidRPr="00DD614C">
        <w:rPr>
          <w:i/>
          <w:iCs/>
          <w:sz w:val="24"/>
          <w:lang w:val="lv-LV"/>
        </w:rPr>
        <w:t xml:space="preserve">, L. L., </w:t>
      </w:r>
      <w:proofErr w:type="spellStart"/>
      <w:r w:rsidRPr="00DD614C">
        <w:rPr>
          <w:i/>
          <w:iCs/>
          <w:sz w:val="24"/>
          <w:lang w:val="lv-LV"/>
        </w:rPr>
        <w:t>Stehle</w:t>
      </w:r>
      <w:proofErr w:type="spellEnd"/>
      <w:r w:rsidRPr="00DD614C">
        <w:rPr>
          <w:i/>
          <w:iCs/>
          <w:sz w:val="24"/>
          <w:lang w:val="lv-LV"/>
        </w:rPr>
        <w:t xml:space="preserve">, S., </w:t>
      </w:r>
      <w:proofErr w:type="spellStart"/>
      <w:r w:rsidRPr="00DD614C">
        <w:rPr>
          <w:i/>
          <w:iCs/>
          <w:sz w:val="24"/>
          <w:lang w:val="lv-LV"/>
        </w:rPr>
        <w:t>Wolfram</w:t>
      </w:r>
      <w:proofErr w:type="spellEnd"/>
      <w:r w:rsidRPr="00DD614C">
        <w:rPr>
          <w:i/>
          <w:iCs/>
          <w:sz w:val="24"/>
          <w:lang w:val="lv-LV"/>
        </w:rPr>
        <w:t>, J.</w:t>
      </w:r>
      <w:r w:rsidRPr="00DD614C">
        <w:rPr>
          <w:sz w:val="24"/>
          <w:lang w:val="lv-LV"/>
        </w:rPr>
        <w:t>, "</w:t>
      </w:r>
      <w:proofErr w:type="spellStart"/>
      <w:r w:rsidRPr="00DD614C">
        <w:rPr>
          <w:i/>
          <w:iCs/>
          <w:sz w:val="24"/>
          <w:lang w:val="lv-LV"/>
        </w:rPr>
        <w:t>Applied</w:t>
      </w:r>
      <w:proofErr w:type="spellEnd"/>
      <w:r w:rsidRPr="00DD614C">
        <w:rPr>
          <w:i/>
          <w:iCs/>
          <w:sz w:val="24"/>
          <w:lang w:val="lv-LV"/>
        </w:rPr>
        <w:t xml:space="preserve"> </w:t>
      </w:r>
      <w:proofErr w:type="spellStart"/>
      <w:r w:rsidRPr="00DD614C">
        <w:rPr>
          <w:i/>
          <w:iCs/>
          <w:sz w:val="24"/>
          <w:lang w:val="lv-LV"/>
        </w:rPr>
        <w:t>pesticide</w:t>
      </w:r>
      <w:proofErr w:type="spellEnd"/>
      <w:r w:rsidRPr="00DD614C">
        <w:rPr>
          <w:i/>
          <w:iCs/>
          <w:sz w:val="24"/>
          <w:lang w:val="lv-LV"/>
        </w:rPr>
        <w:t xml:space="preserve"> </w:t>
      </w:r>
      <w:proofErr w:type="spellStart"/>
      <w:r w:rsidRPr="00DD614C">
        <w:rPr>
          <w:i/>
          <w:iCs/>
          <w:sz w:val="24"/>
          <w:lang w:val="lv-LV"/>
        </w:rPr>
        <w:t>toxicity</w:t>
      </w:r>
      <w:proofErr w:type="spellEnd"/>
      <w:r w:rsidRPr="00DD614C">
        <w:rPr>
          <w:i/>
          <w:iCs/>
          <w:sz w:val="24"/>
          <w:lang w:val="lv-LV"/>
        </w:rPr>
        <w:t xml:space="preserve"> </w:t>
      </w:r>
      <w:proofErr w:type="spellStart"/>
      <w:r w:rsidRPr="00DD614C">
        <w:rPr>
          <w:i/>
          <w:iCs/>
          <w:sz w:val="24"/>
          <w:lang w:val="lv-LV"/>
        </w:rPr>
        <w:t>shifts</w:t>
      </w:r>
      <w:proofErr w:type="spellEnd"/>
      <w:r w:rsidRPr="00DD614C">
        <w:rPr>
          <w:i/>
          <w:iCs/>
          <w:sz w:val="24"/>
          <w:lang w:val="lv-LV"/>
        </w:rPr>
        <w:t xml:space="preserve"> </w:t>
      </w:r>
      <w:proofErr w:type="spellStart"/>
      <w:r w:rsidRPr="00DD614C">
        <w:rPr>
          <w:i/>
          <w:iCs/>
          <w:sz w:val="24"/>
          <w:lang w:val="lv-LV"/>
        </w:rPr>
        <w:t>toward</w:t>
      </w:r>
      <w:proofErr w:type="spellEnd"/>
      <w:r w:rsidRPr="00DD614C">
        <w:rPr>
          <w:i/>
          <w:iCs/>
          <w:sz w:val="24"/>
          <w:lang w:val="lv-LV"/>
        </w:rPr>
        <w:t xml:space="preserve"> </w:t>
      </w:r>
      <w:proofErr w:type="spellStart"/>
      <w:r w:rsidRPr="00DD614C">
        <w:rPr>
          <w:i/>
          <w:iCs/>
          <w:sz w:val="24"/>
          <w:lang w:val="lv-LV"/>
        </w:rPr>
        <w:t>plants</w:t>
      </w:r>
      <w:proofErr w:type="spellEnd"/>
      <w:r w:rsidRPr="00DD614C">
        <w:rPr>
          <w:i/>
          <w:iCs/>
          <w:sz w:val="24"/>
          <w:lang w:val="lv-LV"/>
        </w:rPr>
        <w:t xml:space="preserve"> </w:t>
      </w:r>
      <w:proofErr w:type="spellStart"/>
      <w:r w:rsidRPr="00DD614C">
        <w:rPr>
          <w:i/>
          <w:iCs/>
          <w:sz w:val="24"/>
          <w:lang w:val="lv-LV"/>
        </w:rPr>
        <w:t>and</w:t>
      </w:r>
      <w:proofErr w:type="spellEnd"/>
      <w:r w:rsidRPr="00DD614C">
        <w:rPr>
          <w:i/>
          <w:iCs/>
          <w:sz w:val="24"/>
          <w:lang w:val="lv-LV"/>
        </w:rPr>
        <w:t xml:space="preserve"> </w:t>
      </w:r>
      <w:proofErr w:type="spellStart"/>
      <w:r w:rsidRPr="00DD614C">
        <w:rPr>
          <w:i/>
          <w:iCs/>
          <w:sz w:val="24"/>
          <w:lang w:val="lv-LV"/>
        </w:rPr>
        <w:t>invertebrates</w:t>
      </w:r>
      <w:proofErr w:type="spellEnd"/>
      <w:r w:rsidRPr="00DD614C">
        <w:rPr>
          <w:i/>
          <w:iCs/>
          <w:sz w:val="24"/>
          <w:lang w:val="lv-LV"/>
        </w:rPr>
        <w:t xml:space="preserve">, even </w:t>
      </w:r>
      <w:proofErr w:type="spellStart"/>
      <w:r w:rsidRPr="00DD614C">
        <w:rPr>
          <w:i/>
          <w:iCs/>
          <w:sz w:val="24"/>
          <w:lang w:val="lv-LV"/>
        </w:rPr>
        <w:t>in</w:t>
      </w:r>
      <w:proofErr w:type="spellEnd"/>
      <w:r w:rsidRPr="00DD614C">
        <w:rPr>
          <w:i/>
          <w:iCs/>
          <w:sz w:val="24"/>
          <w:lang w:val="lv-LV"/>
        </w:rPr>
        <w:t xml:space="preserve"> GM </w:t>
      </w:r>
      <w:proofErr w:type="spellStart"/>
      <w:r w:rsidRPr="00DD614C">
        <w:rPr>
          <w:i/>
          <w:iCs/>
          <w:sz w:val="24"/>
          <w:lang w:val="lv-LV"/>
        </w:rPr>
        <w:t>crops</w:t>
      </w:r>
      <w:proofErr w:type="spellEnd"/>
      <w:r w:rsidRPr="00DD614C">
        <w:rPr>
          <w:sz w:val="24"/>
          <w:lang w:val="lv-LV"/>
        </w:rPr>
        <w:t xml:space="preserve">", </w:t>
      </w:r>
      <w:proofErr w:type="spellStart"/>
      <w:r w:rsidRPr="00DD614C">
        <w:rPr>
          <w:i/>
          <w:iCs/>
          <w:sz w:val="24"/>
          <w:lang w:val="lv-LV"/>
        </w:rPr>
        <w:t>Science</w:t>
      </w:r>
      <w:proofErr w:type="spellEnd"/>
      <w:r w:rsidRPr="00DD614C">
        <w:rPr>
          <w:sz w:val="24"/>
          <w:lang w:val="lv-LV"/>
        </w:rPr>
        <w:t xml:space="preserve"> 372(6537), 2021, 81.–84. lpp., </w:t>
      </w:r>
      <w:hyperlink r:id="rId2" w:history="1">
        <w:r w:rsidRPr="00DD614C">
          <w:rPr>
            <w:rStyle w:val="Hyperlink"/>
            <w:color w:val="000000" w:themeColor="text1"/>
            <w:sz w:val="24"/>
            <w:lang w:val="lv-LV"/>
          </w:rPr>
          <w:t>https://doi.org/10.1126/science.abe1148</w:t>
        </w:r>
      </w:hyperlink>
      <w:r w:rsidRPr="00DD614C">
        <w:rPr>
          <w:color w:val="000000" w:themeColor="text1"/>
          <w:sz w:val="24"/>
          <w:lang w:val="lv-LV"/>
        </w:rPr>
        <w:t xml:space="preserve">; </w:t>
      </w:r>
      <w:proofErr w:type="spellStart"/>
      <w:r w:rsidRPr="00DD614C">
        <w:rPr>
          <w:i/>
          <w:iCs/>
          <w:color w:val="000000" w:themeColor="text1"/>
          <w:sz w:val="24"/>
          <w:lang w:val="lv-LV"/>
        </w:rPr>
        <w:t>Bonny</w:t>
      </w:r>
      <w:proofErr w:type="spellEnd"/>
      <w:r w:rsidRPr="00DD614C">
        <w:rPr>
          <w:i/>
          <w:iCs/>
          <w:color w:val="000000" w:themeColor="text1"/>
          <w:sz w:val="24"/>
          <w:lang w:val="lv-LV"/>
        </w:rPr>
        <w:t>, S</w:t>
      </w:r>
      <w:r w:rsidRPr="00DD614C">
        <w:rPr>
          <w:color w:val="000000" w:themeColor="text1"/>
          <w:sz w:val="24"/>
          <w:lang w:val="lv-LV"/>
        </w:rPr>
        <w:t>., "</w:t>
      </w:r>
      <w:proofErr w:type="spellStart"/>
      <w:r w:rsidRPr="00DD614C">
        <w:rPr>
          <w:i/>
          <w:iCs/>
          <w:color w:val="000000" w:themeColor="text1"/>
          <w:sz w:val="24"/>
          <w:lang w:val="lv-LV"/>
        </w:rPr>
        <w:t>Genetically</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Modified</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Herbicide-Tolerant</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Crops</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Weeds</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and</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Herbicides</w:t>
      </w:r>
      <w:proofErr w:type="spellEnd"/>
      <w:r w:rsidRPr="00DD614C">
        <w:rPr>
          <w:color w:val="000000" w:themeColor="text1"/>
          <w:sz w:val="24"/>
          <w:lang w:val="lv-LV"/>
        </w:rPr>
        <w:t xml:space="preserve">: </w:t>
      </w:r>
      <w:proofErr w:type="spellStart"/>
      <w:r w:rsidRPr="00DD614C">
        <w:rPr>
          <w:i/>
          <w:iCs/>
          <w:color w:val="000000" w:themeColor="text1"/>
          <w:sz w:val="24"/>
          <w:lang w:val="lv-LV"/>
        </w:rPr>
        <w:t>Overview</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and</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Impact</w:t>
      </w:r>
      <w:proofErr w:type="spellEnd"/>
      <w:r w:rsidRPr="00DD614C">
        <w:rPr>
          <w:color w:val="000000" w:themeColor="text1"/>
          <w:sz w:val="24"/>
          <w:lang w:val="lv-LV"/>
        </w:rPr>
        <w:t xml:space="preserve">", </w:t>
      </w:r>
      <w:proofErr w:type="spellStart"/>
      <w:r w:rsidRPr="00DD614C">
        <w:rPr>
          <w:i/>
          <w:iCs/>
          <w:color w:val="000000" w:themeColor="text1"/>
          <w:sz w:val="24"/>
          <w:lang w:val="lv-LV"/>
        </w:rPr>
        <w:t>Environmental</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Management</w:t>
      </w:r>
      <w:proofErr w:type="spellEnd"/>
      <w:r w:rsidRPr="00DD614C">
        <w:rPr>
          <w:color w:val="000000" w:themeColor="text1"/>
          <w:sz w:val="24"/>
          <w:lang w:val="lv-LV"/>
        </w:rPr>
        <w:t xml:space="preserve">, 2016. g. janvāris; 57(1), 31.–48. lpp., </w:t>
      </w:r>
      <w:hyperlink r:id="rId3" w:history="1">
        <w:r w:rsidRPr="00DD614C">
          <w:rPr>
            <w:rStyle w:val="Hyperlink"/>
            <w:color w:val="000000" w:themeColor="text1"/>
            <w:sz w:val="24"/>
            <w:lang w:val="lv-LV"/>
          </w:rPr>
          <w:t>https://www.ncbi.nlm.nih.gov/pubmed/26296738</w:t>
        </w:r>
      </w:hyperlink>
      <w:r w:rsidRPr="00DD614C">
        <w:rPr>
          <w:color w:val="000000" w:themeColor="text1"/>
          <w:sz w:val="24"/>
          <w:lang w:val="lv-LV"/>
        </w:rPr>
        <w:t xml:space="preserve">; </w:t>
      </w:r>
      <w:proofErr w:type="spellStart"/>
      <w:r w:rsidRPr="00DD614C">
        <w:rPr>
          <w:i/>
          <w:iCs/>
          <w:color w:val="000000" w:themeColor="text1"/>
          <w:sz w:val="24"/>
          <w:lang w:val="lv-LV"/>
        </w:rPr>
        <w:t>Benbrook</w:t>
      </w:r>
      <w:proofErr w:type="spellEnd"/>
      <w:r w:rsidRPr="00DD614C">
        <w:rPr>
          <w:i/>
          <w:iCs/>
          <w:color w:val="000000" w:themeColor="text1"/>
          <w:sz w:val="24"/>
          <w:lang w:val="lv-LV"/>
        </w:rPr>
        <w:t>, C. M</w:t>
      </w:r>
      <w:r w:rsidRPr="00DD614C">
        <w:rPr>
          <w:color w:val="000000" w:themeColor="text1"/>
          <w:sz w:val="24"/>
          <w:lang w:val="lv-LV"/>
        </w:rPr>
        <w:t>., "</w:t>
      </w:r>
      <w:proofErr w:type="spellStart"/>
      <w:r w:rsidRPr="00DD614C">
        <w:rPr>
          <w:i/>
          <w:iCs/>
          <w:color w:val="000000" w:themeColor="text1"/>
          <w:sz w:val="24"/>
          <w:lang w:val="lv-LV"/>
        </w:rPr>
        <w:t>Impacts</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of</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genetically</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engineered</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crops</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on</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pesticide</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use</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in</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the</w:t>
      </w:r>
      <w:proofErr w:type="spellEnd"/>
      <w:r w:rsidRPr="00DD614C">
        <w:rPr>
          <w:i/>
          <w:iCs/>
          <w:color w:val="000000" w:themeColor="text1"/>
          <w:sz w:val="24"/>
          <w:lang w:val="lv-LV"/>
        </w:rPr>
        <w:t xml:space="preserve"> U.S. – </w:t>
      </w:r>
      <w:proofErr w:type="spellStart"/>
      <w:r w:rsidRPr="00DD614C">
        <w:rPr>
          <w:i/>
          <w:iCs/>
          <w:color w:val="000000" w:themeColor="text1"/>
          <w:sz w:val="24"/>
          <w:lang w:val="lv-LV"/>
        </w:rPr>
        <w:t>the</w:t>
      </w:r>
      <w:proofErr w:type="spellEnd"/>
      <w:r w:rsidRPr="00DD614C">
        <w:rPr>
          <w:i/>
          <w:iCs/>
          <w:color w:val="000000" w:themeColor="text1"/>
          <w:sz w:val="24"/>
          <w:lang w:val="lv-LV"/>
        </w:rPr>
        <w:t xml:space="preserve"> first </w:t>
      </w:r>
      <w:proofErr w:type="spellStart"/>
      <w:r w:rsidRPr="00DD614C">
        <w:rPr>
          <w:i/>
          <w:iCs/>
          <w:color w:val="000000" w:themeColor="text1"/>
          <w:sz w:val="24"/>
          <w:lang w:val="lv-LV"/>
        </w:rPr>
        <w:t>sixteen</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years</w:t>
      </w:r>
      <w:proofErr w:type="spellEnd"/>
      <w:r w:rsidRPr="00DD614C">
        <w:rPr>
          <w:color w:val="000000" w:themeColor="text1"/>
          <w:sz w:val="24"/>
          <w:lang w:val="lv-LV"/>
        </w:rPr>
        <w:t xml:space="preserve">", </w:t>
      </w:r>
      <w:proofErr w:type="spellStart"/>
      <w:r w:rsidRPr="00DD614C">
        <w:rPr>
          <w:i/>
          <w:iCs/>
          <w:color w:val="000000" w:themeColor="text1"/>
          <w:sz w:val="24"/>
          <w:lang w:val="lv-LV"/>
        </w:rPr>
        <w:t>Environmental</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Sciences</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Europe</w:t>
      </w:r>
      <w:proofErr w:type="spellEnd"/>
      <w:r w:rsidRPr="00DD614C">
        <w:rPr>
          <w:color w:val="000000" w:themeColor="text1"/>
          <w:sz w:val="24"/>
          <w:lang w:val="lv-LV"/>
        </w:rPr>
        <w:t>, 2012. gada 28. </w:t>
      </w:r>
      <w:r w:rsidRPr="00DD614C">
        <w:rPr>
          <w:color w:val="000000" w:themeColor="text1"/>
          <w:sz w:val="24"/>
          <w:lang w:val="lv-LV"/>
        </w:rPr>
        <w:t xml:space="preserve">septembris, sējums 24(24), </w:t>
      </w:r>
      <w:hyperlink r:id="rId4" w:history="1">
        <w:r w:rsidRPr="002546BD">
          <w:rPr>
            <w:rStyle w:val="Hyperlink"/>
            <w:color w:val="000000" w:themeColor="text1"/>
            <w:sz w:val="24"/>
            <w:u w:val="none"/>
            <w:lang w:val="lv-LV"/>
          </w:rPr>
          <w:t>https://enveurope.springeropen.com/articles/10.1186/2190-4715-24-24</w:t>
        </w:r>
      </w:hyperlink>
      <w:r w:rsidRPr="00DD614C">
        <w:rPr>
          <w:color w:val="000000" w:themeColor="text1"/>
          <w:sz w:val="24"/>
          <w:lang w:val="lv-LV"/>
        </w:rPr>
        <w:t>.</w:t>
      </w:r>
    </w:p>
  </w:footnote>
  <w:footnote w:id="8">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 xml:space="preserve">Ieskatam: </w:t>
      </w:r>
      <w:proofErr w:type="spellStart"/>
      <w:r w:rsidRPr="00DD614C">
        <w:rPr>
          <w:i/>
          <w:iCs/>
          <w:sz w:val="24"/>
          <w:lang w:val="lv-LV"/>
        </w:rPr>
        <w:t>Rubio-Infante</w:t>
      </w:r>
      <w:proofErr w:type="spellEnd"/>
      <w:r w:rsidRPr="00DD614C">
        <w:rPr>
          <w:i/>
          <w:iCs/>
          <w:sz w:val="24"/>
          <w:lang w:val="lv-LV"/>
        </w:rPr>
        <w:t>, N</w:t>
      </w:r>
      <w:r w:rsidRPr="00DD614C">
        <w:rPr>
          <w:sz w:val="24"/>
          <w:lang w:val="lv-LV"/>
        </w:rPr>
        <w:t xml:space="preserve">., </w:t>
      </w:r>
      <w:r w:rsidRPr="00DD614C">
        <w:rPr>
          <w:i/>
          <w:iCs/>
          <w:sz w:val="24"/>
          <w:lang w:val="lv-LV"/>
        </w:rPr>
        <w:t>Moreno-</w:t>
      </w:r>
      <w:proofErr w:type="spellStart"/>
      <w:r w:rsidRPr="00DD614C">
        <w:rPr>
          <w:i/>
          <w:iCs/>
          <w:sz w:val="24"/>
          <w:lang w:val="lv-LV"/>
        </w:rPr>
        <w:t>Fierros</w:t>
      </w:r>
      <w:proofErr w:type="spellEnd"/>
      <w:r w:rsidRPr="00DD614C">
        <w:rPr>
          <w:i/>
          <w:iCs/>
          <w:sz w:val="24"/>
          <w:lang w:val="lv-LV"/>
        </w:rPr>
        <w:t>, L.</w:t>
      </w:r>
      <w:r w:rsidRPr="00DD614C">
        <w:rPr>
          <w:sz w:val="24"/>
          <w:lang w:val="lv-LV"/>
        </w:rPr>
        <w:t>, "</w:t>
      </w:r>
      <w:r w:rsidRPr="00DD614C">
        <w:rPr>
          <w:i/>
          <w:iCs/>
          <w:sz w:val="24"/>
          <w:lang w:val="lv-LV"/>
        </w:rPr>
        <w:t xml:space="preserve">An </w:t>
      </w:r>
      <w:proofErr w:type="spellStart"/>
      <w:r w:rsidRPr="00DD614C">
        <w:rPr>
          <w:i/>
          <w:iCs/>
          <w:sz w:val="24"/>
          <w:lang w:val="lv-LV"/>
        </w:rPr>
        <w:t>overview</w:t>
      </w:r>
      <w:proofErr w:type="spellEnd"/>
      <w:r w:rsidRPr="00DD614C">
        <w:rPr>
          <w:i/>
          <w:iCs/>
          <w:sz w:val="24"/>
          <w:lang w:val="lv-LV"/>
        </w:rPr>
        <w:t xml:space="preserve"> </w:t>
      </w:r>
      <w:proofErr w:type="spellStart"/>
      <w:r w:rsidRPr="00DD614C">
        <w:rPr>
          <w:i/>
          <w:iCs/>
          <w:sz w:val="24"/>
          <w:lang w:val="lv-LV"/>
        </w:rPr>
        <w:t>of</w:t>
      </w:r>
      <w:proofErr w:type="spellEnd"/>
      <w:r w:rsidRPr="00DD614C">
        <w:rPr>
          <w:i/>
          <w:iCs/>
          <w:sz w:val="24"/>
          <w:lang w:val="lv-LV"/>
        </w:rPr>
        <w:t xml:space="preserve"> </w:t>
      </w:r>
      <w:proofErr w:type="spellStart"/>
      <w:r w:rsidRPr="00DD614C">
        <w:rPr>
          <w:i/>
          <w:iCs/>
          <w:sz w:val="24"/>
          <w:lang w:val="lv-LV"/>
        </w:rPr>
        <w:t>the</w:t>
      </w:r>
      <w:proofErr w:type="spellEnd"/>
      <w:r w:rsidRPr="00DD614C">
        <w:rPr>
          <w:i/>
          <w:iCs/>
          <w:sz w:val="24"/>
          <w:lang w:val="lv-LV"/>
        </w:rPr>
        <w:t xml:space="preserve"> </w:t>
      </w:r>
      <w:proofErr w:type="spellStart"/>
      <w:r w:rsidRPr="00DD614C">
        <w:rPr>
          <w:i/>
          <w:iCs/>
          <w:sz w:val="24"/>
          <w:lang w:val="lv-LV"/>
        </w:rPr>
        <w:t>safety</w:t>
      </w:r>
      <w:proofErr w:type="spellEnd"/>
      <w:r w:rsidRPr="00DD614C">
        <w:rPr>
          <w:i/>
          <w:iCs/>
          <w:sz w:val="24"/>
          <w:lang w:val="lv-LV"/>
        </w:rPr>
        <w:t xml:space="preserve"> </w:t>
      </w:r>
      <w:proofErr w:type="spellStart"/>
      <w:r w:rsidRPr="00DD614C">
        <w:rPr>
          <w:i/>
          <w:iCs/>
          <w:sz w:val="24"/>
          <w:lang w:val="lv-LV"/>
        </w:rPr>
        <w:t>and</w:t>
      </w:r>
      <w:proofErr w:type="spellEnd"/>
      <w:r w:rsidRPr="00DD614C">
        <w:rPr>
          <w:i/>
          <w:iCs/>
          <w:sz w:val="24"/>
          <w:lang w:val="lv-LV"/>
        </w:rPr>
        <w:t xml:space="preserve"> </w:t>
      </w:r>
      <w:proofErr w:type="spellStart"/>
      <w:r w:rsidRPr="00DD614C">
        <w:rPr>
          <w:i/>
          <w:iCs/>
          <w:sz w:val="24"/>
          <w:lang w:val="lv-LV"/>
        </w:rPr>
        <w:t>biological</w:t>
      </w:r>
      <w:proofErr w:type="spellEnd"/>
      <w:r w:rsidRPr="00DD614C">
        <w:rPr>
          <w:i/>
          <w:iCs/>
          <w:sz w:val="24"/>
          <w:lang w:val="lv-LV"/>
        </w:rPr>
        <w:t xml:space="preserve"> </w:t>
      </w:r>
      <w:proofErr w:type="spellStart"/>
      <w:r w:rsidRPr="00DD614C">
        <w:rPr>
          <w:i/>
          <w:iCs/>
          <w:sz w:val="24"/>
          <w:lang w:val="lv-LV"/>
        </w:rPr>
        <w:t>effects</w:t>
      </w:r>
      <w:proofErr w:type="spellEnd"/>
      <w:r w:rsidRPr="00DD614C">
        <w:rPr>
          <w:i/>
          <w:iCs/>
          <w:sz w:val="24"/>
          <w:lang w:val="lv-LV"/>
        </w:rPr>
        <w:t xml:space="preserve"> </w:t>
      </w:r>
      <w:proofErr w:type="spellStart"/>
      <w:r w:rsidRPr="00DD614C">
        <w:rPr>
          <w:i/>
          <w:iCs/>
          <w:sz w:val="24"/>
          <w:lang w:val="lv-LV"/>
        </w:rPr>
        <w:t>of</w:t>
      </w:r>
      <w:proofErr w:type="spellEnd"/>
      <w:r w:rsidRPr="00DD614C">
        <w:rPr>
          <w:i/>
          <w:iCs/>
          <w:sz w:val="24"/>
          <w:lang w:val="lv-LV"/>
        </w:rPr>
        <w:t xml:space="preserve"> </w:t>
      </w:r>
      <w:proofErr w:type="spellStart"/>
      <w:r w:rsidRPr="00DD614C">
        <w:rPr>
          <w:i/>
          <w:iCs/>
          <w:sz w:val="24"/>
          <w:lang w:val="lv-LV"/>
        </w:rPr>
        <w:t>Bacillus</w:t>
      </w:r>
      <w:proofErr w:type="spellEnd"/>
      <w:r w:rsidRPr="00DD614C">
        <w:rPr>
          <w:i/>
          <w:iCs/>
          <w:sz w:val="24"/>
          <w:lang w:val="lv-LV"/>
        </w:rPr>
        <w:t xml:space="preserve"> </w:t>
      </w:r>
      <w:proofErr w:type="spellStart"/>
      <w:r w:rsidRPr="00DD614C">
        <w:rPr>
          <w:i/>
          <w:iCs/>
          <w:sz w:val="24"/>
          <w:lang w:val="lv-LV"/>
        </w:rPr>
        <w:t>thuringiensis</w:t>
      </w:r>
      <w:proofErr w:type="spellEnd"/>
      <w:r w:rsidRPr="00DD614C">
        <w:rPr>
          <w:i/>
          <w:iCs/>
          <w:sz w:val="24"/>
          <w:lang w:val="lv-LV"/>
        </w:rPr>
        <w:t xml:space="preserve"> </w:t>
      </w:r>
      <w:proofErr w:type="spellStart"/>
      <w:r w:rsidRPr="00DD614C">
        <w:rPr>
          <w:i/>
          <w:iCs/>
          <w:sz w:val="24"/>
          <w:lang w:val="lv-LV"/>
        </w:rPr>
        <w:t>Cry</w:t>
      </w:r>
      <w:proofErr w:type="spellEnd"/>
      <w:r w:rsidRPr="00DD614C">
        <w:rPr>
          <w:i/>
          <w:iCs/>
          <w:sz w:val="24"/>
          <w:lang w:val="lv-LV"/>
        </w:rPr>
        <w:t xml:space="preserve"> </w:t>
      </w:r>
      <w:proofErr w:type="spellStart"/>
      <w:r w:rsidRPr="00DD614C">
        <w:rPr>
          <w:i/>
          <w:iCs/>
          <w:sz w:val="24"/>
          <w:lang w:val="lv-LV"/>
        </w:rPr>
        <w:t>toxins</w:t>
      </w:r>
      <w:proofErr w:type="spellEnd"/>
      <w:r w:rsidRPr="00DD614C">
        <w:rPr>
          <w:i/>
          <w:iCs/>
          <w:sz w:val="24"/>
          <w:lang w:val="lv-LV"/>
        </w:rPr>
        <w:t xml:space="preserve"> </w:t>
      </w:r>
      <w:proofErr w:type="spellStart"/>
      <w:r w:rsidRPr="00DD614C">
        <w:rPr>
          <w:i/>
          <w:iCs/>
          <w:sz w:val="24"/>
          <w:lang w:val="lv-LV"/>
        </w:rPr>
        <w:t>in</w:t>
      </w:r>
      <w:proofErr w:type="spellEnd"/>
      <w:r w:rsidRPr="00DD614C">
        <w:rPr>
          <w:i/>
          <w:iCs/>
          <w:sz w:val="24"/>
          <w:lang w:val="lv-LV"/>
        </w:rPr>
        <w:t xml:space="preserve"> </w:t>
      </w:r>
      <w:proofErr w:type="spellStart"/>
      <w:r w:rsidRPr="00DD614C">
        <w:rPr>
          <w:i/>
          <w:iCs/>
          <w:sz w:val="24"/>
          <w:lang w:val="lv-LV"/>
        </w:rPr>
        <w:t>mammals</w:t>
      </w:r>
      <w:proofErr w:type="spellEnd"/>
      <w:r w:rsidRPr="00DD614C">
        <w:rPr>
          <w:sz w:val="24"/>
          <w:lang w:val="lv-LV"/>
        </w:rPr>
        <w:t xml:space="preserve">", </w:t>
      </w:r>
      <w:proofErr w:type="spellStart"/>
      <w:r w:rsidRPr="00DD614C">
        <w:rPr>
          <w:i/>
          <w:iCs/>
          <w:sz w:val="24"/>
          <w:lang w:val="lv-LV"/>
        </w:rPr>
        <w:t>Journal</w:t>
      </w:r>
      <w:proofErr w:type="spellEnd"/>
      <w:r w:rsidRPr="00DD614C">
        <w:rPr>
          <w:i/>
          <w:iCs/>
          <w:sz w:val="24"/>
          <w:lang w:val="lv-LV"/>
        </w:rPr>
        <w:t xml:space="preserve"> </w:t>
      </w:r>
      <w:proofErr w:type="spellStart"/>
      <w:r w:rsidRPr="00DD614C">
        <w:rPr>
          <w:i/>
          <w:iCs/>
          <w:sz w:val="24"/>
          <w:lang w:val="lv-LV"/>
        </w:rPr>
        <w:t>of</w:t>
      </w:r>
      <w:proofErr w:type="spellEnd"/>
      <w:r w:rsidRPr="00DD614C">
        <w:rPr>
          <w:i/>
          <w:iCs/>
          <w:sz w:val="24"/>
          <w:lang w:val="lv-LV"/>
        </w:rPr>
        <w:t xml:space="preserve"> </w:t>
      </w:r>
      <w:proofErr w:type="spellStart"/>
      <w:r w:rsidRPr="00DD614C">
        <w:rPr>
          <w:i/>
          <w:iCs/>
          <w:sz w:val="24"/>
          <w:lang w:val="lv-LV"/>
        </w:rPr>
        <w:t>Applied</w:t>
      </w:r>
      <w:proofErr w:type="spellEnd"/>
      <w:r w:rsidRPr="00DD614C">
        <w:rPr>
          <w:i/>
          <w:iCs/>
          <w:sz w:val="24"/>
          <w:lang w:val="lv-LV"/>
        </w:rPr>
        <w:t xml:space="preserve"> </w:t>
      </w:r>
      <w:proofErr w:type="spellStart"/>
      <w:r w:rsidRPr="00DD614C">
        <w:rPr>
          <w:i/>
          <w:iCs/>
          <w:sz w:val="24"/>
          <w:lang w:val="lv-LV"/>
        </w:rPr>
        <w:t>Toxicology</w:t>
      </w:r>
      <w:proofErr w:type="spellEnd"/>
      <w:r w:rsidRPr="00DD614C">
        <w:rPr>
          <w:sz w:val="24"/>
          <w:lang w:val="lv-LV"/>
        </w:rPr>
        <w:t>, 2016. gada maijs, 36(5), 630.–648. </w:t>
      </w:r>
      <w:r w:rsidRPr="00DD614C">
        <w:rPr>
          <w:sz w:val="24"/>
          <w:lang w:val="lv-LV"/>
        </w:rPr>
        <w:t xml:space="preserve">lpp., </w:t>
      </w:r>
      <w:hyperlink r:id="rId5" w:history="1">
        <w:r w:rsidRPr="002546BD">
          <w:rPr>
            <w:rStyle w:val="Hyperlink"/>
            <w:color w:val="000000" w:themeColor="text1"/>
            <w:sz w:val="24"/>
            <w:u w:val="none"/>
            <w:lang w:val="lv-LV"/>
          </w:rPr>
          <w:t>https://onlinelibrary.wiley.com/doi/full/10.1002/jat.3252</w:t>
        </w:r>
      </w:hyperlink>
      <w:r w:rsidRPr="00DD614C">
        <w:rPr>
          <w:color w:val="000000" w:themeColor="text1"/>
          <w:sz w:val="24"/>
          <w:lang w:val="lv-LV"/>
        </w:rPr>
        <w:t>.</w:t>
      </w:r>
    </w:p>
  </w:footnote>
  <w:footnote w:id="9">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i/>
          <w:iCs/>
          <w:color w:val="000000" w:themeColor="text1"/>
          <w:sz w:val="24"/>
          <w:lang w:val="lv-LV"/>
        </w:rPr>
        <w:t xml:space="preserve"> </w:t>
      </w:r>
      <w:r w:rsidR="00DD614C" w:rsidRPr="00DD614C">
        <w:rPr>
          <w:i/>
          <w:iCs/>
          <w:color w:val="000000" w:themeColor="text1"/>
          <w:sz w:val="24"/>
          <w:lang w:val="lv-LV"/>
        </w:rPr>
        <w:tab/>
      </w:r>
      <w:proofErr w:type="spellStart"/>
      <w:r w:rsidRPr="00DD614C">
        <w:rPr>
          <w:i/>
          <w:iCs/>
          <w:color w:val="000000" w:themeColor="text1"/>
          <w:sz w:val="24"/>
          <w:lang w:val="lv-LV"/>
        </w:rPr>
        <w:t>Bøhn</w:t>
      </w:r>
      <w:proofErr w:type="spellEnd"/>
      <w:r w:rsidRPr="00DD614C">
        <w:rPr>
          <w:i/>
          <w:iCs/>
          <w:color w:val="000000" w:themeColor="text1"/>
          <w:sz w:val="24"/>
          <w:lang w:val="lv-LV"/>
        </w:rPr>
        <w:t xml:space="preserve">, T., </w:t>
      </w:r>
      <w:proofErr w:type="spellStart"/>
      <w:r w:rsidRPr="00DD614C">
        <w:rPr>
          <w:i/>
          <w:iCs/>
          <w:color w:val="000000" w:themeColor="text1"/>
          <w:sz w:val="24"/>
          <w:lang w:val="lv-LV"/>
        </w:rPr>
        <w:t>Macagnan</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Rover</w:t>
      </w:r>
      <w:proofErr w:type="spellEnd"/>
      <w:r w:rsidRPr="00DD614C">
        <w:rPr>
          <w:i/>
          <w:iCs/>
          <w:color w:val="000000" w:themeColor="text1"/>
          <w:sz w:val="24"/>
          <w:lang w:val="lv-LV"/>
        </w:rPr>
        <w:t xml:space="preserve">, C., </w:t>
      </w:r>
      <w:proofErr w:type="spellStart"/>
      <w:r w:rsidRPr="00DD614C">
        <w:rPr>
          <w:i/>
          <w:iCs/>
          <w:color w:val="000000" w:themeColor="text1"/>
          <w:sz w:val="24"/>
          <w:lang w:val="lv-LV"/>
        </w:rPr>
        <w:t>Semenchuk</w:t>
      </w:r>
      <w:proofErr w:type="spellEnd"/>
      <w:r w:rsidRPr="00DD614C">
        <w:rPr>
          <w:i/>
          <w:iCs/>
          <w:color w:val="000000" w:themeColor="text1"/>
          <w:sz w:val="24"/>
          <w:lang w:val="lv-LV"/>
        </w:rPr>
        <w:t>, P. R</w:t>
      </w:r>
      <w:r w:rsidRPr="00DD614C">
        <w:rPr>
          <w:color w:val="000000" w:themeColor="text1"/>
          <w:sz w:val="24"/>
          <w:lang w:val="lv-LV"/>
        </w:rPr>
        <w:t>., "</w:t>
      </w:r>
      <w:proofErr w:type="spellStart"/>
      <w:r w:rsidRPr="00DD614C">
        <w:rPr>
          <w:i/>
          <w:color w:val="000000" w:themeColor="text1"/>
          <w:sz w:val="24"/>
          <w:lang w:val="lv-LV"/>
        </w:rPr>
        <w:t>Daphnia</w:t>
      </w:r>
      <w:proofErr w:type="spellEnd"/>
      <w:r w:rsidRPr="00DD614C">
        <w:rPr>
          <w:i/>
          <w:color w:val="000000" w:themeColor="text1"/>
          <w:sz w:val="24"/>
          <w:lang w:val="lv-LV"/>
        </w:rPr>
        <w:t xml:space="preserve"> </w:t>
      </w:r>
      <w:proofErr w:type="spellStart"/>
      <w:r w:rsidRPr="00DD614C">
        <w:rPr>
          <w:i/>
          <w:color w:val="000000" w:themeColor="text1"/>
          <w:sz w:val="24"/>
          <w:lang w:val="lv-LV"/>
        </w:rPr>
        <w:t>magna</w:t>
      </w:r>
      <w:proofErr w:type="spellEnd"/>
      <w:r w:rsidRPr="00DD614C">
        <w:rPr>
          <w:i/>
          <w:color w:val="000000" w:themeColor="text1"/>
          <w:sz w:val="24"/>
          <w:lang w:val="lv-LV"/>
        </w:rPr>
        <w:t xml:space="preserve"> </w:t>
      </w:r>
      <w:proofErr w:type="spellStart"/>
      <w:r w:rsidRPr="00DD614C">
        <w:rPr>
          <w:i/>
          <w:color w:val="000000" w:themeColor="text1"/>
          <w:sz w:val="24"/>
          <w:lang w:val="lv-LV"/>
        </w:rPr>
        <w:t>negatively</w:t>
      </w:r>
      <w:proofErr w:type="spellEnd"/>
      <w:r w:rsidRPr="00DD614C">
        <w:rPr>
          <w:i/>
          <w:color w:val="000000" w:themeColor="text1"/>
          <w:sz w:val="24"/>
          <w:lang w:val="lv-LV"/>
        </w:rPr>
        <w:t xml:space="preserve"> </w:t>
      </w:r>
      <w:proofErr w:type="spellStart"/>
      <w:r w:rsidRPr="00DD614C">
        <w:rPr>
          <w:i/>
          <w:color w:val="000000" w:themeColor="text1"/>
          <w:sz w:val="24"/>
          <w:lang w:val="lv-LV"/>
        </w:rPr>
        <w:t>affected</w:t>
      </w:r>
      <w:proofErr w:type="spellEnd"/>
      <w:r w:rsidRPr="00DD614C">
        <w:rPr>
          <w:i/>
          <w:color w:val="000000" w:themeColor="text1"/>
          <w:sz w:val="24"/>
          <w:lang w:val="lv-LV"/>
        </w:rPr>
        <w:t xml:space="preserve"> </w:t>
      </w:r>
      <w:proofErr w:type="spellStart"/>
      <w:r w:rsidRPr="00DD614C">
        <w:rPr>
          <w:i/>
          <w:color w:val="000000" w:themeColor="text1"/>
          <w:sz w:val="24"/>
          <w:lang w:val="lv-LV"/>
        </w:rPr>
        <w:t>by</w:t>
      </w:r>
      <w:proofErr w:type="spellEnd"/>
      <w:r w:rsidRPr="00DD614C">
        <w:rPr>
          <w:i/>
          <w:color w:val="000000" w:themeColor="text1"/>
          <w:sz w:val="24"/>
          <w:lang w:val="lv-LV"/>
        </w:rPr>
        <w:t xml:space="preserve"> </w:t>
      </w:r>
      <w:proofErr w:type="spellStart"/>
      <w:r w:rsidRPr="00DD614C">
        <w:rPr>
          <w:i/>
          <w:color w:val="000000" w:themeColor="text1"/>
          <w:sz w:val="24"/>
          <w:lang w:val="lv-LV"/>
        </w:rPr>
        <w:t>chronic</w:t>
      </w:r>
      <w:proofErr w:type="spellEnd"/>
      <w:r w:rsidRPr="00DD614C">
        <w:rPr>
          <w:i/>
          <w:color w:val="000000" w:themeColor="text1"/>
          <w:sz w:val="24"/>
          <w:lang w:val="lv-LV"/>
        </w:rPr>
        <w:t xml:space="preserve"> </w:t>
      </w:r>
      <w:proofErr w:type="spellStart"/>
      <w:r w:rsidRPr="00DD614C">
        <w:rPr>
          <w:i/>
          <w:color w:val="000000" w:themeColor="text1"/>
          <w:sz w:val="24"/>
          <w:lang w:val="lv-LV"/>
        </w:rPr>
        <w:t>exposure</w:t>
      </w:r>
      <w:proofErr w:type="spellEnd"/>
      <w:r w:rsidRPr="00DD614C">
        <w:rPr>
          <w:i/>
          <w:color w:val="000000" w:themeColor="text1"/>
          <w:sz w:val="24"/>
          <w:lang w:val="lv-LV"/>
        </w:rPr>
        <w:t xml:space="preserve"> to </w:t>
      </w:r>
      <w:proofErr w:type="spellStart"/>
      <w:r w:rsidRPr="00DD614C">
        <w:rPr>
          <w:i/>
          <w:color w:val="000000" w:themeColor="text1"/>
          <w:sz w:val="24"/>
          <w:lang w:val="lv-LV"/>
        </w:rPr>
        <w:t>purified</w:t>
      </w:r>
      <w:proofErr w:type="spellEnd"/>
      <w:r w:rsidRPr="00DD614C">
        <w:rPr>
          <w:i/>
          <w:color w:val="000000" w:themeColor="text1"/>
          <w:sz w:val="24"/>
          <w:lang w:val="lv-LV"/>
        </w:rPr>
        <w:t xml:space="preserve"> </w:t>
      </w:r>
      <w:proofErr w:type="spellStart"/>
      <w:r w:rsidRPr="00DD614C">
        <w:rPr>
          <w:i/>
          <w:color w:val="000000" w:themeColor="text1"/>
          <w:sz w:val="24"/>
          <w:lang w:val="lv-LV"/>
        </w:rPr>
        <w:t>Cry-toxins</w:t>
      </w:r>
      <w:proofErr w:type="spellEnd"/>
      <w:r w:rsidRPr="00DD614C">
        <w:rPr>
          <w:color w:val="000000" w:themeColor="text1"/>
          <w:sz w:val="24"/>
          <w:lang w:val="lv-LV"/>
        </w:rPr>
        <w:t xml:space="preserve">", </w:t>
      </w:r>
      <w:proofErr w:type="spellStart"/>
      <w:r w:rsidRPr="00DD614C">
        <w:rPr>
          <w:i/>
          <w:iCs/>
          <w:color w:val="000000" w:themeColor="text1"/>
          <w:sz w:val="24"/>
          <w:lang w:val="lv-LV"/>
        </w:rPr>
        <w:t>Food</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and</w:t>
      </w:r>
      <w:proofErr w:type="spellEnd"/>
      <w:r w:rsidRPr="00DD614C">
        <w:rPr>
          <w:i/>
          <w:iCs/>
          <w:color w:val="000000" w:themeColor="text1"/>
          <w:sz w:val="24"/>
          <w:lang w:val="lv-LV"/>
        </w:rPr>
        <w:t xml:space="preserve"> Chemical </w:t>
      </w:r>
      <w:proofErr w:type="spellStart"/>
      <w:r w:rsidRPr="00DD614C">
        <w:rPr>
          <w:i/>
          <w:iCs/>
          <w:color w:val="000000" w:themeColor="text1"/>
          <w:sz w:val="24"/>
          <w:lang w:val="lv-LV"/>
        </w:rPr>
        <w:t>Toxicology</w:t>
      </w:r>
      <w:proofErr w:type="spellEnd"/>
      <w:r w:rsidRPr="00DD614C">
        <w:rPr>
          <w:color w:val="000000" w:themeColor="text1"/>
          <w:sz w:val="24"/>
          <w:lang w:val="lv-LV"/>
        </w:rPr>
        <w:t>, 2016. gada maijs, 91. sējums, 130.–140. </w:t>
      </w:r>
      <w:r w:rsidRPr="00DD614C">
        <w:rPr>
          <w:color w:val="000000" w:themeColor="text1"/>
          <w:sz w:val="24"/>
          <w:lang w:val="lv-LV"/>
        </w:rPr>
        <w:t xml:space="preserve">lpp., </w:t>
      </w:r>
      <w:hyperlink r:id="rId6" w:history="1">
        <w:r w:rsidRPr="002546BD">
          <w:rPr>
            <w:rStyle w:val="Hyperlink"/>
            <w:color w:val="000000" w:themeColor="text1"/>
            <w:sz w:val="24"/>
            <w:u w:val="none"/>
            <w:lang w:val="lv-LV"/>
          </w:rPr>
          <w:t>https://www.sciencedirect.com/science/article/pii/S0278691516300722</w:t>
        </w:r>
      </w:hyperlink>
      <w:r w:rsidRPr="00DD614C">
        <w:rPr>
          <w:sz w:val="24"/>
          <w:lang w:val="lv-LV"/>
        </w:rPr>
        <w:t>.</w:t>
      </w:r>
    </w:p>
  </w:footnote>
  <w:footnote w:id="10">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hyperlink r:id="rId7" w:history="1">
        <w:r w:rsidR="003D1B92" w:rsidRPr="002546BD">
          <w:rPr>
            <w:rStyle w:val="Hyperlink"/>
            <w:sz w:val="24"/>
            <w:lang w:val="lv-LV"/>
          </w:rPr>
          <w:t>https://efsa.onlinelibrary.wiley.com/action/downloadSupplement?doi=10.2903%2Fj.‌efsa.2024.8716&amp;file=efs28716-sup-0012-Annex8.pdf</w:t>
        </w:r>
      </w:hyperlink>
      <w:r w:rsidRPr="003D1B92">
        <w:rPr>
          <w:sz w:val="24"/>
          <w:lang w:val="lv-LV"/>
        </w:rPr>
        <w:t>.</w:t>
      </w:r>
    </w:p>
  </w:footnote>
  <w:footnote w:id="11">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color w:val="000000" w:themeColor="text1"/>
          <w:sz w:val="24"/>
          <w:lang w:val="lv-LV"/>
        </w:rPr>
        <w:t xml:space="preserve"> </w:t>
      </w:r>
      <w:r w:rsidR="00DD614C" w:rsidRPr="00DD614C">
        <w:rPr>
          <w:color w:val="000000" w:themeColor="text1"/>
          <w:sz w:val="24"/>
          <w:lang w:val="lv-LV"/>
        </w:rPr>
        <w:tab/>
      </w:r>
      <w:r w:rsidRPr="00DD614C">
        <w:rPr>
          <w:color w:val="000000" w:themeColor="text1"/>
          <w:sz w:val="24"/>
          <w:lang w:val="lv-LV"/>
        </w:rPr>
        <w:t>"</w:t>
      </w:r>
      <w:proofErr w:type="spellStart"/>
      <w:r w:rsidRPr="00DD614C">
        <w:rPr>
          <w:i/>
          <w:iCs/>
          <w:color w:val="000000" w:themeColor="text1"/>
          <w:sz w:val="24"/>
          <w:lang w:val="lv-LV"/>
        </w:rPr>
        <w:t>Strategic</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Dialogue</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on</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the</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Future</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of</w:t>
      </w:r>
      <w:proofErr w:type="spellEnd"/>
      <w:r w:rsidRPr="00DD614C">
        <w:rPr>
          <w:i/>
          <w:iCs/>
          <w:color w:val="000000" w:themeColor="text1"/>
          <w:sz w:val="24"/>
          <w:lang w:val="lv-LV"/>
        </w:rPr>
        <w:t xml:space="preserve"> EU </w:t>
      </w:r>
      <w:proofErr w:type="spellStart"/>
      <w:r w:rsidRPr="00DD614C">
        <w:rPr>
          <w:i/>
          <w:iCs/>
          <w:color w:val="000000" w:themeColor="text1"/>
          <w:sz w:val="24"/>
          <w:lang w:val="lv-LV"/>
        </w:rPr>
        <w:t>Agriculture</w:t>
      </w:r>
      <w:proofErr w:type="spellEnd"/>
      <w:r w:rsidRPr="00DD614C">
        <w:rPr>
          <w:i/>
          <w:iCs/>
          <w:color w:val="000000" w:themeColor="text1"/>
          <w:sz w:val="24"/>
          <w:lang w:val="lv-LV"/>
        </w:rPr>
        <w:t xml:space="preserve"> - A </w:t>
      </w:r>
      <w:proofErr w:type="spellStart"/>
      <w:r w:rsidRPr="00DD614C">
        <w:rPr>
          <w:i/>
          <w:iCs/>
          <w:color w:val="000000" w:themeColor="text1"/>
          <w:sz w:val="24"/>
          <w:lang w:val="lv-LV"/>
        </w:rPr>
        <w:t>shared</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prospect</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for</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farming</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and</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food</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in</w:t>
      </w:r>
      <w:proofErr w:type="spellEnd"/>
      <w:r w:rsidRPr="00DD614C">
        <w:rPr>
          <w:i/>
          <w:iCs/>
          <w:color w:val="000000" w:themeColor="text1"/>
          <w:sz w:val="24"/>
          <w:lang w:val="lv-LV"/>
        </w:rPr>
        <w:t xml:space="preserve"> </w:t>
      </w:r>
      <w:proofErr w:type="spellStart"/>
      <w:r w:rsidRPr="00DD614C">
        <w:rPr>
          <w:i/>
          <w:iCs/>
          <w:color w:val="000000" w:themeColor="text1"/>
          <w:sz w:val="24"/>
          <w:lang w:val="lv-LV"/>
        </w:rPr>
        <w:t>Europe</w:t>
      </w:r>
      <w:proofErr w:type="spellEnd"/>
      <w:r w:rsidRPr="00DD614C">
        <w:rPr>
          <w:color w:val="000000" w:themeColor="text1"/>
          <w:sz w:val="24"/>
          <w:lang w:val="lv-LV"/>
        </w:rPr>
        <w:t>", 2024. </w:t>
      </w:r>
      <w:r w:rsidRPr="00DD614C">
        <w:rPr>
          <w:color w:val="000000" w:themeColor="text1"/>
          <w:sz w:val="24"/>
          <w:lang w:val="lv-LV"/>
        </w:rPr>
        <w:t xml:space="preserve">gada septembris, </w:t>
      </w:r>
      <w:hyperlink r:id="rId8" w:history="1">
        <w:r w:rsidRPr="002546BD">
          <w:rPr>
            <w:rStyle w:val="Hyperlink"/>
            <w:color w:val="000000" w:themeColor="text1"/>
            <w:sz w:val="24"/>
            <w:u w:val="none"/>
            <w:lang w:val="lv-LV"/>
          </w:rPr>
          <w:t>https://agriculture.ec.europa.eu/document/download/171329ff-0f50-4fa5-946f-aea11032172e_en?filename=strategic-dialogue-report-2024_en.pdf</w:t>
        </w:r>
      </w:hyperlink>
      <w:r w:rsidRPr="00DD614C">
        <w:rPr>
          <w:sz w:val="24"/>
          <w:lang w:val="lv-LV"/>
        </w:rPr>
        <w:t>.</w:t>
      </w:r>
    </w:p>
  </w:footnote>
  <w:footnote w:id="12">
    <w:p w:rsidR="00D00209" w:rsidRPr="003D1B92"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hyperlink r:id="rId9" w:history="1">
        <w:r w:rsidRPr="002546BD">
          <w:rPr>
            <w:rStyle w:val="Hyperlink"/>
            <w:color w:val="000000" w:themeColor="text1"/>
            <w:sz w:val="24"/>
            <w:u w:val="none"/>
            <w:lang w:val="lv-LV"/>
          </w:rPr>
          <w:t>https://www.ohchr.org/en/documents/thematic-reports/ahrc3448-report-special-rapporteur-right-food</w:t>
        </w:r>
      </w:hyperlink>
      <w:r w:rsidRPr="003D1B92">
        <w:rPr>
          <w:color w:val="000000" w:themeColor="text1"/>
          <w:sz w:val="24"/>
          <w:lang w:val="lv-LV"/>
        </w:rPr>
        <w:t>.</w:t>
      </w:r>
    </w:p>
  </w:footnote>
  <w:footnote w:id="13">
    <w:p w:rsidR="00D00209" w:rsidRPr="00DD614C" w:rsidRDefault="00D00209" w:rsidP="00DD614C">
      <w:pPr>
        <w:pStyle w:val="FootnoteText"/>
        <w:ind w:left="567" w:hanging="567"/>
        <w:rPr>
          <w:sz w:val="24"/>
          <w:lang w:val="lv-LV"/>
        </w:rPr>
      </w:pPr>
      <w:r w:rsidRPr="003D1B92">
        <w:rPr>
          <w:rStyle w:val="FootnoteReference"/>
          <w:sz w:val="24"/>
          <w:lang w:val="lv-LV"/>
        </w:rPr>
        <w:footnoteRef/>
      </w:r>
      <w:r w:rsidR="00DD614C" w:rsidRPr="003D1B92">
        <w:rPr>
          <w:sz w:val="24"/>
          <w:lang w:val="lv-LV"/>
        </w:rPr>
        <w:t xml:space="preserve"> </w:t>
      </w:r>
      <w:r w:rsidR="00DD614C" w:rsidRPr="003D1B92">
        <w:rPr>
          <w:sz w:val="24"/>
          <w:lang w:val="lv-LV"/>
        </w:rPr>
        <w:tab/>
      </w:r>
      <w:r w:rsidRPr="002546BD">
        <w:rPr>
          <w:rStyle w:val="Hyperlink"/>
          <w:color w:val="000000" w:themeColor="text1"/>
          <w:u w:val="none"/>
        </w:rPr>
        <w:fldChar w:fldCharType="begin"/>
      </w:r>
      <w:r w:rsidRPr="002546BD">
        <w:rPr>
          <w:rStyle w:val="Hyperlink"/>
          <w:color w:val="000000" w:themeColor="text1"/>
          <w:u w:val="none"/>
          <w:lang w:val="sv-SE"/>
        </w:rPr>
        <w:instrText xml:space="preserve"> HYPERLINK "https://indicators.report/targets/3-9/" </w:instrText>
      </w:r>
      <w:r w:rsidRPr="002546BD">
        <w:rPr>
          <w:rStyle w:val="Hyperlink"/>
          <w:color w:val="000000" w:themeColor="text1"/>
          <w:u w:val="none"/>
        </w:rPr>
        <w:fldChar w:fldCharType="separate"/>
      </w:r>
      <w:r w:rsidRPr="002546BD">
        <w:rPr>
          <w:rStyle w:val="Hyperlink"/>
          <w:color w:val="000000" w:themeColor="text1"/>
          <w:sz w:val="24"/>
          <w:u w:val="none"/>
          <w:lang w:val="lv-LV"/>
        </w:rPr>
        <w:t>https://indicators.report/targets/3-9/</w:t>
      </w:r>
      <w:r w:rsidRPr="002546BD">
        <w:rPr>
          <w:rStyle w:val="Hyperlink"/>
          <w:color w:val="000000" w:themeColor="text1"/>
          <w:sz w:val="24"/>
          <w:u w:val="none"/>
          <w:lang w:val="lv-LV"/>
        </w:rPr>
        <w:fldChar w:fldCharType="end"/>
      </w:r>
      <w:r w:rsidRPr="002546BD">
        <w:rPr>
          <w:rStyle w:val="Hyperlink"/>
          <w:color w:val="000000" w:themeColor="text1"/>
          <w:u w:val="none"/>
          <w:lang w:val="sv-SE"/>
        </w:rPr>
        <w:t>.</w:t>
      </w:r>
    </w:p>
  </w:footnote>
  <w:footnote w:id="14">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 xml:space="preserve">Skatīt </w:t>
      </w:r>
      <w:r w:rsidR="002546BD">
        <w:fldChar w:fldCharType="begin"/>
      </w:r>
      <w:r w:rsidR="002546BD" w:rsidRPr="002546BD">
        <w:rPr>
          <w:lang w:val="sv-SE"/>
        </w:rPr>
        <w:instrText xml:space="preserve"> HYPERLINK "https://ec.europa.eu/commission/presscorner/detail/lv/ip_22_7834" </w:instrText>
      </w:r>
      <w:r w:rsidR="002546BD">
        <w:fldChar w:fldCharType="separate"/>
      </w:r>
      <w:r w:rsidRPr="00DD614C">
        <w:rPr>
          <w:rStyle w:val="Hyperlink"/>
          <w:sz w:val="24"/>
          <w:lang w:val="lv-LV"/>
        </w:rPr>
        <w:t>https://ec.europa.eu/commission/presscorner/detail/lv/ip_22_7834</w:t>
      </w:r>
      <w:r w:rsidR="002546BD">
        <w:rPr>
          <w:rStyle w:val="Hyperlink"/>
          <w:sz w:val="24"/>
          <w:lang w:val="lv-LV"/>
        </w:rPr>
        <w:fldChar w:fldCharType="end"/>
      </w:r>
      <w:r w:rsidRPr="00DD614C">
        <w:rPr>
          <w:sz w:val="24"/>
          <w:lang w:val="lv-LV"/>
        </w:rPr>
        <w:t>.</w:t>
      </w:r>
    </w:p>
  </w:footnote>
  <w:footnote w:id="15">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hyperlink r:id="rId10" w:history="1">
        <w:r w:rsidRPr="002546BD">
          <w:rPr>
            <w:rStyle w:val="Hyperlink"/>
            <w:color w:val="000000" w:themeColor="text1"/>
            <w:sz w:val="24"/>
            <w:u w:val="none"/>
            <w:lang w:val="lv-LV"/>
          </w:rPr>
          <w:t>https://commission.europa.eu/document/2c64e540-c07a-4376-a1da-368d289f4afe_en</w:t>
        </w:r>
      </w:hyperlink>
      <w:r w:rsidRPr="00DD614C">
        <w:rPr>
          <w:sz w:val="24"/>
          <w:lang w:val="lv-LV"/>
        </w:rPr>
        <w:t>.</w:t>
      </w:r>
    </w:p>
  </w:footnote>
  <w:footnote w:id="16">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Saskaņā ar Regulas (ES) Nr. 182/2011 6. panta 3. punktu Komisija "var pieņemt", nevis "pieņem" projektu, ja Pārsūdzības komitejā ar dalībvalstu kvalificētu balsu vairākumu nav sniegts pozitīvs atzinums.</w:t>
      </w:r>
    </w:p>
  </w:footnote>
  <w:footnote w:id="17">
    <w:p w:rsidR="00D00209" w:rsidRPr="003D1B92"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w:t>
      </w:r>
      <w:r w:rsidRPr="00DD614C">
        <w:rPr>
          <w:sz w:val="24"/>
          <w:lang w:val="lv-LV"/>
        </w:rPr>
        <w:t>lpp., ELI:</w:t>
      </w:r>
      <w:r w:rsidRPr="00DD614C">
        <w:rPr>
          <w:color w:val="000000" w:themeColor="text1"/>
          <w:sz w:val="24"/>
          <w:lang w:val="lv-LV"/>
        </w:rPr>
        <w:t> </w:t>
      </w:r>
      <w:hyperlink r:id="rId11" w:tgtFrame="Gives access to this document through its ELI URI." w:history="1">
        <w:r w:rsidRPr="002546BD">
          <w:rPr>
            <w:rStyle w:val="Hyperlink"/>
            <w:color w:val="000000" w:themeColor="text1"/>
            <w:sz w:val="24"/>
            <w:u w:val="none"/>
            <w:lang w:val="lv-LV"/>
          </w:rPr>
          <w:t>http://data.europa.eu/eli/reg/2002/178/oj</w:t>
        </w:r>
      </w:hyperlink>
      <w:r w:rsidRPr="003D1B92">
        <w:rPr>
          <w:color w:val="000000" w:themeColor="text1"/>
          <w:sz w:val="24"/>
          <w:lang w:val="lv-LV"/>
        </w:rPr>
        <w:t>).</w:t>
      </w:r>
    </w:p>
  </w:footnote>
  <w:footnote w:id="18">
    <w:p w:rsidR="00D00209" w:rsidRPr="003D1B92" w:rsidRDefault="00D00209" w:rsidP="00DD614C">
      <w:pPr>
        <w:pStyle w:val="FootnoteText"/>
        <w:ind w:left="567" w:hanging="567"/>
        <w:rPr>
          <w:color w:val="000000" w:themeColor="text1"/>
          <w:sz w:val="24"/>
          <w:lang w:val="lv-LV"/>
        </w:rPr>
      </w:pPr>
      <w:r w:rsidRPr="003D1B92">
        <w:rPr>
          <w:rStyle w:val="FootnoteReference"/>
          <w:color w:val="000000" w:themeColor="text1"/>
          <w:sz w:val="24"/>
          <w:lang w:val="lv-LV"/>
        </w:rPr>
        <w:footnoteRef/>
      </w:r>
      <w:r w:rsidR="00DD614C" w:rsidRPr="003D1B92">
        <w:rPr>
          <w:sz w:val="24"/>
          <w:lang w:val="lv-LV"/>
        </w:rPr>
        <w:t xml:space="preserve"> </w:t>
      </w:r>
      <w:r w:rsidR="00DD614C" w:rsidRPr="003D1B92">
        <w:rPr>
          <w:sz w:val="24"/>
          <w:lang w:val="lv-LV"/>
        </w:rPr>
        <w:tab/>
      </w:r>
      <w:r w:rsidRPr="003D1B92">
        <w:rPr>
          <w:sz w:val="24"/>
          <w:lang w:val="lv-LV"/>
        </w:rPr>
        <w:t xml:space="preserve">Sk. pielikumu Komisijas 2020. gada 14. oktobra paziņojumam COM(2020)0667 "Ilgtspēju sekmējoša ķimikāliju stratēģija. </w:t>
      </w:r>
      <w:r w:rsidRPr="003D1B92">
        <w:rPr>
          <w:sz w:val="24"/>
          <w:lang w:val="lv-LV"/>
        </w:rPr>
        <w:t xml:space="preserve">Ceļā uz vidi, kas brīva no </w:t>
      </w:r>
      <w:proofErr w:type="spellStart"/>
      <w:r w:rsidRPr="003D1B92">
        <w:rPr>
          <w:sz w:val="24"/>
          <w:lang w:val="lv-LV"/>
        </w:rPr>
        <w:t>toksikantiem</w:t>
      </w:r>
      <w:proofErr w:type="spellEnd"/>
      <w:r w:rsidRPr="003D1B92">
        <w:rPr>
          <w:sz w:val="24"/>
          <w:lang w:val="lv-LV"/>
        </w:rPr>
        <w:t xml:space="preserve">", </w:t>
      </w:r>
      <w:hyperlink r:id="rId12" w:anchor="document2" w:history="1">
        <w:r w:rsidRPr="002546BD">
          <w:rPr>
            <w:rStyle w:val="Hyperlink"/>
            <w:color w:val="000000" w:themeColor="text1"/>
            <w:sz w:val="24"/>
            <w:u w:val="none"/>
            <w:lang w:val="lv-LV"/>
          </w:rPr>
          <w:t>https://eur-lex.europa.eu/legal-content/LV/TXT/?uri=COM%3A2020%3A667%3AFIN#document2</w:t>
        </w:r>
      </w:hyperlink>
      <w:r w:rsidRPr="003D1B92">
        <w:rPr>
          <w:color w:val="000000" w:themeColor="text1"/>
          <w:sz w:val="24"/>
          <w:lang w:val="lv-LV"/>
        </w:rPr>
        <w:t xml:space="preserve">. </w:t>
      </w:r>
    </w:p>
  </w:footnote>
  <w:footnote w:id="19">
    <w:p w:rsidR="00D00209" w:rsidRPr="003D1B92" w:rsidRDefault="00D00209" w:rsidP="00DD614C">
      <w:pPr>
        <w:pStyle w:val="FootnoteText"/>
        <w:ind w:left="567" w:hanging="567"/>
        <w:rPr>
          <w:color w:val="000000" w:themeColor="text1"/>
          <w:sz w:val="24"/>
          <w:lang w:val="lv-LV"/>
        </w:rPr>
      </w:pPr>
      <w:r w:rsidRPr="003D1B92">
        <w:rPr>
          <w:rStyle w:val="Funotenzeichen"/>
          <w:color w:val="000000" w:themeColor="text1"/>
          <w:sz w:val="24"/>
          <w:lang w:val="lv-LV"/>
        </w:rPr>
        <w:footnoteRef/>
      </w:r>
      <w:r w:rsidR="00DD614C" w:rsidRPr="003D1B92">
        <w:rPr>
          <w:sz w:val="24"/>
          <w:lang w:val="lv-LV"/>
        </w:rPr>
        <w:t xml:space="preserve"> </w:t>
      </w:r>
      <w:r w:rsidR="00DD614C" w:rsidRPr="003D1B92">
        <w:rPr>
          <w:sz w:val="24"/>
          <w:lang w:val="lv-LV"/>
        </w:rPr>
        <w:tab/>
      </w:r>
      <w:hyperlink r:id="rId13" w:history="1">
        <w:r w:rsidRPr="002546BD">
          <w:rPr>
            <w:rStyle w:val="Hyperlink"/>
            <w:color w:val="000000" w:themeColor="text1"/>
            <w:sz w:val="24"/>
            <w:u w:val="none"/>
            <w:lang w:val="lv-LV"/>
          </w:rPr>
          <w:t>https://tillymetz.lu/wp-content/uploads/2020/09/Co-signed-letter-MEP-Metz.pdf</w:t>
        </w:r>
      </w:hyperlink>
      <w:r w:rsidRPr="003D1B92">
        <w:rPr>
          <w:sz w:val="24"/>
          <w:lang w:val="lv-LV"/>
        </w:rPr>
        <w:t>.</w:t>
      </w:r>
    </w:p>
  </w:footnote>
  <w:footnote w:id="20">
    <w:p w:rsidR="00D00209" w:rsidRPr="00DD614C" w:rsidRDefault="00D00209" w:rsidP="00DD614C">
      <w:pPr>
        <w:pStyle w:val="FootnoteText"/>
        <w:ind w:left="567" w:hanging="567"/>
        <w:rPr>
          <w:color w:val="000000" w:themeColor="text1"/>
          <w:sz w:val="24"/>
          <w:lang w:val="lv-LV"/>
        </w:rPr>
      </w:pPr>
      <w:r w:rsidRPr="00DD614C">
        <w:rPr>
          <w:rStyle w:val="Funotenzeichen"/>
          <w:color w:val="000000" w:themeColor="text1"/>
          <w:sz w:val="24"/>
          <w:lang w:val="lv-LV"/>
        </w:rPr>
        <w:footnoteRef/>
      </w:r>
      <w:r w:rsidR="00DD614C" w:rsidRPr="00DD614C">
        <w:rPr>
          <w:sz w:val="24"/>
          <w:lang w:val="lv-LV"/>
        </w:rPr>
        <w:t xml:space="preserve"> </w:t>
      </w:r>
      <w:r w:rsidR="00DD614C" w:rsidRPr="00DD614C">
        <w:rPr>
          <w:sz w:val="24"/>
          <w:lang w:val="lv-LV"/>
        </w:rPr>
        <w:tab/>
      </w:r>
      <w:r w:rsidRPr="00DD614C">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1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1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1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LV"/>
    <w:docVar w:name="dvnumam" w:val="0"/>
    <w:docVar w:name="dvpe" w:val="766.932"/>
    <w:docVar w:name="dvtitre" w:val="Eiropas Parlamenta 2025. gada XX. XXX  rezolūcija par projektu Komisijas īstenošanas lēmumam, ar ko, ievērojot Eiropas Parlamenta un Padomes Regulu (EK) Nr. 1829/2003, atļauj laist tirgū produktus, kas satur ģenētiski modificētu kukurūzu DP910521, no tās sastāv vai ir no tās ražoti(D102174/03 – 2024/3010(RSP))"/>
  </w:docVars>
  <w:rsids>
    <w:rsidRoot w:val="006C597C"/>
    <w:rsid w:val="00002272"/>
    <w:rsid w:val="00064002"/>
    <w:rsid w:val="000677B9"/>
    <w:rsid w:val="000831BA"/>
    <w:rsid w:val="000A42CC"/>
    <w:rsid w:val="000E7DD9"/>
    <w:rsid w:val="0010095E"/>
    <w:rsid w:val="00125B37"/>
    <w:rsid w:val="00187494"/>
    <w:rsid w:val="001939DE"/>
    <w:rsid w:val="001F32AE"/>
    <w:rsid w:val="002546BD"/>
    <w:rsid w:val="002767FF"/>
    <w:rsid w:val="002B18FE"/>
    <w:rsid w:val="002B5493"/>
    <w:rsid w:val="00343214"/>
    <w:rsid w:val="00361C00"/>
    <w:rsid w:val="00395FA1"/>
    <w:rsid w:val="003D1B9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97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209"/>
    <w:rsid w:val="00D058B8"/>
    <w:rsid w:val="00D56C11"/>
    <w:rsid w:val="00D834A0"/>
    <w:rsid w:val="00D872DF"/>
    <w:rsid w:val="00D91E21"/>
    <w:rsid w:val="00DA7FCD"/>
    <w:rsid w:val="00DD614C"/>
    <w:rsid w:val="00E365E1"/>
    <w:rsid w:val="00E368F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A5D78"/>
  <w15:chartTrackingRefBased/>
  <w15:docId w15:val="{338EDC48-9DA0-4AFD-8542-3A1CBDCEB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D00209"/>
    <w:pPr>
      <w:spacing w:before="480" w:after="240"/>
    </w:pPr>
  </w:style>
  <w:style w:type="paragraph" w:customStyle="1" w:styleId="NormalHanging12a">
    <w:name w:val="NormalHanging12a"/>
    <w:basedOn w:val="Normal"/>
    <w:qFormat/>
    <w:rsid w:val="00D00209"/>
    <w:pPr>
      <w:spacing w:after="240"/>
      <w:ind w:left="567" w:hanging="567"/>
    </w:pPr>
  </w:style>
  <w:style w:type="paragraph" w:customStyle="1" w:styleId="NormalBold">
    <w:name w:val="NormalBold"/>
    <w:basedOn w:val="Normal"/>
    <w:rsid w:val="00D00209"/>
    <w:rPr>
      <w:b/>
    </w:rPr>
  </w:style>
  <w:style w:type="character" w:styleId="Hyperlink">
    <w:name w:val="Hyperlink"/>
    <w:basedOn w:val="DefaultParagraphFont"/>
    <w:uiPriority w:val="99"/>
    <w:rsid w:val="00D00209"/>
    <w:rPr>
      <w:color w:val="0563C1" w:themeColor="hyperlink"/>
      <w:u w:val="single"/>
    </w:rPr>
  </w:style>
  <w:style w:type="character" w:customStyle="1" w:styleId="Funotenzeichen">
    <w:name w:val="Fußnotenzeichen"/>
    <w:qFormat/>
    <w:rsid w:val="00D00209"/>
    <w:rPr>
      <w:vertAlign w:val="superscript"/>
    </w:rPr>
  </w:style>
  <w:style w:type="paragraph" w:styleId="BalloonText">
    <w:name w:val="Balloon Text"/>
    <w:basedOn w:val="Normal"/>
    <w:link w:val="BalloonTextChar"/>
    <w:rsid w:val="003D1B92"/>
    <w:rPr>
      <w:rFonts w:ascii="Segoe UI" w:hAnsi="Segoe UI" w:cs="Segoe UI"/>
      <w:sz w:val="18"/>
      <w:szCs w:val="18"/>
    </w:rPr>
  </w:style>
  <w:style w:type="character" w:customStyle="1" w:styleId="BalloonTextChar">
    <w:name w:val="Balloon Text Char"/>
    <w:basedOn w:val="DefaultParagraphFont"/>
    <w:link w:val="BalloonText"/>
    <w:rsid w:val="003D1B9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griculture.ec.europa.eu/document/download/171329ff-0f50-4fa5-946f-aea11032172e_en?filename=strategic-dialogue-report-2024_en.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s://www.ncbi.nlm.nih.gov/pubmed/26296738" TargetMode="External"/><Relationship Id="rId7" Type="http://schemas.openxmlformats.org/officeDocument/2006/relationships/hyperlink" Target="https://efsa.onlinelibrary.wiley.com/action/downloadSupplement?doi=10.2903%2Fj.&#8204;efsa.2024.8716&amp;file=efs28716-sup-0012-Annex8.pdf" TargetMode="External"/><Relationship Id="rId12" Type="http://schemas.openxmlformats.org/officeDocument/2006/relationships/hyperlink" Target="https://eur-lex.europa.eu/legal-content/LV/TXT/?uri=COM:2020:667:FIN" TargetMode="External"/><Relationship Id="rId2" Type="http://schemas.openxmlformats.org/officeDocument/2006/relationships/hyperlink" Target="https://doi.org/10.1126/science.abe1148" TargetMode="External"/><Relationship Id="rId1" Type="http://schemas.openxmlformats.org/officeDocument/2006/relationships/hyperlink" Target="http://data.europa.eu/eli/reg_impl/2013/503/oj" TargetMode="External"/><Relationship Id="rId6" Type="http://schemas.openxmlformats.org/officeDocument/2006/relationships/hyperlink" Target="https://www.sciencedirect.com/science/article/pii/S0278691516300722?via=ihub" TargetMode="External"/><Relationship Id="rId11" Type="http://schemas.openxmlformats.org/officeDocument/2006/relationships/hyperlink" Target="http://data.europa.eu/eli/reg/2002/178/oj" TargetMode="External"/><Relationship Id="rId5" Type="http://schemas.openxmlformats.org/officeDocument/2006/relationships/hyperlink" Target="https://onlinelibrary.wiley.com/doi/full/10.1002/jat.3252" TargetMode="External"/><Relationship Id="rId10" Type="http://schemas.openxmlformats.org/officeDocument/2006/relationships/hyperlink" Target="https://commission.europa.eu/document/2c64e540-c07a-4376-a1da-368d289f4afe_en" TargetMode="External"/><Relationship Id="rId4" Type="http://schemas.openxmlformats.org/officeDocument/2006/relationships/hyperlink" Target="https://enveurope.springeropen.com/articles/10.1186/2190-4715-24-24" TargetMode="External"/><Relationship Id="rId9" Type="http://schemas.openxmlformats.org/officeDocument/2006/relationships/hyperlink" Target="https://www.ohchr.org/en/documents/thematic-reports/ahrc3448-report-special-rapporteur-right-f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EB607-AB26-438F-AD34-ED8C5ABAD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1886</Words>
  <Characters>11947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2025-02-12T14:10:00Z</dcterms:created>
  <dcterms:modified xsi:type="dcterms:W3CDTF">2025-02-12T14:10:00Z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B10-0061/2025</vt:lpwstr>
  </property>
  <property fmtid="{D5CDD505-2E9C-101B-9397-08002B2CF9AE}" pid="4" name="&lt;Type&gt;">
    <vt:lpwstr>RR</vt:lpwstr>
  </property>
</Properties>
</file>