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6D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6D2C" w:rsidRDefault="00A11FC6" w:rsidP="0010095E">
            <w:pPr>
              <w:pStyle w:val="EPName"/>
            </w:pPr>
            <w:r w:rsidRPr="00BC6D2C">
              <w:t>Parlament Europejski</w:t>
            </w:r>
          </w:p>
          <w:p w:rsidR="00751A4A" w:rsidRPr="00BC6D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6D2C">
              <w:t>2024</w:t>
            </w:r>
            <w:r w:rsidR="00817416" w:rsidRPr="00BC6D2C">
              <w:t>-202</w:t>
            </w:r>
            <w:r w:rsidRPr="00BC6D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C6D2C" w:rsidRDefault="00187494" w:rsidP="0010095E">
            <w:pPr>
              <w:pStyle w:val="EPLogo"/>
            </w:pPr>
            <w:r w:rsidRPr="00BC6D2C">
              <w:rPr>
                <w:noProof/>
                <w:lang w:val="fr-FR"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6D2C" w:rsidRDefault="00D058B8" w:rsidP="004C5D52">
      <w:pPr>
        <w:pStyle w:val="LineTop"/>
      </w:pPr>
    </w:p>
    <w:p w:rsidR="00680577" w:rsidRPr="00BC6D2C" w:rsidRDefault="00A11FC6" w:rsidP="00680577">
      <w:pPr>
        <w:pStyle w:val="EPBodyTA1"/>
      </w:pPr>
      <w:r w:rsidRPr="00BC6D2C">
        <w:t>TEKSTY PRZYJĘTE</w:t>
      </w:r>
    </w:p>
    <w:p w:rsidR="00D058B8" w:rsidRPr="00BC6D2C" w:rsidRDefault="00D058B8" w:rsidP="00D058B8">
      <w:pPr>
        <w:pStyle w:val="LineBottom"/>
      </w:pPr>
    </w:p>
    <w:p w:rsidR="00A11FC6" w:rsidRPr="00BC6D2C" w:rsidRDefault="00A11FC6" w:rsidP="00A11FC6">
      <w:pPr>
        <w:pStyle w:val="ATHeading1"/>
      </w:pPr>
      <w:bookmarkStart w:id="0" w:name="TANumber"/>
      <w:r w:rsidRPr="00BC6D2C">
        <w:t>P10_TA(2025)00</w:t>
      </w:r>
      <w:bookmarkEnd w:id="0"/>
      <w:r w:rsidR="00026358">
        <w:t>14</w:t>
      </w:r>
    </w:p>
    <w:p w:rsidR="00A11FC6" w:rsidRPr="00BC6D2C" w:rsidRDefault="00A11FC6" w:rsidP="00A11FC6">
      <w:pPr>
        <w:pStyle w:val="ATHeading2"/>
      </w:pPr>
      <w:bookmarkStart w:id="1" w:name="title"/>
      <w:r w:rsidRPr="00BC6D2C">
        <w:t>Genetycznie zmodyfikowana kukurydza</w:t>
      </w:r>
      <w:r w:rsidR="002D7BF9">
        <w:t xml:space="preserve"> </w:t>
      </w:r>
      <w:r w:rsidRPr="00BC6D2C">
        <w:t>DP910521</w:t>
      </w:r>
      <w:bookmarkEnd w:id="1"/>
    </w:p>
    <w:p w:rsidR="00A11FC6" w:rsidRPr="00BC6D2C" w:rsidRDefault="00A11FC6" w:rsidP="00A11FC6">
      <w:pPr>
        <w:rPr>
          <w:i/>
          <w:vanish/>
        </w:rPr>
      </w:pPr>
      <w:r w:rsidRPr="00BC6D2C">
        <w:rPr>
          <w:i/>
        </w:rPr>
        <w:fldChar w:fldCharType="begin"/>
      </w:r>
      <w:r w:rsidRPr="00BC6D2C">
        <w:rPr>
          <w:i/>
        </w:rPr>
        <w:instrText xml:space="preserve"> TC"(</w:instrText>
      </w:r>
      <w:bookmarkStart w:id="2" w:name="DocNumber"/>
      <w:r w:rsidRPr="00BC6D2C">
        <w:rPr>
          <w:i/>
        </w:rPr>
        <w:instrText>B10-0061/2025</w:instrText>
      </w:r>
      <w:bookmarkEnd w:id="2"/>
      <w:r w:rsidRPr="00BC6D2C">
        <w:rPr>
          <w:i/>
        </w:rPr>
        <w:instrText xml:space="preserve">)"\l3 \n&gt; \* MERGEFORMAT </w:instrText>
      </w:r>
      <w:r w:rsidRPr="00BC6D2C">
        <w:rPr>
          <w:i/>
        </w:rPr>
        <w:fldChar w:fldCharType="end"/>
      </w:r>
    </w:p>
    <w:p w:rsidR="00A11FC6" w:rsidRPr="00BC6D2C" w:rsidRDefault="00A11FC6" w:rsidP="00A11FC6">
      <w:pPr>
        <w:rPr>
          <w:vanish/>
        </w:rPr>
      </w:pPr>
      <w:bookmarkStart w:id="3" w:name="PE"/>
      <w:r w:rsidRPr="00BC6D2C">
        <w:rPr>
          <w:vanish/>
        </w:rPr>
        <w:t>PE766.932</w:t>
      </w:r>
      <w:bookmarkEnd w:id="3"/>
    </w:p>
    <w:p w:rsidR="00A11FC6" w:rsidRPr="00BC6D2C" w:rsidRDefault="00A11FC6" w:rsidP="00A11FC6">
      <w:pPr>
        <w:pStyle w:val="ATHeading3"/>
      </w:pPr>
      <w:bookmarkStart w:id="4" w:name="Sujet"/>
      <w:r w:rsidRPr="00BC6D2C">
        <w:t xml:space="preserve">Rezolucja Parlamentu Europejskiego z dnia </w:t>
      </w:r>
      <w:r w:rsidR="002D7BF9">
        <w:t>12 lutego</w:t>
      </w:r>
      <w:r w:rsidRPr="00BC6D2C">
        <w:t xml:space="preserve">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</w:t>
      </w:r>
      <w:bookmarkEnd w:id="4"/>
      <w:r w:rsidRPr="00BC6D2C">
        <w:t xml:space="preserve"> </w:t>
      </w:r>
      <w:bookmarkStart w:id="5" w:name="References"/>
      <w:r w:rsidRPr="00BC6D2C">
        <w:t>(D102174/03 – 2024/3010(RSP))</w:t>
      </w:r>
      <w:bookmarkEnd w:id="5"/>
    </w:p>
    <w:p w:rsidR="00906EF5" w:rsidRPr="00BC6D2C" w:rsidRDefault="00906EF5" w:rsidP="00906EF5">
      <w:pPr>
        <w:pStyle w:val="EPComma"/>
      </w:pPr>
      <w:bookmarkStart w:id="6" w:name="TextBodyBegin"/>
      <w:bookmarkEnd w:id="6"/>
      <w:r w:rsidRPr="00BC6D2C">
        <w:rPr>
          <w:i/>
        </w:rPr>
        <w:t>Parlament Europejski</w:t>
      </w:r>
      <w:r w:rsidRPr="00BC6D2C">
        <w:t>,</w:t>
      </w:r>
    </w:p>
    <w:p w:rsidR="00906EF5" w:rsidRPr="00BC6D2C" w:rsidRDefault="00906EF5" w:rsidP="00906EF5">
      <w:pPr>
        <w:pStyle w:val="NormalHanging12a"/>
      </w:pPr>
      <w:r w:rsidRPr="00BC6D2C">
        <w:t>–</w:t>
      </w:r>
      <w:r w:rsidRPr="00BC6D2C">
        <w:tab/>
        <w:t>uwzględniając projekt decyzji wykonawczej Komisji zezwalającej na wprowadzenie do obrotu, na mocy rozporządzenia (WE) nr 1829/2003 Parlamentu Europejskiego i Rady, produktów zawierających genetycznie zmodyfikowaną kukurydzę DP910521, składających się z niej lub z niej wyprodukowanych (D102174/03),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  <w:t>uwzględniając rozporządzenie Parlamentu Europejskiego i Rady (WE) nr 1829/2003 z dnia 22 września 2003 r. w sprawie genetycznie zmodyfikowanej żywności i paszy</w:t>
      </w:r>
      <w:r w:rsidRPr="00BC6D2C">
        <w:rPr>
          <w:rStyle w:val="FootnoteReference"/>
          <w:szCs w:val="24"/>
        </w:rPr>
        <w:footnoteReference w:id="1"/>
      </w:r>
      <w:r w:rsidRPr="00BC6D2C">
        <w:t>, w szczególności jego art. 7 ust. 3 i art. 19 ust. 3,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  <w:t xml:space="preserve">uwzględniając </w:t>
      </w:r>
      <w:r w:rsidRPr="00BC6D2C">
        <w:rPr>
          <w:shd w:val="clear" w:color="auto" w:fill="FFFFFF"/>
        </w:rPr>
        <w:t>głosowanie – bez wydania opinii – przeprowadzone 22 listopada 2024 r. przez Stały Komitet ds. Roślin, Zwierząt, Żywności i Pasz, o którym mowa w art. 35 rozporządzenia (WE) nr 1829/2003, oraz głosowanie komitetu odwoławczego 17 grudnia 2024 r.,</w:t>
      </w:r>
      <w:r w:rsidRPr="00BC6D2C">
        <w:t xml:space="preserve"> w wyniku którego również nie wydano opinii,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BC6D2C">
        <w:rPr>
          <w:rStyle w:val="FootnoteReference"/>
          <w:szCs w:val="24"/>
        </w:rPr>
        <w:footnoteReference w:id="2"/>
      </w:r>
      <w:r w:rsidRPr="00BC6D2C">
        <w:t>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  <w:t>uwzględniając opinię Europejskiego Urzędu ds. Bezpieczeństwa Żywności (EFSA) z 19 czerwca 2024 r., opublikowaną 1 sierpnia 2024 r.</w:t>
      </w:r>
      <w:r w:rsidRPr="00BC6D2C">
        <w:rPr>
          <w:rStyle w:val="FootnoteReference"/>
          <w:szCs w:val="24"/>
        </w:rPr>
        <w:footnoteReference w:id="3"/>
      </w:r>
      <w:r w:rsidRPr="00BC6D2C">
        <w:t>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</w:r>
      <w:r w:rsidRPr="00BC6D2C">
        <w:rPr>
          <w:shd w:val="clear" w:color="auto" w:fill="FFFFFF"/>
        </w:rPr>
        <w:t xml:space="preserve">uwzględniając swoje wcześniejsze rezolucje zawierające sprzeciw wobec zatwierdzania </w:t>
      </w:r>
      <w:r w:rsidRPr="00BC6D2C">
        <w:rPr>
          <w:shd w:val="clear" w:color="auto" w:fill="FFFFFF"/>
        </w:rPr>
        <w:lastRenderedPageBreak/>
        <w:t>organizmów zmodyfikowanych genetycznie (GMO)</w:t>
      </w:r>
      <w:r w:rsidRPr="00BC6D2C">
        <w:rPr>
          <w:rStyle w:val="FootnoteReference"/>
          <w:szCs w:val="24"/>
          <w:shd w:val="clear" w:color="auto" w:fill="FFFFFF"/>
        </w:rPr>
        <w:footnoteReference w:id="4"/>
      </w:r>
      <w:r w:rsidRPr="00BC6D2C">
        <w:rPr>
          <w:shd w:val="clear" w:color="auto" w:fill="FFFFFF"/>
        </w:rPr>
        <w:t>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  <w:t>uwzględniając art. 115 ust. 2 i 3 Regulaminu,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–</w:t>
      </w:r>
      <w:r w:rsidRPr="00BC6D2C">
        <w:tab/>
        <w:t xml:space="preserve">uwzględniając projekt rezolucji Komisji Ochrony Środowiska Naturalnego, </w:t>
      </w:r>
      <w:r w:rsidR="002D7BF9">
        <w:t>Klimatu</w:t>
      </w:r>
      <w:r w:rsidRPr="00BC6D2C">
        <w:t xml:space="preserve"> i </w:t>
      </w:r>
      <w:r w:rsidRPr="00BC6D2C">
        <w:lastRenderedPageBreak/>
        <w:t>Bezpieczeństwa Żywności,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A.</w:t>
      </w:r>
      <w:r w:rsidRPr="00BC6D2C">
        <w:tab/>
        <w:t>mając na uwadze, że 27 czerwca 2022 r. przedsiębiorstwo Corteva Agriscience Belgium B.V. z siedzibą w Belgii zwróciło się</w:t>
      </w:r>
      <w:r w:rsidRPr="00BC6D2C">
        <w:rPr>
          <w:snapToGrid w:val="0"/>
        </w:rPr>
        <w:t xml:space="preserve"> do właściwego organu Niderlandów</w:t>
      </w:r>
      <w:r w:rsidRPr="00BC6D2C">
        <w:t xml:space="preserve"> w imieniu przedsiębiorstwa Corteva Agriscience LLC z siedzibą w Stanach Zjednoczonych z wnioskiem o wprowadzenie do obrotu żywności, składników żywności i paszy zawierających genetycznie zmodyfikowaną kukurydzę DP910521 (zwaną dalej „kukurydzą GM”), składających się z niej lub z niej wyprodukowanych;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B.</w:t>
      </w:r>
      <w:r w:rsidRPr="00BC6D2C">
        <w:tab/>
        <w:t>mając na uwadze, że kukurydza GM wytwarza toksynę Cry1B.34 i jest odporna na herbicyd glufosynat;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C.</w:t>
      </w:r>
      <w:r w:rsidRPr="00BC6D2C">
        <w:tab/>
        <w:t>mając na uwadze, że glufosynat zaliczono do substancji działających szkodliwie na rozrodczość (1B), spełnia on zatem kryteria graniczne określone w rozporządzeniu Parlamentu Europejskiego i Rady (WE) nr 1107/2009</w:t>
      </w:r>
      <w:r w:rsidRPr="00BC6D2C">
        <w:rPr>
          <w:rStyle w:val="FootnoteReference"/>
          <w:szCs w:val="24"/>
        </w:rPr>
        <w:footnoteReference w:id="5"/>
      </w:r>
      <w:r w:rsidRPr="00BC6D2C">
        <w:t>; mając na uwadze, że zezwolenie na stosowanie glufosynatu w Unii wygasło 31 lipca 2018 r.;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D.</w:t>
      </w:r>
      <w:r w:rsidRPr="00BC6D2C">
        <w:tab/>
        <w:t>mając na uwadze, że Cry1B.34 to syntetyczne białko fuzyjne łączące Cry1B, Cry1Ca1 i Cry9Db1, wygenerowane w celu zapewnienia odporności na szkodniki z rzędu Lepidoptera (łuskoskrzydłe), bez wykazania specyfiki gatunków docelowych;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E.</w:t>
      </w:r>
      <w:r w:rsidRPr="00BC6D2C">
        <w:tab/>
        <w:t>mając na uwadze, że modyfikacja genetyczna obejmuje dwuetapowy proces z wykorzystaniem CRISPR/Cas9 w celu wprowadzenia „matrycy”, po którym następuje mikroprojekcja w celu wszczepienia kasety ekspresyjnej genów;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Brak oceny herbicydów uzupełniających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F.</w:t>
      </w:r>
      <w:r w:rsidRPr="00BC6D2C">
        <w:tab/>
        <w:t>mając na uwadze, że na mocy rozporządzenia wykonawczego Komisji (UE) nr 503/2013</w:t>
      </w:r>
      <w:r w:rsidRPr="00BC6D2C">
        <w:rPr>
          <w:rStyle w:val="FootnoteReference"/>
          <w:szCs w:val="24"/>
        </w:rPr>
        <w:footnoteReference w:id="6"/>
      </w:r>
      <w:r w:rsidRPr="00BC6D2C">
        <w:t xml:space="preserve"> wymagana jest ocena, czy oczekiwane praktyki rolnicze mają wpływ na wyniki badanych punktów końcowych; mając na uwadze, że zgodnie z tym rozporządzeniem wykonawczym ma to szczególne znaczenie w przypadku roślin tolerujących herbicydy;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G.</w:t>
      </w:r>
      <w:r w:rsidRPr="00BC6D2C">
        <w:tab/>
        <w:t xml:space="preserve">mając na uwadze, że zdecydowaną większość upraw zmodyfikowanych genetycznie poddano modyfikacji genetycznej, aby osiągnąć tolerancję na co najmniej jeden herbicyd uzupełniający spośród herbicydów, które mogą być stosowane w trakcie całej uprawy roślin zmodyfikowanych genetycznie bez powodowania zamierania upraw, jak miałoby to miejsce w przypadku upraw nietolerujących herbicydów; mając na uwadze, że według licznych badań uprawa genetycznie zmodyfikowanych roślin tolerujących herbicydy prowadzi do większego zużycia herbicydów uzupełniających, co w dużej </w:t>
      </w:r>
      <w:r w:rsidRPr="00BC6D2C">
        <w:lastRenderedPageBreak/>
        <w:t>mierze spowodowane jest pojawieniem się chwastów odpornych na herbicydy</w:t>
      </w:r>
      <w:r w:rsidRPr="00BC6D2C">
        <w:rPr>
          <w:rStyle w:val="FootnoteReference"/>
          <w:szCs w:val="24"/>
        </w:rPr>
        <w:footnoteReference w:id="7"/>
      </w:r>
      <w:r w:rsidRPr="00BC6D2C">
        <w:t>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H.</w:t>
      </w:r>
      <w:r w:rsidRPr="00BC6D2C">
        <w:tab/>
        <w:t>mając na uwadze, że genetycznie zmodyfikowane uprawy odporne na herbicydy zmuszają rolników do stosowania systemu zwalczania chwastów, który jest w dużej mierze lub całkowicie uzależniony od herbicydów, ponieważ wyższa cena nasion zmodyfikowanych genetycznie ma uzasadnienie tylko wtedy, gdy rolnicy kupujący takie nasiona rozpylają również herbicydy uzupełniające; mając na uwadze, że zwiększone uzależnienie od herbicydów uzupełniających w gospodarstwach, w których prowadzi się genetycznie zmodyfikowane uprawy, przyspiesza pojawianie się i rozprzestrzenianie chwastów odpornych na te herbicydy, co sprawia, że konieczne staje się coraz szersze stosowanie herbicydów, czyli prowadzi do powstania błędnego koła;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I.</w:t>
      </w:r>
      <w:r w:rsidRPr="00BC6D2C">
        <w:tab/>
        <w:t>mając na uwadze, że nadmierne uzależnienie od herbicydów przyniesie takie negatywne skutki jak pogorszenie zdrowia gleby, jakości wody oraz różnorodności biologicznej na powierzchni ziemi i pod ziemią, a także spowoduje większe narażenie ludzi i zwierząt, potencjalnie również w wyniku większych pozostałości herbicydów w żywności i paszy;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J.</w:t>
      </w:r>
      <w:r w:rsidRPr="00BC6D2C">
        <w:tab/>
        <w:t>mając na uwadze, że uznaje się, iż ocena pozostałości herbicydów i ich metabolitów na roślinach zmodyfikowanych genetycznie nie wchodzi w zakres kompetencji panelu EFSA ds. organizmów modyfikowanych genetycznie („panel EFSA ds. GMO”), w związku z czym procedura wydawania zezwoleń na GMO nie obejmuje takiej oceny;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Nierozstrzygnięte kwestie dotyczące toksyn Bt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K.</w:t>
      </w:r>
      <w:r w:rsidRPr="00BC6D2C">
        <w:tab/>
        <w:t>mając na uwadze, że w szeregu badań zaobserwowano, iż skutki uboczne powstałe w wyniku narażenia na toksyny Bt mogą wpływać na układ odpornościowy, oraz zauważono, że niektóre toksyny Bt mogą wykazywać właściwości adiuwantów</w:t>
      </w:r>
      <w:r w:rsidRPr="00BC6D2C">
        <w:rPr>
          <w:rStyle w:val="FootnoteReference"/>
          <w:szCs w:val="24"/>
        </w:rPr>
        <w:footnoteReference w:id="8"/>
      </w:r>
      <w:r w:rsidRPr="00BC6D2C">
        <w:t>, co oznacza, że mogą nasilać alergenność innych białek, z którymi wchodzą w styczność;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L.</w:t>
      </w:r>
      <w:r w:rsidRPr="00BC6D2C">
        <w:tab/>
        <w:t xml:space="preserve">mając na uwadze, że w jednym z badań naukowych wykazano, iż toksyczność toksyn Bt może również wzrosnąć wskutek interakcji z pozostałościami po opryskach herbicydami oraz że potrzebne są dalsze badania nad efektami skojarzonymi złożonych modyfikacji genetycznych (uprawy GMO, które zostały zmodyfikowane tak, aby były </w:t>
      </w:r>
      <w:r w:rsidRPr="00BC6D2C">
        <w:lastRenderedPageBreak/>
        <w:t>odporne na herbicydy i wytwarzały insektycydy w postaci toksyn Bt)</w:t>
      </w:r>
      <w:r w:rsidRPr="00BC6D2C">
        <w:rPr>
          <w:rStyle w:val="FootnoteReference"/>
          <w:szCs w:val="24"/>
        </w:rPr>
        <w:footnoteReference w:id="9"/>
      </w:r>
      <w:r w:rsidRPr="00BC6D2C">
        <w:t>; mając jednak na uwadze, że uznaje się, iż ocena ewentualnych interakcji pozostałości herbicydów i ich metabolitów z toksynami Bt nie wchodzi w zakres kompetencji panelu EFSA ds. GMO, w związku z czym nie dokonuje się jej podczas oceny ryzyka;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Uprawy Bt: wpływ na organizmy niebędące przedmiotem zwalczania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M.</w:t>
      </w:r>
      <w:r w:rsidRPr="00BC6D2C">
        <w:tab/>
        <w:t>mając na uwadze, że w przeciwieństwie do środków owadobójczych, których stosowanie powoduje narażenie w czasie oprysku i przez ograniczony okres po oprysku, uprawa zmodyfikowanych genetycznie roślin Bt oznacza ciągłe narażenie organizmów zwalczanych i innych niż zwalczane na toksyny Bt;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N.</w:t>
      </w:r>
      <w:r w:rsidRPr="00BC6D2C">
        <w:tab/>
        <w:t>mając na uwadze, że nie można już uznawać za prawidłowe założenia, iż toksyny Bt wykazują jeden specyficzny dla danego celu zwalczania sposób działania, i nie można wykluczyć wpływu na organizmy inne niż zwalczane; mając na uwadze doniesienia o różnorodnych skutkach dotykających coraz większą liczbę organizmów innych niż zwalczane;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Uwagi państw członkowskich i zainteresowanych stron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O.</w:t>
      </w:r>
      <w:r w:rsidRPr="00BC6D2C">
        <w:tab/>
        <w:t>mając na uwadze, że podczas trzymiesięcznego okresu konsultacji</w:t>
      </w:r>
      <w:r w:rsidRPr="00BC6D2C">
        <w:rPr>
          <w:rStyle w:val="FootnoteReference"/>
          <w:szCs w:val="24"/>
        </w:rPr>
        <w:footnoteReference w:id="10"/>
      </w:r>
      <w:r w:rsidRPr="00BC6D2C">
        <w:t xml:space="preserve"> państwa członkowskie zgłosiły EFSA wiele krytycznych uwag, w tym fakt, że wykaz odpowiednich badań, określonych w przeglądzie literatury wnioskodawcy, nie obejmuje badań dotyczących losu białek Bt w środowisku ani potencjalnego wpływu pozostałości upraw Bt na organizmy niebędące przedmiotem zwalczania, mimo że takie badania istnieją; 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bookmarkStart w:id="8" w:name="_GoBack_Copy_1"/>
      <w:bookmarkEnd w:id="8"/>
      <w:r w:rsidRPr="00BC6D2C">
        <w:t>P.</w:t>
      </w:r>
      <w:r w:rsidRPr="00BC6D2C">
        <w:tab/>
        <w:t>mając na uwadze, że w badaniach terenowych przeprowadzonych w celu analizy składu i fenotypu zmodyfikowanej genetycznie kukurydzy nie uwzględniono różnych warunków środowiskowych i genetycznych istotnych dla jej uprawy, zwłaszcza w krajach takich jak Brazylia;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Q.</w:t>
      </w:r>
      <w:r w:rsidRPr="00BC6D2C">
        <w:tab/>
        <w:t>mając na uwadze, że ocena toksyczności Cry1B.34 nie uwzględnia skutków skojarzonych ze składnikami roślin lub pozostałościami po zastosowaniu herbicydów;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R.</w:t>
      </w:r>
      <w:r w:rsidRPr="00BC6D2C">
        <w:tab/>
        <w:t>mając na uwadze, że glufosynat, herbicyd uzupełniający, wiąże się ze znacznym ryzykiem dla różnorodności biologicznej, jakości gleby i wody oraz zdrowia ekosystemów w długiej perspektywie;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S.</w:t>
      </w:r>
      <w:r w:rsidRPr="00BC6D2C">
        <w:tab/>
        <w:t>mając na uwadze, że ryzyko przepływu genów do dzikich gatunków spokrewnionych, w tym teosinte w Hiszpanii i Francji, stwarza obawy dotyczące trwałości transgenu i skutków środowiskowych;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T.</w:t>
      </w:r>
      <w:r w:rsidRPr="00BC6D2C">
        <w:tab/>
        <w:t xml:space="preserve">mając na uwadze, że nie uwzględniono należycie wymogów dotyczących monitorowania, określonych w rozporządzeniu wykonawczym (UE) nr 503/2013, w </w:t>
      </w:r>
      <w:r w:rsidRPr="00BC6D2C">
        <w:lastRenderedPageBreak/>
        <w:t>związku z tym, że nie przedstawiono niezależnej weryfikacji danych;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Zapewnienie równych warunków działania na całym świecie i realizacja międzynarodowych zobowiązań Unii</w:t>
      </w:r>
    </w:p>
    <w:p w:rsidR="00906EF5" w:rsidRPr="00BC6D2C" w:rsidRDefault="00906EF5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 w:rsidRPr="00BC6D2C">
        <w:t>U.</w:t>
      </w:r>
      <w:r w:rsidRPr="00BC6D2C">
        <w:tab/>
        <w:t>mając na uwadze, że we wnioskach ze strategicznego dialogu na temat przyszłości rolnictwa w UE</w:t>
      </w:r>
      <w:r w:rsidRPr="00BC6D2C">
        <w:rPr>
          <w:vertAlign w:val="superscript"/>
        </w:rPr>
        <w:footnoteReference w:id="11"/>
      </w:r>
      <w:r w:rsidRPr="00BC6D2C">
        <w:t xml:space="preserve"> wzywa się Komisję do ponownego ocenienia podejścia do kwestii wprowadzenia do obrotu produktów rolno-spożywczych w imporcie i eksporcie, z uwzględnieniem wyzwania, jakie stanowią rozbieżne standardy Unii i jej partnerów handlowych; mając na uwadze, że sprawiedliwsze stosunki handlowe na poziomie globalnym, spójne z celami na rzecz zdrowego środowiska, były jednym z głównych postulatów rolników podczas demonstracji w latach 2023 i 2024;</w:t>
      </w:r>
    </w:p>
    <w:p w:rsidR="00906EF5" w:rsidRDefault="00906EF5" w:rsidP="00906EF5">
      <w:pPr>
        <w:pStyle w:val="NormalHanging12a"/>
        <w:tabs>
          <w:tab w:val="left" w:pos="0"/>
        </w:tabs>
        <w:suppressAutoHyphens/>
      </w:pPr>
      <w:r w:rsidRPr="00BC6D2C">
        <w:t>V.</w:t>
      </w:r>
      <w:r w:rsidRPr="00BC6D2C">
        <w:tab/>
        <w:t>mając na uwadze, że w sprawozdaniu specjalnej sprawozdawczyni Organizacji Narodów Zjednoczonych (ONZ) ds. prawa do żywności z 2017 r. stwierdzono, że szczególnie w krajach rozwijających się niebezpieczne pestycydy mają katastrofalne skutki dla zdrowia</w:t>
      </w:r>
      <w:r w:rsidRPr="00BC6D2C">
        <w:rPr>
          <w:vertAlign w:val="superscript"/>
        </w:rPr>
        <w:footnoteReference w:id="12"/>
      </w:r>
      <w:r w:rsidRPr="00BC6D2C">
        <w:t>; mając na uwadze, że cel zrównoważonego rozwoju ONZ nr 3.9 zmierza do znacznego zmniejszenia do 2030 r. liczby zgonów i chorób spowodowanych niebezpiecznymi chemikaliami oraz zanieczyszczeniem i skażeniem powietrza, wody i gleby</w:t>
      </w:r>
      <w:r w:rsidRPr="00BC6D2C">
        <w:rPr>
          <w:rStyle w:val="FootnoteReference"/>
          <w:szCs w:val="24"/>
        </w:rPr>
        <w:footnoteReference w:id="13"/>
      </w:r>
      <w:r w:rsidRPr="00BC6D2C">
        <w:t>;</w:t>
      </w:r>
    </w:p>
    <w:p w:rsidR="00026358" w:rsidRPr="00BC6D2C" w:rsidRDefault="00026358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>
        <w:rPr>
          <w:szCs w:val="24"/>
        </w:rPr>
        <w:t>W</w:t>
      </w:r>
      <w:r w:rsidRPr="00026358">
        <w:rPr>
          <w:szCs w:val="24"/>
        </w:rPr>
        <w:t>.</w:t>
      </w:r>
      <w:r w:rsidRPr="00026358">
        <w:rPr>
          <w:szCs w:val="24"/>
        </w:rPr>
        <w:tab/>
        <w:t xml:space="preserve">mając na uwadze, że umowa handlowa między UE a Mercosurem zachęci do przywozu do Unii żywności i paszy dla zwierząt zawierających organizmy zmodyfikowane genetycznie, składających się z nich lub z nich wyprodukowanych; mając na uwadze, że Brazylia i Argentyna należą do największych na świecie producentów GMO i użytkowników pestycydów, w tym GMO i pestycydów zakazanych w Unii ze względów zdrowotnych lub środowiskowych; </w:t>
      </w:r>
    </w:p>
    <w:p w:rsidR="00906EF5" w:rsidRPr="00BC6D2C" w:rsidRDefault="00026358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>
        <w:t>X</w:t>
      </w:r>
      <w:r w:rsidR="00906EF5" w:rsidRPr="00BC6D2C">
        <w:t>.</w:t>
      </w:r>
      <w:r w:rsidR="00906EF5" w:rsidRPr="00BC6D2C">
        <w:tab/>
        <w:t>mając na uwadze, że w grudniu 2022 r. podczas COP15 Konwencji ONZ o różnorodności biologicznej uzgodniono globalne ramy różnorodności biologicznej z Kunmingu/Montrealu, które obejmują globalny cel zmniejszenia ryzyka związanego z pestycydami o co najmniej 50 % do 2030 r.</w:t>
      </w:r>
      <w:r w:rsidR="00906EF5" w:rsidRPr="00BC6D2C">
        <w:rPr>
          <w:vertAlign w:val="superscript"/>
        </w:rPr>
        <w:footnoteReference w:id="14"/>
      </w:r>
      <w:r w:rsidR="00906EF5" w:rsidRPr="00BC6D2C">
        <w:t>;</w:t>
      </w:r>
    </w:p>
    <w:p w:rsidR="00906EF5" w:rsidRPr="00BC6D2C" w:rsidRDefault="00026358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>
        <w:t>Y</w:t>
      </w:r>
      <w:r w:rsidR="00906EF5" w:rsidRPr="00BC6D2C">
        <w:t>.</w:t>
      </w:r>
      <w:r w:rsidR="00906EF5" w:rsidRPr="00BC6D2C">
        <w:tab/>
        <w:t>mając na uwadze, że zgodnie z rozporządzeniem (WE) nr 1829/2003 genetycznie zmodyfikowana żywność lub pasza nie mogą wywierać szkodliwego wpływu na zdrowie ludzi i zwierząt ani na środowisko naturalne, a przy sporządzaniu decyzji Komisja musi brać pod uwagę wszelkie istotne przepisy prawa Unii oraz inne uzasadnione czynniki istotne dla sprawy; mając na uwadze, że takie uzasadnione czynniki powinny obejmować zobowiązania Unii wynikające z celów zrównoważonego rozwoju ONZ i z Konwencji ONZ o różnorodności biologicznej;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Zmniejszenie zależności od paszy z importu</w:t>
      </w:r>
    </w:p>
    <w:p w:rsidR="00906EF5" w:rsidRPr="00BC6D2C" w:rsidRDefault="00026358" w:rsidP="00906EF5">
      <w:pPr>
        <w:pStyle w:val="NormalHanging12a"/>
        <w:tabs>
          <w:tab w:val="left" w:pos="0"/>
        </w:tabs>
        <w:suppressAutoHyphens/>
        <w:rPr>
          <w:b/>
          <w:i/>
          <w:szCs w:val="24"/>
        </w:rPr>
      </w:pPr>
      <w:r>
        <w:lastRenderedPageBreak/>
        <w:t>Z</w:t>
      </w:r>
      <w:r w:rsidR="00906EF5" w:rsidRPr="00BC6D2C">
        <w:t>.</w:t>
      </w:r>
      <w:r w:rsidR="00906EF5" w:rsidRPr="00BC6D2C">
        <w:tab/>
        <w:t>mając na uwadze, że jednym z wniosków wyciągniętych z kryzysu związanego z COVID-19 i trwającej wojny w Ukrainie jest potrzeba, aby Unia uniezależniła się od niektórych materiałów krytycznych; mając na uwadze, że w piśmie określającym zadania komisarza Christophe’a Hansena przewodnicząca Komisji Ursula von der Leyen zwraca się do niego, by przeanalizował sposoby ograniczenia importu kluczowych towarów</w:t>
      </w:r>
      <w:r w:rsidR="00906EF5" w:rsidRPr="00BC6D2C">
        <w:rPr>
          <w:rStyle w:val="FootnoteReference"/>
          <w:szCs w:val="24"/>
        </w:rPr>
        <w:footnoteReference w:id="15"/>
      </w:r>
      <w:r w:rsidR="00906EF5" w:rsidRPr="00BC6D2C">
        <w:t xml:space="preserve">; </w:t>
      </w:r>
    </w:p>
    <w:p w:rsidR="00906EF5" w:rsidRPr="00BC6D2C" w:rsidRDefault="00906EF5" w:rsidP="00906EF5">
      <w:pPr>
        <w:pStyle w:val="NormalHanging12a"/>
        <w:rPr>
          <w:b/>
          <w:i/>
          <w:szCs w:val="24"/>
        </w:rPr>
      </w:pPr>
      <w:r w:rsidRPr="00BC6D2C">
        <w:rPr>
          <w:b/>
          <w:i/>
        </w:rPr>
        <w:t>Niedemokratyczny proces podejmowania decyzji</w:t>
      </w:r>
    </w:p>
    <w:p w:rsidR="00906EF5" w:rsidRPr="00BC6D2C" w:rsidRDefault="00026358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>
        <w:t>AA</w:t>
      </w:r>
      <w:r w:rsidR="00906EF5" w:rsidRPr="00BC6D2C">
        <w:t>.</w:t>
      </w:r>
      <w:r w:rsidR="00906EF5" w:rsidRPr="00BC6D2C">
        <w:tab/>
        <w:t>mając na uwadze, że w ósmej kadencji Parlament przyjął łącznie 36 rezolucji, w których sprzeciwił się wprowadzeniu do obrotu GMO do zastosowania w żywności i paszy (33 rezolucje) oraz uprawie GMO w Unii (trzy rezolucje); mając na uwadze, że w dziewiątej kadencji Parlament przyjął 38 rezolucji, w których sprzeciwił się wprowadzaniu GMO do obrotu, a w obecnej 10. kadencji przyjął już 8 rezolucji, w których sprzeciwił się wprowadzaniu GMO do obrotu;</w:t>
      </w:r>
    </w:p>
    <w:p w:rsidR="00906EF5" w:rsidRPr="00BC6D2C" w:rsidRDefault="00026358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>
        <w:t>AB</w:t>
      </w:r>
      <w:r w:rsidR="00906EF5" w:rsidRPr="00BC6D2C">
        <w:t>.</w:t>
      </w:r>
      <w:r w:rsidR="00906EF5" w:rsidRPr="00BC6D2C">
        <w:tab/>
        <w:t>mając na uwadze, że Komisja nadal wydaje zezwolenia na GMO, mimo że sama stwierdziła niedemokratyczność tego procesu, a także mimo braku poparcia ze strony państw członkowskich i sprzeciwów Parlamentu;</w:t>
      </w:r>
    </w:p>
    <w:p w:rsidR="00906EF5" w:rsidRPr="00BC6D2C" w:rsidRDefault="00026358" w:rsidP="00906EF5">
      <w:pPr>
        <w:pStyle w:val="NormalHanging12a"/>
        <w:tabs>
          <w:tab w:val="left" w:pos="0"/>
        </w:tabs>
        <w:suppressAutoHyphens/>
        <w:rPr>
          <w:szCs w:val="24"/>
        </w:rPr>
      </w:pPr>
      <w:r>
        <w:t>AC</w:t>
      </w:r>
      <w:r w:rsidR="00906EF5" w:rsidRPr="00BC6D2C">
        <w:t>.</w:t>
      </w:r>
      <w:r w:rsidR="00906EF5" w:rsidRPr="00BC6D2C">
        <w:tab/>
        <w:t>mając na uwadze, że żadna zmiana w prawie nie jest konieczna, by Komisja mogła nie zatwierdzić GMO, jeżeli w komitecie odwoławczym</w:t>
      </w:r>
      <w:r w:rsidR="00906EF5" w:rsidRPr="00BC6D2C">
        <w:rPr>
          <w:rStyle w:val="FootnoteReference"/>
          <w:szCs w:val="24"/>
        </w:rPr>
        <w:footnoteReference w:id="16"/>
      </w:r>
      <w:r w:rsidR="00906EF5" w:rsidRPr="00BC6D2C">
        <w:t xml:space="preserve"> kwalifikowana większość państw członkowskich nie opowie się za zatwierdzeniem;</w:t>
      </w:r>
    </w:p>
    <w:p w:rsidR="00906EF5" w:rsidRPr="00BC6D2C" w:rsidRDefault="00026358" w:rsidP="00906EF5">
      <w:pPr>
        <w:suppressAutoHyphens/>
        <w:spacing w:after="240"/>
        <w:ind w:left="567" w:hanging="567"/>
        <w:rPr>
          <w:szCs w:val="24"/>
          <w:shd w:val="clear" w:color="auto" w:fill="FFFFFF"/>
        </w:rPr>
      </w:pPr>
      <w:r>
        <w:t>AD</w:t>
      </w:r>
      <w:r w:rsidR="00906EF5" w:rsidRPr="00BC6D2C">
        <w:t>.</w:t>
      </w:r>
      <w:r w:rsidR="00906EF5" w:rsidRPr="00BC6D2C">
        <w:tab/>
      </w:r>
      <w:r w:rsidR="00906EF5" w:rsidRPr="00BC6D2C">
        <w:rPr>
          <w:shd w:val="clear" w:color="auto" w:fill="FFFFFF"/>
        </w:rPr>
        <w:t>mając na uwadze, że 22 listopada 2024 r. Stały Komitet ds. Roślin, Zwierząt, Żywności i Pasz, o którym mowa w art. 35 rozporządzenia (WE) nr 1829/2003, nie wydał opinii w głosowaniu, co oznacza, że zezwolenia nie poparła kwalifikowana większość państw członkowskich; mając na uwadze, że w wyniku głosowania 17 grudnia 2024 r. komitet odwoławczy po raz kolejny nie wydał opinii;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1.</w:t>
      </w:r>
      <w:r w:rsidRPr="00BC6D2C">
        <w:tab/>
        <w:t>uważa, że projekt decyzji wykonawczej Komisji przekracza uprawnienia wykonawcze przewidziane w rozporządzeniu (WE) nr 1829/2003;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2.</w:t>
      </w:r>
      <w:r w:rsidRPr="00BC6D2C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BC6D2C">
        <w:rPr>
          <w:rStyle w:val="FootnoteReference"/>
          <w:szCs w:val="24"/>
        </w:rPr>
        <w:footnoteReference w:id="17"/>
      </w:r>
      <w:r w:rsidRPr="00BC6D2C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lastRenderedPageBreak/>
        <w:t>3.</w:t>
      </w:r>
      <w:r w:rsidRPr="00BC6D2C">
        <w:tab/>
        <w:t>wzywa Komisję do wycofania projektu decyzji wykonawczej oraz do przedłożenia komitetowi nowego projektu;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4.</w:t>
      </w:r>
      <w:r w:rsidRPr="00BC6D2C">
        <w:tab/>
        <w:t>wzywa Komisję do zapewnienia zbieżności norm między Unią a jej partnerami w negocjacjach dotyczących umów o wolnym handlu, aby spełnić unijne normy bezpieczeństwa;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5.</w:t>
      </w:r>
      <w:r w:rsidRPr="00BC6D2C">
        <w:tab/>
        <w:t>wzywa Komisję, aby zgodnie z podejściem „Jedno zdrowie” nie zezwalała na uprawę kukurydzy GM ze względu na zwiększone zagrożenia dla różnorodności biologicznej, bezpieczeństwa żywności i zdrowia pracowników;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6.</w:t>
      </w:r>
      <w:r w:rsidRPr="00BC6D2C">
        <w:tab/>
        <w:t>oczekuje, że Komisja – w trybie pilnym – wywiąże się ze swojego zobowiązania</w:t>
      </w:r>
      <w:r w:rsidRPr="00BC6D2C">
        <w:rPr>
          <w:rStyle w:val="FootnoteReference"/>
          <w:szCs w:val="24"/>
        </w:rPr>
        <w:footnoteReference w:id="18"/>
      </w:r>
      <w:r w:rsidRPr="00BC6D2C">
        <w:t xml:space="preserve"> do przedstawienia wniosku, który zagwarantuje, że niebezpieczne chemikalia zakazane w Unii nie będą produkowane na eksport;</w:t>
      </w:r>
    </w:p>
    <w:p w:rsidR="00906EF5" w:rsidRPr="00BC6D2C" w:rsidRDefault="00906EF5" w:rsidP="00906EF5">
      <w:pPr>
        <w:pStyle w:val="NormalHanging12a"/>
        <w:rPr>
          <w:szCs w:val="24"/>
        </w:rPr>
      </w:pPr>
      <w:r w:rsidRPr="00BC6D2C">
        <w:t>7.</w:t>
      </w:r>
      <w:r w:rsidRPr="00BC6D2C">
        <w:tab/>
        <w:t>wyraża zadowolenie, że w skierowanym do posłów i posłanek piśmie z 11 września 2020 r. Komisja w końcu przyznała, iż przy podejmowaniu decyzji o zezwoleniu na wprowadzenie GMO</w:t>
      </w:r>
      <w:r w:rsidRPr="00BC6D2C">
        <w:rPr>
          <w:rStyle w:val="FootnoteReference"/>
          <w:szCs w:val="24"/>
        </w:rPr>
        <w:footnoteReference w:id="19"/>
      </w:r>
      <w:r w:rsidRPr="00BC6D2C">
        <w:t xml:space="preserve"> należy uwzględniać zasady zrównoważonego rozwoju; jest jednak głęboko rozczarowany, że od tego czasu Komisja wciąż zezwala na przywóz GMO do Unii mimo sprzeciwu Parlamentu i większości państw członkowskich;</w:t>
      </w:r>
    </w:p>
    <w:p w:rsidR="00906EF5" w:rsidRPr="00BC6D2C" w:rsidRDefault="00906EF5" w:rsidP="00906EF5">
      <w:pPr>
        <w:pStyle w:val="NormalHanging12a"/>
      </w:pPr>
      <w:r w:rsidRPr="00BC6D2C">
        <w:t>8.</w:t>
      </w:r>
      <w:r w:rsidRPr="00BC6D2C">
        <w:tab/>
        <w:t>ponownie apeluje do Komisji o uwzględnianie zobowiązań Unii wynikających z umów międzynarodowych, takich jak paryskie porozumienie klimatyczne, Konwencja ONZ o różnorodności biologicznej i cele zrównoważonego rozwoju ONZ; ponawia apel, by projektom aktów wykonawczych towarzyszyło uzasadnienie wyjaśniające, jak zapewniają one przestrzeganie zasady „nie szkodzić”</w:t>
      </w:r>
      <w:r w:rsidRPr="00BC6D2C">
        <w:rPr>
          <w:rStyle w:val="FootnoteReference"/>
          <w:szCs w:val="24"/>
        </w:rPr>
        <w:footnoteReference w:id="20"/>
      </w:r>
      <w:r w:rsidRPr="00BC6D2C">
        <w:t xml:space="preserve">; </w:t>
      </w:r>
    </w:p>
    <w:p w:rsidR="00BC6D2C" w:rsidRPr="00BC6D2C" w:rsidRDefault="00906EF5" w:rsidP="00BC6D2C">
      <w:pPr>
        <w:pStyle w:val="NormalHanging12a"/>
      </w:pPr>
      <w:r w:rsidRPr="00BC6D2C">
        <w:t>9.</w:t>
      </w:r>
      <w:r w:rsidRPr="00BC6D2C">
        <w:tab/>
        <w:t>zobowiązuje swoją przewodniczącą do przekazania niniejszej rezolucji Radzie i Komisji oraz rządom i parlamentom państw członkowskich.</w:t>
      </w:r>
    </w:p>
    <w:p w:rsidR="00E365E1" w:rsidRPr="00BC6D2C" w:rsidRDefault="00E365E1" w:rsidP="00A11FC6"/>
    <w:sectPr w:rsidR="00E365E1" w:rsidRPr="00BC6D2C" w:rsidSect="00BC6D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FC6" w:rsidRPr="00BC6D2C" w:rsidRDefault="00A11FC6">
      <w:r w:rsidRPr="00BC6D2C">
        <w:separator/>
      </w:r>
    </w:p>
  </w:endnote>
  <w:endnote w:type="continuationSeparator" w:id="0">
    <w:p w:rsidR="00A11FC6" w:rsidRPr="00BC6D2C" w:rsidRDefault="00A11FC6">
      <w:r w:rsidRPr="00BC6D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D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D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D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FC6" w:rsidRPr="00BC6D2C" w:rsidRDefault="00A11FC6">
      <w:r w:rsidRPr="00BC6D2C">
        <w:separator/>
      </w:r>
    </w:p>
  </w:footnote>
  <w:footnote w:type="continuationSeparator" w:id="0">
    <w:p w:rsidR="00A11FC6" w:rsidRPr="00BC6D2C" w:rsidRDefault="00A11FC6">
      <w:r w:rsidRPr="00BC6D2C">
        <w:continuationSeparator/>
      </w:r>
    </w:p>
  </w:footnote>
  <w:footnote w:id="1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Dz.U. L 268 z 18.10.2003, s. 1, ELI: </w:t>
      </w:r>
      <w:hyperlink r:id="rId1" w:tgtFrame="Gives access to this document through its ELI URI." w:history="1">
        <w:r w:rsidR="00026358" w:rsidRPr="001859CB">
          <w:rPr>
            <w:rStyle w:val="Hyperlink"/>
            <w:color w:val="0070C0"/>
            <w:sz w:val="24"/>
            <w:lang w:val="pl-PL"/>
          </w:rPr>
          <w:t>http://data.europa.eu/eli/reg/2003/1829/oj</w:t>
        </w:r>
      </w:hyperlink>
      <w:r w:rsidRPr="00BC6D2C">
        <w:rPr>
          <w:color w:val="000000" w:themeColor="text1"/>
          <w:sz w:val="24"/>
          <w:lang w:val="pl-PL"/>
        </w:rPr>
        <w:t>.</w:t>
      </w:r>
    </w:p>
  </w:footnote>
  <w:footnote w:id="2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Dz.U. L 55 z 28.2.2011, s. 13, ELI: </w:t>
      </w:r>
      <w:hyperlink r:id="rId2" w:tgtFrame="Gives access to this document through its ELI URI." w:history="1">
        <w:r w:rsidR="00026358" w:rsidRPr="001859CB">
          <w:rPr>
            <w:rStyle w:val="Hyperlink"/>
            <w:color w:val="0070C0"/>
            <w:sz w:val="24"/>
            <w:lang w:val="pl-PL"/>
          </w:rPr>
          <w:t>http://data.europa.eu/eli/reg/2011/182/oj</w:t>
        </w:r>
      </w:hyperlink>
      <w:r w:rsidRPr="00BC6D2C">
        <w:rPr>
          <w:color w:val="000000" w:themeColor="text1"/>
          <w:sz w:val="24"/>
          <w:lang w:val="pl-PL"/>
        </w:rPr>
        <w:t>.</w:t>
      </w:r>
    </w:p>
  </w:footnote>
  <w:footnote w:id="3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 xml:space="preserve">Opinia naukowa panelu EFSA ds. organizmów modyfikowanych genetycznie dotycząca oceny genetycznie zmodyfikowanej kukurydzy DP910521 (wniosek GMFF-2021-2473), Dziennik EFSA (2024);22(8):e8887, </w:t>
      </w:r>
      <w:hyperlink r:id="rId3" w:history="1">
        <w:r w:rsidR="00026358" w:rsidRPr="001859CB">
          <w:rPr>
            <w:rStyle w:val="Hyperlink"/>
            <w:color w:val="0070C0"/>
            <w:sz w:val="24"/>
            <w:lang w:val="en-GB"/>
          </w:rPr>
          <w:t>https://doi.org/10.2903/j.efsa.2024.8887</w:t>
        </w:r>
      </w:hyperlink>
      <w:r w:rsidR="00026358">
        <w:rPr>
          <w:color w:val="000000" w:themeColor="text1"/>
          <w:sz w:val="24"/>
          <w:lang w:val="pl-PL"/>
        </w:rPr>
        <w:t>.</w:t>
      </w:r>
    </w:p>
  </w:footnote>
  <w:footnote w:id="4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r w:rsidRPr="00BC6D2C">
        <w:rPr>
          <w:sz w:val="24"/>
          <w:lang w:val="pl-PL"/>
        </w:rPr>
        <w:t>W ósmej kadencji Parlament przyjął 36 rezolucji, a w dziewiątej – 38 rezolucji sprzeciwiających się zatwierdzaniu GMO.</w:t>
      </w:r>
      <w:r w:rsidRPr="00BC6D2C">
        <w:rPr>
          <w:color w:val="000000" w:themeColor="text1"/>
          <w:sz w:val="24"/>
          <w:lang w:val="pl-PL"/>
        </w:rPr>
        <w:t xml:space="preserve"> Ponadto w dziesiątej kadencji Parlament przyjął następujące rezolucje: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26 listopada 2024 r. w sprawie decyzji wykonawczej Komisji (UE) 2024/2628 w sprawie odnowienia zezwolenia, na podstawie rozporządzenia (WE) nr 1829/2003 Parlamentu Europejskiego i Rady, na wprowadzanie do obrotu produktów zawierających genetycznie zmodyfikowaną kukurydzę MON 89034 × 1507 × NK603, składających się z niej lub z niej wyprodukowanych (P10_TA(2024)0038);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(P10_TA(2024)0039);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26 listopada 2024 r. w sprawie decyzji wykonawczej Komisji (UE) 2024/2629 w sprawie odnowienia zezwolenia, na podstawie rozporządzenia (WE) nr 1829/2003 Parlamentu Europejskiego i Rady, na wprowadzanie do obrotu produktów zawierających genetycznie zmodyfikowaną kukurydzę MON 89034 × 1507 × NK603, składających się z niej lub z niej wyprodukowanych (P10_TA(2024)0040);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(P10_TA(2024)0041);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(P10_TA(2024)0042);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(P10_TA(2024)0043);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2024/2618 zezwalającej na wprowadzenie do obrotu, na podstawie rozporządzenia (WE) nr 1829/2003 Parlamentu Europejskiego i Rady, produktów zawierających genetycznie zmodyfikowaną kukurydzę DP202216, składających się z niej lub z niej wyprodukowanych (P10_TA(2024)0044);</w:t>
      </w:r>
    </w:p>
    <w:p w:rsidR="00906EF5" w:rsidRPr="00BC6D2C" w:rsidRDefault="00BC6D2C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color w:val="000000" w:themeColor="text1"/>
          <w:sz w:val="24"/>
          <w:lang w:val="pl-PL"/>
        </w:rPr>
        <w:tab/>
      </w:r>
      <w:r w:rsidR="00906EF5" w:rsidRPr="00BC6D2C">
        <w:rPr>
          <w:color w:val="000000" w:themeColor="text1"/>
          <w:sz w:val="24"/>
          <w:lang w:val="pl-PL"/>
        </w:rPr>
        <w:t>–</w:t>
      </w:r>
      <w:r w:rsidR="00906EF5" w:rsidRPr="00BC6D2C">
        <w:rPr>
          <w:color w:val="000000" w:themeColor="text1"/>
          <w:sz w:val="24"/>
          <w:lang w:val="pl-PL"/>
        </w:rPr>
        <w:tab/>
        <w:t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(P10_TA(2024)0045).</w:t>
      </w:r>
    </w:p>
  </w:footnote>
  <w:footnote w:id="5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ootnoteReference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 xml:space="preserve">Rozporządzenie Parlamentu Europejskiego i Rady (WE) nr 1107/2009 z dnia 21 października 2009 r. dotyczące wprowadzania do obrotu środków ochrony roślin i uchylające dyrektywy Rady 79/117/EWG i 91/414/EWG (Dz.U. L 309 z 24.11.2009, s. 1, ELI: </w:t>
      </w:r>
      <w:hyperlink r:id="rId4" w:history="1">
        <w:r w:rsidR="00026358" w:rsidRPr="001859CB">
          <w:rPr>
            <w:rStyle w:val="Hyperlink"/>
            <w:color w:val="0070C0"/>
            <w:sz w:val="24"/>
            <w:lang w:val="en-GB"/>
          </w:rPr>
          <w:t>https://eur-lex.europa.eu/eli/reg/2009/1107/oj</w:t>
        </w:r>
      </w:hyperlink>
      <w:r w:rsidRPr="00BC6D2C">
        <w:rPr>
          <w:rStyle w:val="Hyperlink"/>
          <w:color w:val="000000" w:themeColor="text1"/>
          <w:sz w:val="24"/>
          <w:lang w:val="pl-PL"/>
        </w:rPr>
        <w:t>).</w:t>
      </w:r>
    </w:p>
  </w:footnote>
  <w:footnote w:id="6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r w:rsidRPr="00BC6D2C">
        <w:rPr>
          <w:sz w:val="24"/>
          <w:lang w:val="pl-PL"/>
        </w:rPr>
        <w:t>Rozporządzenie wykonawcze Komisji (UE) nr 503/2013 z dnia 3 kwietnia 2013 r. w sprawie wniosków o zatwierdzenie genetycznie zmodyfikowanej żywności i paszy zgodnie z rozporządzeniem (WE) nr 1829/2003 Parlamentu Europejskiego i Rady oraz zmieniające rozporządzenia Komisji (WE) nr 641/2004 i (WE) nr 1981/2006 (Dz.U. L 157 z 8.6.2013, s. 1, ELI:</w:t>
      </w:r>
      <w:r w:rsidRPr="00BC6D2C">
        <w:rPr>
          <w:color w:val="000000" w:themeColor="text1"/>
          <w:sz w:val="24"/>
          <w:lang w:val="pl-PL"/>
        </w:rPr>
        <w:t xml:space="preserve"> </w:t>
      </w:r>
      <w:hyperlink r:id="rId5" w:tgtFrame="Gives access to this document through its ELI URI." w:history="1">
        <w:r w:rsidR="00026358" w:rsidRPr="001859CB">
          <w:rPr>
            <w:rStyle w:val="Hyperlink"/>
            <w:color w:val="0070C0"/>
            <w:sz w:val="24"/>
            <w:lang w:val="en-GB"/>
          </w:rPr>
          <w:t>http://data.europa.eu/eli/reg_impl/2013/503/oj</w:t>
        </w:r>
      </w:hyperlink>
      <w:r w:rsidRPr="00BC6D2C">
        <w:rPr>
          <w:color w:val="000000" w:themeColor="text1"/>
          <w:sz w:val="24"/>
          <w:lang w:val="pl-PL"/>
        </w:rPr>
        <w:t>).</w:t>
      </w:r>
    </w:p>
  </w:footnote>
  <w:footnote w:id="7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r w:rsidRPr="00BC6D2C">
        <w:rPr>
          <w:sz w:val="24"/>
          <w:lang w:val="pl-PL"/>
        </w:rPr>
        <w:t xml:space="preserve">Zob. na przykład Schulz, R., Bub, S., Petschick, L. L., Stehle, S., Wolfram, J. (2021) „Applied pesticide toxicity shifts towards plants and invertebrates, even in GM crops” [Toksyczność stosowanych pestycydów przesuwa się w kierunku roślin i bezkręgowców, nawet w uprawach modyfikowanych genetycznie], Science 372(6537), s. 81–84, </w:t>
      </w:r>
      <w:hyperlink r:id="rId6" w:history="1">
        <w:r w:rsidR="00026358" w:rsidRPr="001859CB">
          <w:rPr>
            <w:rStyle w:val="Hyperlink"/>
            <w:color w:val="0070C0"/>
            <w:sz w:val="24"/>
            <w:lang w:val="en-GB"/>
          </w:rPr>
          <w:t>https://doi.org/10.1126/science.abe1148</w:t>
        </w:r>
      </w:hyperlink>
      <w:r w:rsidRPr="00BC6D2C">
        <w:rPr>
          <w:sz w:val="24"/>
          <w:lang w:val="pl-PL"/>
        </w:rPr>
        <w:t>;</w:t>
      </w:r>
      <w:r w:rsidRPr="00BC6D2C">
        <w:rPr>
          <w:color w:val="000000" w:themeColor="text1"/>
          <w:sz w:val="24"/>
          <w:lang w:val="pl-PL"/>
        </w:rPr>
        <w:t xml:space="preserve"> Bonny, S., ‘Genetically Modified Herbicide-Tolerant Crops, Weeds, and Herbicides: Overview and Impact, Environmental Management, styczeń 2016 r.; 57(1), s. 31–48,</w:t>
      </w:r>
      <w:r w:rsidRPr="00BC6D2C">
        <w:rPr>
          <w:sz w:val="24"/>
          <w:lang w:val="pl-PL"/>
        </w:rPr>
        <w:t xml:space="preserve"> </w:t>
      </w:r>
      <w:hyperlink r:id="rId7" w:history="1">
        <w:hyperlink r:id="rId8" w:history="1">
          <w:r w:rsidR="00026358" w:rsidRPr="001859CB">
            <w:rPr>
              <w:rStyle w:val="Hyperlink"/>
              <w:color w:val="0070C0"/>
              <w:sz w:val="24"/>
              <w:lang w:val="en-GB"/>
            </w:rPr>
            <w:t>https://www.ncbi.nlm.nih.gov/pubmed/26296738</w:t>
          </w:r>
        </w:hyperlink>
        <w:r w:rsidRPr="00BC6D2C">
          <w:rPr>
            <w:rStyle w:val="Hyperlink"/>
            <w:color w:val="000000" w:themeColor="text1"/>
            <w:sz w:val="24"/>
            <w:lang w:val="pl-PL"/>
          </w:rPr>
          <w:t>;</w:t>
        </w:r>
      </w:hyperlink>
      <w:r w:rsidRPr="00BC6D2C">
        <w:rPr>
          <w:color w:val="000000" w:themeColor="text1"/>
          <w:sz w:val="24"/>
          <w:lang w:val="pl-PL"/>
        </w:rPr>
        <w:t xml:space="preserve"> </w:t>
      </w:r>
      <w:r w:rsidRPr="00BC6D2C">
        <w:rPr>
          <w:sz w:val="24"/>
          <w:lang w:val="pl-PL"/>
        </w:rPr>
        <w:t>oraz Benbrook, C.M., „Impacts of genetically engineered crops on pesticide use in the U.S. – the first sixteen years” [Wpływ genetycznie modyfikowanych upraw na stosowanie pestycydów w USA – pierwsze szesnaście lat], Environmental Sciences Europe, 28 września 2012</w:t>
      </w:r>
      <w:r w:rsidR="007A3C14">
        <w:rPr>
          <w:sz w:val="24"/>
          <w:lang w:val="pl-PL"/>
        </w:rPr>
        <w:t xml:space="preserve"> r.</w:t>
      </w:r>
      <w:bookmarkStart w:id="7" w:name="_GoBack"/>
      <w:bookmarkEnd w:id="7"/>
      <w:r w:rsidRPr="00BC6D2C">
        <w:rPr>
          <w:sz w:val="24"/>
          <w:lang w:val="pl-PL"/>
        </w:rPr>
        <w:t xml:space="preserve">, tom 24(24), </w:t>
      </w:r>
      <w:hyperlink r:id="rId9" w:history="1">
        <w:r w:rsidR="00026358" w:rsidRPr="001859CB">
          <w:rPr>
            <w:rStyle w:val="Hyperlink"/>
            <w:color w:val="0070C0"/>
            <w:sz w:val="24"/>
            <w:lang w:val="en-GB"/>
          </w:rPr>
          <w:t>https://enveurope.springeropen.com/articles/10.1186/2190-4715-24-24</w:t>
        </w:r>
      </w:hyperlink>
      <w:r w:rsidRPr="00BC6D2C">
        <w:rPr>
          <w:sz w:val="24"/>
          <w:lang w:val="pl-PL"/>
        </w:rPr>
        <w:t>.</w:t>
      </w:r>
    </w:p>
  </w:footnote>
  <w:footnote w:id="8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r w:rsidRPr="00BC6D2C">
        <w:rPr>
          <w:sz w:val="24"/>
          <w:lang w:val="pl-PL"/>
        </w:rPr>
        <w:t xml:space="preserve">Zob. Rubio-Infante, N., Moreno-Fierros, L., „An overview of the safety and biological effects of Bacillus thuringiensis Cry toxins in mammals” [Przegląd bezpieczeństwa i skutków biologicznych toksyn Cry Bacillus thuringiensis u ssaków], Journal of Applied Toxicology, maj 2016 r., 36(5), s. 630–648, </w:t>
      </w:r>
      <w:hyperlink r:id="rId10" w:history="1">
        <w:hyperlink r:id="rId11" w:history="1">
          <w:r w:rsidR="00026358" w:rsidRPr="001859CB">
            <w:rPr>
              <w:rStyle w:val="Hyperlink"/>
              <w:color w:val="0070C0"/>
              <w:sz w:val="24"/>
              <w:lang w:val="en-GB"/>
            </w:rPr>
            <w:t>https://onlinelibrary.wiley.com/doi/full/10.1002/jat.3252</w:t>
          </w:r>
        </w:hyperlink>
        <w:r w:rsidRPr="00BC6D2C">
          <w:rPr>
            <w:rStyle w:val="Hyperlink"/>
            <w:color w:val="000000" w:themeColor="text1"/>
            <w:sz w:val="24"/>
            <w:lang w:val="pl-PL"/>
          </w:rPr>
          <w:t>.</w:t>
        </w:r>
      </w:hyperlink>
    </w:p>
  </w:footnote>
  <w:footnote w:id="9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Bøhn, T., Macagnan Rover, C., Semenchuk, P. R., ‘</w:t>
      </w:r>
      <w:r w:rsidRPr="00BC6D2C">
        <w:rPr>
          <w:i/>
          <w:color w:val="000000" w:themeColor="text1"/>
          <w:sz w:val="24"/>
          <w:lang w:val="pl-PL"/>
        </w:rPr>
        <w:t>Daphnia magna</w:t>
      </w:r>
      <w:r w:rsidRPr="00BC6D2C">
        <w:rPr>
          <w:color w:val="000000" w:themeColor="text1"/>
          <w:sz w:val="24"/>
          <w:lang w:val="pl-PL"/>
        </w:rPr>
        <w:t xml:space="preserve"> negatively affected by chronic exposure to purified Cry-toxins’, Food and Chemical Toxicology, maj 2016, tom 91, s. 130-140, </w:t>
      </w:r>
      <w:hyperlink r:id="rId12" w:history="1">
        <w:r w:rsidR="00026358" w:rsidRPr="001859CB">
          <w:rPr>
            <w:rStyle w:val="Hyperlink"/>
            <w:color w:val="0070C0"/>
            <w:sz w:val="24"/>
            <w:lang w:val="en-GB"/>
          </w:rPr>
          <w:t>https://www.sciencedirect.com/science/article/pii/S0278691516300722</w:t>
        </w:r>
      </w:hyperlink>
      <w:r w:rsidRPr="00BC6D2C">
        <w:rPr>
          <w:rStyle w:val="Hyperlink"/>
          <w:color w:val="000000" w:themeColor="text1"/>
          <w:sz w:val="24"/>
          <w:lang w:val="pl-PL"/>
        </w:rPr>
        <w:t>.</w:t>
      </w:r>
    </w:p>
  </w:footnote>
  <w:footnote w:id="10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hyperlink r:id="rId13" w:history="1">
        <w:r w:rsidR="00026358" w:rsidRPr="001859CB">
          <w:rPr>
            <w:rStyle w:val="Hyperlink"/>
            <w:color w:val="0070C0"/>
            <w:sz w:val="24"/>
            <w:lang w:val="en-GB"/>
          </w:rPr>
          <w:t>https://efsa.onlinelibrary.wiley.com/action/downloadSupplement?doi=10.2903%2Fj.‌efsa.2024.8716&amp;file=efs28716-sup-0012-Annex8.pdf</w:t>
        </w:r>
      </w:hyperlink>
      <w:r w:rsidRPr="00BC6D2C">
        <w:rPr>
          <w:rStyle w:val="Hyperlink"/>
          <w:color w:val="000000" w:themeColor="text1"/>
          <w:sz w:val="24"/>
          <w:lang w:val="pl-PL"/>
        </w:rPr>
        <w:t>.</w:t>
      </w:r>
    </w:p>
  </w:footnote>
  <w:footnote w:id="11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Strategiczny dialog na temat przyszłości rolnictwa UE – wspólna perspektywa rolnictwa i żywności w Europie, wrzesień 2024</w:t>
      </w:r>
      <w:r w:rsidRPr="00BC6D2C">
        <w:rPr>
          <w:sz w:val="24"/>
          <w:lang w:val="pl-PL"/>
        </w:rPr>
        <w:t xml:space="preserve">, </w:t>
      </w:r>
      <w:hyperlink r:id="rId14" w:history="1">
        <w:hyperlink r:id="rId15" w:history="1">
          <w:r w:rsidR="00026358" w:rsidRPr="001859CB">
            <w:rPr>
              <w:rStyle w:val="Hyperlink"/>
              <w:color w:val="0070C0"/>
              <w:sz w:val="24"/>
              <w:lang w:val="en-GB"/>
            </w:rPr>
            <w:t>https://agriculture.ec.europa.eu/document/download/171329ff-0f50-4fa5-946f-aea11032172e_en?filename=strategic-dialogue-report-2024_en.pdf</w:t>
          </w:r>
        </w:hyperlink>
        <w:r w:rsidRPr="00BC6D2C">
          <w:rPr>
            <w:rStyle w:val="Hyperlink"/>
            <w:color w:val="000000" w:themeColor="text1"/>
            <w:sz w:val="24"/>
            <w:lang w:val="pl-PL"/>
          </w:rPr>
          <w:t>.</w:t>
        </w:r>
      </w:hyperlink>
    </w:p>
  </w:footnote>
  <w:footnote w:id="12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hyperlink r:id="rId16" w:history="1">
        <w:r w:rsidR="00026358" w:rsidRPr="001859CB">
          <w:rPr>
            <w:rStyle w:val="Hyperlink"/>
            <w:color w:val="0070C0"/>
            <w:sz w:val="24"/>
            <w:lang w:val="en-GB"/>
          </w:rPr>
          <w:t>https://www.ohchr.org/en/documents/thematic-reports/ahrc3448-report-special-rapporteur-right-food</w:t>
        </w:r>
      </w:hyperlink>
      <w:r w:rsidRPr="00BC6D2C">
        <w:rPr>
          <w:color w:val="000000" w:themeColor="text1"/>
          <w:sz w:val="24"/>
          <w:lang w:val="pl-PL"/>
        </w:rPr>
        <w:t>.</w:t>
      </w:r>
    </w:p>
  </w:footnote>
  <w:footnote w:id="13">
    <w:p w:rsidR="00906EF5" w:rsidRPr="00BC6D2C" w:rsidRDefault="00906EF5" w:rsidP="00BC6D2C">
      <w:pPr>
        <w:pStyle w:val="FootnoteText"/>
        <w:ind w:left="567" w:hanging="567"/>
        <w:rPr>
          <w:sz w:val="24"/>
          <w:lang w:val="pl-PL"/>
        </w:rPr>
      </w:pPr>
      <w:r w:rsidRPr="00BC6D2C">
        <w:rPr>
          <w:rStyle w:val="FootnoteReference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hyperlink r:id="rId17" w:history="1">
        <w:r w:rsidR="00026358" w:rsidRPr="00E455A1">
          <w:rPr>
            <w:rStyle w:val="Hyperlink"/>
            <w:sz w:val="24"/>
            <w:lang w:val="en-GB"/>
          </w:rPr>
          <w:t>https://indicators.report/targets/3-9/</w:t>
        </w:r>
      </w:hyperlink>
      <w:r w:rsidRPr="00BC6D2C">
        <w:rPr>
          <w:rStyle w:val="Hyperlink"/>
          <w:sz w:val="24"/>
          <w:lang w:val="pl-PL"/>
        </w:rPr>
        <w:t>.</w:t>
      </w:r>
    </w:p>
  </w:footnote>
  <w:footnote w:id="14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r w:rsidRPr="00BC6D2C">
        <w:rPr>
          <w:sz w:val="24"/>
          <w:lang w:val="pl-PL"/>
        </w:rPr>
        <w:t xml:space="preserve">Zob. </w:t>
      </w:r>
      <w:hyperlink r:id="rId18" w:history="1">
        <w:r w:rsidRPr="00BC6D2C">
          <w:rPr>
            <w:rStyle w:val="Hyperlink"/>
            <w:sz w:val="24"/>
            <w:lang w:val="pl-PL"/>
          </w:rPr>
          <w:t>https://ec.europa.eu/commission/presscorner/detail/pl/ip_22_7834</w:t>
        </w:r>
      </w:hyperlink>
      <w:r w:rsidRPr="00BC6D2C">
        <w:rPr>
          <w:sz w:val="24"/>
          <w:lang w:val="pl-PL"/>
        </w:rPr>
        <w:t>.</w:t>
      </w:r>
    </w:p>
  </w:footnote>
  <w:footnote w:id="15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hyperlink r:id="rId19" w:history="1">
        <w:r w:rsidR="00026358" w:rsidRPr="001859CB">
          <w:rPr>
            <w:rStyle w:val="Hyperlink"/>
            <w:color w:val="0070C0"/>
            <w:sz w:val="24"/>
            <w:lang w:val="en-GB"/>
          </w:rPr>
          <w:t>https://commission.europa.eu/document/2c64e540-c07a-4376-a1da-368d289f4afe_en</w:t>
        </w:r>
      </w:hyperlink>
      <w:r w:rsidRPr="00BC6D2C">
        <w:rPr>
          <w:rStyle w:val="Hyperlink"/>
          <w:color w:val="000000" w:themeColor="text1"/>
          <w:sz w:val="24"/>
          <w:lang w:val="pl-PL"/>
        </w:rPr>
        <w:t>.</w:t>
      </w:r>
    </w:p>
  </w:footnote>
  <w:footnote w:id="16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Zgodnie z art. 6 ust. 3 rozporządzenia (UE) nr 182/2011 Komisja „może przyjąć”, a nie „przyjmuje” projekt aktu wykonawczego, jeżeli nie opowie się za nim kwalifikowana większość państw członkowskich w komitecie odwoławczym.</w:t>
      </w:r>
    </w:p>
  </w:footnote>
  <w:footnote w:id="17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1.2.2002, s. 1, ELI: </w:t>
      </w:r>
      <w:hyperlink r:id="rId20" w:tgtFrame="Gives access to this document through its ELI URI." w:history="1">
        <w:r w:rsidR="00026358" w:rsidRPr="001859CB">
          <w:rPr>
            <w:rStyle w:val="Hyperlink"/>
            <w:color w:val="0070C0"/>
            <w:sz w:val="24"/>
            <w:lang w:val="en-GB"/>
          </w:rPr>
          <w:t>http://data.europa.eu/eli/reg/2002/178/oj</w:t>
        </w:r>
      </w:hyperlink>
      <w:r w:rsidRPr="00BC6D2C">
        <w:rPr>
          <w:color w:val="000000" w:themeColor="text1"/>
          <w:sz w:val="24"/>
          <w:lang w:val="pl-PL"/>
        </w:rPr>
        <w:t>).</w:t>
      </w:r>
    </w:p>
  </w:footnote>
  <w:footnote w:id="18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ootnoteReference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Zgodnie z załącznikiem do komunikatu Komisji z 14 października 2020 r. pt. „Strategia w zakresie chemikaliów na rzecz zrównoważoności”, COM(2020)0667,</w:t>
      </w:r>
      <w:hyperlink r:id="rId21" w:anchor="document2" w:history="1">
        <w:r w:rsidR="00026358" w:rsidRPr="00026358">
          <w:rPr>
            <w:rStyle w:val="Hyperlink"/>
            <w:color w:val="0070C0"/>
            <w:sz w:val="24"/>
            <w:lang w:val="pl-PL"/>
          </w:rPr>
          <w:t>https://eur-lex.europa.eu/legal-content/EN/TXT/?uri=COM%3A2020%3A667%3AFIN#document2</w:t>
        </w:r>
      </w:hyperlink>
      <w:r w:rsidRPr="00BC6D2C">
        <w:rPr>
          <w:color w:val="000000" w:themeColor="text1"/>
          <w:sz w:val="24"/>
          <w:lang w:val="pl-PL"/>
        </w:rPr>
        <w:t xml:space="preserve">. </w:t>
      </w:r>
    </w:p>
  </w:footnote>
  <w:footnote w:id="19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sz w:val="24"/>
          <w:lang w:val="pl-PL"/>
        </w:rPr>
        <w:t xml:space="preserve"> </w:t>
      </w:r>
      <w:r w:rsidR="00BC6D2C" w:rsidRPr="00BC6D2C">
        <w:rPr>
          <w:sz w:val="24"/>
          <w:lang w:val="pl-PL"/>
        </w:rPr>
        <w:tab/>
      </w:r>
      <w:hyperlink r:id="rId22" w:history="1">
        <w:r w:rsidR="00026358" w:rsidRPr="001859CB">
          <w:rPr>
            <w:rStyle w:val="Hyperlink"/>
            <w:color w:val="0070C0"/>
            <w:sz w:val="24"/>
            <w:lang w:val="en-GB"/>
          </w:rPr>
          <w:t>https://tillymetz.lu/wp-content/uploads/2020/09/Co-signed-letter-MEP-Metz.pdf</w:t>
        </w:r>
      </w:hyperlink>
      <w:r w:rsidRPr="00BC6D2C">
        <w:rPr>
          <w:rStyle w:val="Hyperlink"/>
          <w:color w:val="000000" w:themeColor="text1"/>
          <w:sz w:val="24"/>
          <w:lang w:val="pl-PL"/>
        </w:rPr>
        <w:t>.</w:t>
      </w:r>
    </w:p>
  </w:footnote>
  <w:footnote w:id="20">
    <w:p w:rsidR="00906EF5" w:rsidRPr="00BC6D2C" w:rsidRDefault="00906EF5" w:rsidP="00BC6D2C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BC6D2C">
        <w:rPr>
          <w:rStyle w:val="Funotenzeichen"/>
          <w:color w:val="000000" w:themeColor="text1"/>
          <w:sz w:val="24"/>
          <w:lang w:val="pl-PL"/>
        </w:rPr>
        <w:footnoteRef/>
      </w:r>
      <w:r w:rsidR="00BC6D2C" w:rsidRPr="00BC6D2C">
        <w:rPr>
          <w:color w:val="000000" w:themeColor="text1"/>
          <w:sz w:val="24"/>
          <w:lang w:val="pl-PL"/>
        </w:rPr>
        <w:t xml:space="preserve"> </w:t>
      </w:r>
      <w:r w:rsidR="00BC6D2C" w:rsidRPr="00BC6D2C">
        <w:rPr>
          <w:color w:val="000000" w:themeColor="text1"/>
          <w:sz w:val="24"/>
          <w:lang w:val="pl-PL"/>
        </w:rPr>
        <w:tab/>
      </w:r>
      <w:r w:rsidRPr="00BC6D2C">
        <w:rPr>
          <w:color w:val="000000" w:themeColor="text1"/>
          <w:sz w:val="24"/>
          <w:lang w:val="pl-PL"/>
        </w:rPr>
        <w:t>Rezolucja Parlamentu Europejskiego z dnia 15 stycznia 2020 r. w sprawie Europejskiego Zielonego Ładu (Dz.U. C 270 z 7.7.2021, s.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D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D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D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1/2025"/>
    <w:docVar w:name="dvlangue" w:val="PL"/>
    <w:docVar w:name="dvnumam" w:val="0"/>
    <w:docVar w:name="dvpe" w:val="766.932"/>
    <w:docVar w:name="dvtitre" w:val="Rezolucja Parlamentu Europejskiego z dnia 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(D102174/03 – 2024/3010(RSP))"/>
  </w:docVars>
  <w:rsids>
    <w:rsidRoot w:val="00A11FC6"/>
    <w:rsid w:val="00002272"/>
    <w:rsid w:val="0002635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BF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C1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EF5"/>
    <w:rsid w:val="00930C23"/>
    <w:rsid w:val="0093193B"/>
    <w:rsid w:val="009509D8"/>
    <w:rsid w:val="00950B64"/>
    <w:rsid w:val="00981893"/>
    <w:rsid w:val="00A11FC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D2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BA0EF"/>
  <w15:chartTrackingRefBased/>
  <w15:docId w15:val="{DE8F696F-C946-4DC6-BEAE-166A4CDF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906EF5"/>
    <w:pPr>
      <w:spacing w:before="480" w:after="240"/>
    </w:pPr>
  </w:style>
  <w:style w:type="paragraph" w:customStyle="1" w:styleId="NormalHanging12a">
    <w:name w:val="NormalHanging12a"/>
    <w:basedOn w:val="Normal"/>
    <w:qFormat/>
    <w:rsid w:val="00906EF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06EF5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906E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6296738" TargetMode="External"/><Relationship Id="rId13" Type="http://schemas.openxmlformats.org/officeDocument/2006/relationships/hyperlink" Target="https://efsa.onlinelibrary.wiley.com/action/downloadSupplement?doi=10.2903%2Fj.efsa.2024.8716&amp;file=efs28716-sup-0012-Annex8.pdf" TargetMode="External"/><Relationship Id="rId18" Type="http://schemas.openxmlformats.org/officeDocument/2006/relationships/hyperlink" Target="https://ec.europa.eu/commission/presscorner/detail/pl/ip_22_7834" TargetMode="External"/><Relationship Id="rId3" Type="http://schemas.openxmlformats.org/officeDocument/2006/relationships/hyperlink" Target="https://doi.org/10.2903/j.efsa.2024.8887" TargetMode="External"/><Relationship Id="rId21" Type="http://schemas.openxmlformats.org/officeDocument/2006/relationships/hyperlink" Target="https://eur-lex.europa.eu/legal-content/EN/TXT/?uri=COM%3A2020%3A667%3AFIN" TargetMode="External"/><Relationship Id="rId7" Type="http://schemas.openxmlformats.org/officeDocument/2006/relationships/hyperlink" Target="https://www.ncbi.nlm.nih.gov/pubmed/26296738" TargetMode="External"/><Relationship Id="rId12" Type="http://schemas.openxmlformats.org/officeDocument/2006/relationships/hyperlink" Target="https://www.sciencedirect.com/science/article/pii/S0278691516300722?via%3Dihub" TargetMode="External"/><Relationship Id="rId17" Type="http://schemas.openxmlformats.org/officeDocument/2006/relationships/hyperlink" Target="https://indicators.report/targets/3-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www.ohchr.org/en/documents/thematic-reports/ahrc3448-report-special-rapporteur-right-food" TargetMode="External"/><Relationship Id="rId20" Type="http://schemas.openxmlformats.org/officeDocument/2006/relationships/hyperlink" Target="http://data.europa.eu/eli/reg/2002/178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doi.org/10.1126/science.abe1148" TargetMode="External"/><Relationship Id="rId11" Type="http://schemas.openxmlformats.org/officeDocument/2006/relationships/hyperlink" Target="https://onlinelibrary.wiley.com/doi/full/10.1002/jat.3252" TargetMode="External"/><Relationship Id="rId5" Type="http://schemas.openxmlformats.org/officeDocument/2006/relationships/hyperlink" Target="http://data.europa.eu/eli/reg_impl/2013/503/oj" TargetMode="External"/><Relationship Id="rId15" Type="http://schemas.openxmlformats.org/officeDocument/2006/relationships/hyperlink" Target="https://agriculture.ec.europa.eu/document/download/171329ff-0f50-4fa5-946f-aea11032172e_en?filename=strategic-dialogue-report-2024_en.pdf" TargetMode="External"/><Relationship Id="rId10" Type="http://schemas.openxmlformats.org/officeDocument/2006/relationships/hyperlink" Target="https://onlinelibrary.wiley.com/doi/full/10.1002/jat.3252" TargetMode="External"/><Relationship Id="rId19" Type="http://schemas.openxmlformats.org/officeDocument/2006/relationships/hyperlink" Target="https://commission.europa.eu/document/2c64e540-c07a-4376-a1da-368d289f4afe_en" TargetMode="External"/><Relationship Id="rId4" Type="http://schemas.openxmlformats.org/officeDocument/2006/relationships/hyperlink" Target="https://eur-lex.europa.eu/eli/reg/2009/1107/oj" TargetMode="External"/><Relationship Id="rId9" Type="http://schemas.openxmlformats.org/officeDocument/2006/relationships/hyperlink" Target="https://enveurope.springeropen.com/articles/10.1186/2190-4715-24-24" TargetMode="External"/><Relationship Id="rId14" Type="http://schemas.openxmlformats.org/officeDocument/2006/relationships/hyperlink" Target="https://agriculture.ec.europa.eu/document/download/171329ff-0f50-4fa5-946f-aea11032172e_en?filename=strategic-dialogue-report-2024_en.pdf" TargetMode="External"/><Relationship Id="rId22" Type="http://schemas.openxmlformats.org/officeDocument/2006/relationships/hyperlink" Target="https://tillymetz.lu/wp-content/uploads/2020/09/Co-signed-letter-MEP-Met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DEEF1-F518-44DD-BAD1-7AD8D270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2357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KLIMKOWSKI Andrzej</cp:lastModifiedBy>
  <cp:revision>3</cp:revision>
  <cp:lastPrinted>2004-11-19T15:42:00Z</cp:lastPrinted>
  <dcterms:created xsi:type="dcterms:W3CDTF">2025-02-12T13:46:00Z</dcterms:created>
  <dcterms:modified xsi:type="dcterms:W3CDTF">2025-03-11T13:47:00Z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B10-0061/2025</vt:lpwstr>
  </property>
  <property fmtid="{D5CDD505-2E9C-101B-9397-08002B2CF9AE}" pid="4" name="&lt;Type&gt;">
    <vt:lpwstr>RR</vt:lpwstr>
  </property>
</Properties>
</file>