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5CFC" w14:paraId="681E9E5C" w14:textId="77777777" w:rsidTr="0010095E">
        <w:trPr>
          <w:trHeight w:hRule="exact" w:val="1418"/>
        </w:trPr>
        <w:tc>
          <w:tcPr>
            <w:tcW w:w="6804" w:type="dxa"/>
            <w:shd w:val="clear" w:color="auto" w:fill="auto"/>
            <w:vAlign w:val="center"/>
          </w:tcPr>
          <w:p w14:paraId="568225C3" w14:textId="77777777" w:rsidR="00751A4A" w:rsidRPr="00715CFC" w:rsidRDefault="00C65C4B" w:rsidP="0010095E">
            <w:pPr>
              <w:pStyle w:val="EPName"/>
            </w:pPr>
            <w:r w:rsidRPr="00715CFC">
              <w:t>Parlamento Europeu</w:t>
            </w:r>
          </w:p>
          <w:p w14:paraId="59EF7E48" w14:textId="77777777" w:rsidR="00751A4A" w:rsidRPr="00715CFC" w:rsidRDefault="005F1B17" w:rsidP="005F1B17">
            <w:pPr>
              <w:pStyle w:val="EPTerm"/>
              <w:rPr>
                <w:rStyle w:val="HideTWBExt"/>
                <w:noProof w:val="0"/>
                <w:vanish w:val="0"/>
                <w:color w:val="auto"/>
              </w:rPr>
            </w:pPr>
            <w:r w:rsidRPr="00715CFC">
              <w:t>2024</w:t>
            </w:r>
            <w:r w:rsidR="00817416" w:rsidRPr="00715CFC">
              <w:t>-202</w:t>
            </w:r>
            <w:r w:rsidRPr="00715CFC">
              <w:t>9</w:t>
            </w:r>
          </w:p>
        </w:tc>
        <w:tc>
          <w:tcPr>
            <w:tcW w:w="2268" w:type="dxa"/>
            <w:shd w:val="clear" w:color="auto" w:fill="auto"/>
          </w:tcPr>
          <w:p w14:paraId="53CC8531" w14:textId="77777777" w:rsidR="00751A4A" w:rsidRPr="00715CFC" w:rsidRDefault="00187494" w:rsidP="0010095E">
            <w:pPr>
              <w:pStyle w:val="EPLogo"/>
            </w:pPr>
            <w:r w:rsidRPr="00715CFC">
              <w:rPr>
                <w:noProof/>
                <w:lang w:val="en-GB"/>
              </w:rPr>
              <w:drawing>
                <wp:inline distT="0" distB="0" distL="0" distR="0" wp14:anchorId="7876FB93" wp14:editId="079E34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AE2F65" w14:textId="77777777" w:rsidR="00D058B8" w:rsidRPr="00715CFC" w:rsidRDefault="00D058B8" w:rsidP="004C5D52">
      <w:pPr>
        <w:pStyle w:val="LineTop"/>
      </w:pPr>
    </w:p>
    <w:p w14:paraId="2A5D3F30" w14:textId="77777777" w:rsidR="00680577" w:rsidRPr="00715CFC" w:rsidRDefault="00C65C4B" w:rsidP="00680577">
      <w:pPr>
        <w:pStyle w:val="EPBodyTA1"/>
      </w:pPr>
      <w:r w:rsidRPr="00715CFC">
        <w:t>TEXTOS APROVADOS</w:t>
      </w:r>
    </w:p>
    <w:p w14:paraId="564DD3E7" w14:textId="77777777" w:rsidR="00D058B8" w:rsidRPr="00715CFC" w:rsidRDefault="00D058B8" w:rsidP="00D058B8">
      <w:pPr>
        <w:pStyle w:val="LineBottom"/>
      </w:pPr>
    </w:p>
    <w:p w14:paraId="02C718FE" w14:textId="080B596C" w:rsidR="00C65C4B" w:rsidRPr="00715CFC" w:rsidRDefault="00C65C4B" w:rsidP="00C65C4B">
      <w:pPr>
        <w:pStyle w:val="ATHeading1"/>
      </w:pPr>
      <w:bookmarkStart w:id="0" w:name="TANumber"/>
      <w:r w:rsidRPr="00715CFC">
        <w:t>P10_</w:t>
      </w:r>
      <w:proofErr w:type="gramStart"/>
      <w:r w:rsidRPr="00715CFC">
        <w:t>TA(</w:t>
      </w:r>
      <w:proofErr w:type="gramEnd"/>
      <w:r w:rsidRPr="00715CFC">
        <w:t>2025)00</w:t>
      </w:r>
      <w:bookmarkEnd w:id="0"/>
      <w:r w:rsidR="00053A29" w:rsidRPr="00715CFC">
        <w:t>14</w:t>
      </w:r>
    </w:p>
    <w:p w14:paraId="2B16741C" w14:textId="77777777" w:rsidR="00C65C4B" w:rsidRPr="00715CFC" w:rsidRDefault="00C65C4B" w:rsidP="00C65C4B">
      <w:pPr>
        <w:pStyle w:val="ATHeading2"/>
      </w:pPr>
      <w:bookmarkStart w:id="1" w:name="title"/>
      <w:r w:rsidRPr="00715CFC">
        <w:t>Milho geneticamente modificado DP910521</w:t>
      </w:r>
      <w:bookmarkEnd w:id="1"/>
    </w:p>
    <w:p w14:paraId="1771139E" w14:textId="77777777" w:rsidR="00C65C4B" w:rsidRPr="00715CFC" w:rsidRDefault="00C65C4B" w:rsidP="00C65C4B">
      <w:pPr>
        <w:rPr>
          <w:i/>
          <w:vanish/>
        </w:rPr>
      </w:pPr>
      <w:r w:rsidRPr="00715CFC">
        <w:rPr>
          <w:i/>
        </w:rPr>
        <w:fldChar w:fldCharType="begin"/>
      </w:r>
      <w:r w:rsidRPr="00715CFC">
        <w:rPr>
          <w:i/>
        </w:rPr>
        <w:instrText xml:space="preserve"> TC"(</w:instrText>
      </w:r>
      <w:bookmarkStart w:id="2" w:name="DocNumber"/>
      <w:r w:rsidRPr="00715CFC">
        <w:rPr>
          <w:i/>
        </w:rPr>
        <w:instrText>B10-0061/2025</w:instrText>
      </w:r>
      <w:bookmarkEnd w:id="2"/>
      <w:r w:rsidRPr="00715CFC">
        <w:rPr>
          <w:i/>
        </w:rPr>
        <w:instrText xml:space="preserve">)"\l3 \n&gt; \* MERGEFORMAT </w:instrText>
      </w:r>
      <w:r w:rsidRPr="00715CFC">
        <w:rPr>
          <w:i/>
        </w:rPr>
        <w:fldChar w:fldCharType="end"/>
      </w:r>
    </w:p>
    <w:p w14:paraId="680A5CC7" w14:textId="77777777" w:rsidR="00C65C4B" w:rsidRPr="00715CFC" w:rsidRDefault="00C65C4B" w:rsidP="00C65C4B">
      <w:pPr>
        <w:rPr>
          <w:vanish/>
        </w:rPr>
      </w:pPr>
      <w:bookmarkStart w:id="3" w:name="PE"/>
      <w:r w:rsidRPr="00715CFC">
        <w:rPr>
          <w:vanish/>
        </w:rPr>
        <w:t>PE766.932</w:t>
      </w:r>
      <w:bookmarkEnd w:id="3"/>
    </w:p>
    <w:p w14:paraId="709629F6" w14:textId="70CF9CEA" w:rsidR="00C65C4B" w:rsidRPr="00715CFC" w:rsidRDefault="00C65C4B" w:rsidP="00C65C4B">
      <w:pPr>
        <w:pStyle w:val="ATHeading3"/>
      </w:pPr>
      <w:bookmarkStart w:id="4" w:name="Sujet"/>
      <w:r w:rsidRPr="00715CFC">
        <w:t xml:space="preserve">Resolução do Parlamento Europeu, de </w:t>
      </w:r>
      <w:r w:rsidR="007C7AA9" w:rsidRPr="00715CFC">
        <w:t xml:space="preserve">12 </w:t>
      </w:r>
      <w:r w:rsidRPr="00715CFC">
        <w:t xml:space="preserve">de </w:t>
      </w:r>
      <w:r w:rsidR="007C7AA9" w:rsidRPr="00715CFC">
        <w:t xml:space="preserve">fevereiro </w:t>
      </w:r>
      <w:r w:rsidRPr="00715CFC">
        <w:t>de 2025, sobre o projeto de decisão de execução da Comissão que autoriza a colocação no mercado de produtos que contenham, sejam constituídos por, ou produzidos a partir de milho geneticamente modificado DP910521, nos termos do Regulamento (CE) n.º 1829/2003 do Parlamento Europeu e do Conselho</w:t>
      </w:r>
      <w:bookmarkEnd w:id="4"/>
      <w:r w:rsidRPr="00715CFC">
        <w:t xml:space="preserve"> </w:t>
      </w:r>
      <w:bookmarkStart w:id="5" w:name="References"/>
      <w:r w:rsidRPr="00715CFC">
        <w:t>(D102174/03 – 2024/3010(RSP))</w:t>
      </w:r>
      <w:bookmarkEnd w:id="5"/>
    </w:p>
    <w:p w14:paraId="4BD4C33E" w14:textId="77777777" w:rsidR="00ED0430" w:rsidRPr="00715CFC" w:rsidRDefault="00ED0430" w:rsidP="00ED0430">
      <w:pPr>
        <w:pStyle w:val="EPComma"/>
      </w:pPr>
      <w:bookmarkStart w:id="6" w:name="TextBodyBegin"/>
      <w:bookmarkEnd w:id="6"/>
      <w:r w:rsidRPr="00715CFC">
        <w:rPr>
          <w:i/>
        </w:rPr>
        <w:t>O Parlamento Europeu</w:t>
      </w:r>
      <w:r w:rsidRPr="00715CFC">
        <w:t>,</w:t>
      </w:r>
    </w:p>
    <w:p w14:paraId="3C530B8C" w14:textId="77777777" w:rsidR="00ED0430" w:rsidRPr="00715CFC" w:rsidRDefault="00ED0430" w:rsidP="00ED0430">
      <w:pPr>
        <w:pStyle w:val="NormalHanging12a"/>
      </w:pPr>
      <w:r w:rsidRPr="00715CFC">
        <w:t>–</w:t>
      </w:r>
      <w:r w:rsidRPr="00715CFC">
        <w:tab/>
        <w:t>Tendo em conta o projeto de decisão de execução da Comissão que autoriza a colocação no mercado de produtos que contenham, sejam constituídos por, ou produzidos a partir de milho geneticamente modificado DP910521, nos termos do Regulamento (CE) n.º 1829/2003 do Parlamento Europeu e do Conselho (D102174/03),</w:t>
      </w:r>
    </w:p>
    <w:p w14:paraId="58EED485" w14:textId="77777777" w:rsidR="00ED0430" w:rsidRPr="00715CFC" w:rsidRDefault="00ED0430" w:rsidP="00ED0430">
      <w:pPr>
        <w:pStyle w:val="NormalHanging12a"/>
        <w:rPr>
          <w:szCs w:val="24"/>
        </w:rPr>
      </w:pPr>
      <w:r w:rsidRPr="00715CFC">
        <w:t>–</w:t>
      </w:r>
      <w:r w:rsidRPr="00715CFC">
        <w:tab/>
        <w:t>Tendo em conta o Regulamento (CE) n.º 1829/2003 do Parlamento Europeu e do Conselho, de 22 de setembro de 2003, relativo a géneros alimentícios e alimentos para animais geneticamente modificados</w:t>
      </w:r>
      <w:r w:rsidRPr="00715CFC">
        <w:rPr>
          <w:rStyle w:val="FootnoteReference"/>
          <w:szCs w:val="24"/>
        </w:rPr>
        <w:footnoteReference w:id="1"/>
      </w:r>
      <w:r w:rsidRPr="00715CFC">
        <w:t>, nomeadamente o artigo 7.º, n.º 3, e o artigo 19.º, n.º 3,</w:t>
      </w:r>
    </w:p>
    <w:p w14:paraId="5D5BEA46" w14:textId="77777777" w:rsidR="00ED0430" w:rsidRPr="00715CFC" w:rsidRDefault="00ED0430" w:rsidP="00ED0430">
      <w:pPr>
        <w:pStyle w:val="NormalHanging12a"/>
        <w:rPr>
          <w:szCs w:val="24"/>
        </w:rPr>
      </w:pPr>
      <w:r w:rsidRPr="00715CFC">
        <w:t>–</w:t>
      </w:r>
      <w:r w:rsidRPr="00715CFC">
        <w:tab/>
        <w:t xml:space="preserve">Tendo em conta a votação do Comité Permanente dos Vegetais, Animais e Alimentos para Consumo Humano e Animal a que se refere o artigo 35.º do Regulamento (CE) </w:t>
      </w:r>
      <w:bookmarkStart w:id="7" w:name="_GoBack"/>
      <w:bookmarkEnd w:id="7"/>
      <w:r w:rsidRPr="00715CFC">
        <w:t>n.º 1829/2003, realizada em 22 de novembro de 2024, no âmbito da qual não foi emitido nenhum parecer, bem como a votação do Comité de Recurso, realizada em 17 de dezembro de 2024, no âmbito da qual também não foi emitido nenhum parecer,</w:t>
      </w:r>
    </w:p>
    <w:p w14:paraId="2A377837" w14:textId="77777777" w:rsidR="00ED0430" w:rsidRPr="00715CFC" w:rsidRDefault="00ED0430" w:rsidP="00ED0430">
      <w:pPr>
        <w:pStyle w:val="NormalHanging12a"/>
        <w:rPr>
          <w:szCs w:val="24"/>
        </w:rPr>
      </w:pPr>
      <w:r w:rsidRPr="00715CFC">
        <w:t>–</w:t>
      </w:r>
      <w:r w:rsidRPr="00715CFC">
        <w:tab/>
        <w:t>Tendo em conta o artigo 11.º do Regulamento (UE) n.º 182/2011 do Parlamento Europeu e do Conselho, de 16 de fevereiro de 2011, que estabelece as regras e os princípios gerais relativos aos mecanismos de controlo pelos Estados</w:t>
      </w:r>
      <w:r w:rsidRPr="00715CFC">
        <w:noBreakHyphen/>
        <w:t>Membros do exercício das competências de execução pela Comissão</w:t>
      </w:r>
      <w:r w:rsidRPr="00715CFC">
        <w:rPr>
          <w:rStyle w:val="FootnoteReference"/>
          <w:szCs w:val="24"/>
        </w:rPr>
        <w:footnoteReference w:id="2"/>
      </w:r>
      <w:r w:rsidRPr="00715CFC">
        <w:t>,</w:t>
      </w:r>
    </w:p>
    <w:p w14:paraId="2D0BA854" w14:textId="77777777" w:rsidR="00ED0430" w:rsidRPr="00715CFC" w:rsidRDefault="00ED0430" w:rsidP="00ED0430">
      <w:pPr>
        <w:pStyle w:val="NormalHanging12a"/>
        <w:rPr>
          <w:szCs w:val="24"/>
        </w:rPr>
      </w:pPr>
      <w:r w:rsidRPr="00715CFC">
        <w:t>–</w:t>
      </w:r>
      <w:r w:rsidRPr="00715CFC">
        <w:tab/>
        <w:t xml:space="preserve">Tendo em conta o parecer adotado pela Autoridade Europeia para a Segurança dos </w:t>
      </w:r>
      <w:r w:rsidRPr="00715CFC">
        <w:lastRenderedPageBreak/>
        <w:t>Alimentos (EFSA) em 19 de junho de 2024 e publicado em 1 de agosto de 2024</w:t>
      </w:r>
      <w:r w:rsidRPr="00715CFC">
        <w:rPr>
          <w:rStyle w:val="FootnoteReference"/>
          <w:szCs w:val="24"/>
        </w:rPr>
        <w:footnoteReference w:id="3"/>
      </w:r>
      <w:r w:rsidRPr="00715CFC">
        <w:t>,</w:t>
      </w:r>
    </w:p>
    <w:p w14:paraId="334569E5" w14:textId="77777777" w:rsidR="00ED0430" w:rsidRPr="00715CFC" w:rsidRDefault="00ED0430" w:rsidP="00ED0430">
      <w:pPr>
        <w:pStyle w:val="NormalHanging12a"/>
        <w:rPr>
          <w:szCs w:val="24"/>
        </w:rPr>
      </w:pPr>
      <w:r w:rsidRPr="00715CFC">
        <w:t>–</w:t>
      </w:r>
      <w:r w:rsidRPr="00715CFC">
        <w:tab/>
      </w:r>
      <w:r w:rsidRPr="00715CFC">
        <w:rPr>
          <w:shd w:val="clear" w:color="auto" w:fill="FFFFFF"/>
        </w:rPr>
        <w:t>Tendo em conta as suas anteriores resoluções que se opõem à autorização de organismos geneticamente modificados («OGM»)</w:t>
      </w:r>
      <w:r w:rsidRPr="00715CFC">
        <w:rPr>
          <w:rStyle w:val="FootnoteReference"/>
          <w:szCs w:val="24"/>
          <w:shd w:val="clear" w:color="auto" w:fill="FFFFFF"/>
        </w:rPr>
        <w:footnoteReference w:id="4"/>
      </w:r>
      <w:r w:rsidRPr="00715CFC">
        <w:rPr>
          <w:shd w:val="clear" w:color="auto" w:fill="FFFFFF"/>
        </w:rPr>
        <w:t>,</w:t>
      </w:r>
    </w:p>
    <w:p w14:paraId="08FC45B2" w14:textId="77777777" w:rsidR="00ED0430" w:rsidRPr="00715CFC" w:rsidRDefault="00ED0430" w:rsidP="00ED0430">
      <w:pPr>
        <w:pStyle w:val="NormalHanging12a"/>
        <w:rPr>
          <w:szCs w:val="24"/>
        </w:rPr>
      </w:pPr>
      <w:r w:rsidRPr="00715CFC">
        <w:lastRenderedPageBreak/>
        <w:t>–</w:t>
      </w:r>
      <w:r w:rsidRPr="00715CFC">
        <w:tab/>
        <w:t xml:space="preserve">Tendo em conta o artigo 115.º, </w:t>
      </w:r>
      <w:proofErr w:type="spellStart"/>
      <w:proofErr w:type="gramStart"/>
      <w:r w:rsidRPr="00715CFC">
        <w:t>n.</w:t>
      </w:r>
      <w:r w:rsidRPr="00715CFC">
        <w:rPr>
          <w:vertAlign w:val="superscript"/>
        </w:rPr>
        <w:t>os</w:t>
      </w:r>
      <w:proofErr w:type="spellEnd"/>
      <w:proofErr w:type="gramEnd"/>
      <w:r w:rsidRPr="00715CFC">
        <w:t xml:space="preserve"> 2 e 3, do seu Regimento,</w:t>
      </w:r>
    </w:p>
    <w:p w14:paraId="510A666D" w14:textId="6E519A86" w:rsidR="00ED0430" w:rsidRPr="00715CFC" w:rsidRDefault="00ED0430" w:rsidP="00ED0430">
      <w:pPr>
        <w:pStyle w:val="NormalHanging12a"/>
        <w:rPr>
          <w:szCs w:val="24"/>
        </w:rPr>
      </w:pPr>
      <w:r w:rsidRPr="00715CFC">
        <w:t>–</w:t>
      </w:r>
      <w:r w:rsidRPr="00715CFC">
        <w:tab/>
        <w:t xml:space="preserve">Tendo em conta a proposta de resolução da Comissão do Ambiente, </w:t>
      </w:r>
      <w:r w:rsidR="007C7AA9" w:rsidRPr="00715CFC">
        <w:t>do Clima</w:t>
      </w:r>
      <w:r w:rsidRPr="00715CFC">
        <w:t xml:space="preserve"> e da Segurança Alimentar,</w:t>
      </w:r>
    </w:p>
    <w:p w14:paraId="1708363F" w14:textId="77777777" w:rsidR="00ED0430" w:rsidRPr="00715CFC" w:rsidRDefault="00ED0430" w:rsidP="00ED0430">
      <w:pPr>
        <w:pStyle w:val="NormalHanging12a"/>
        <w:rPr>
          <w:szCs w:val="24"/>
        </w:rPr>
      </w:pPr>
      <w:r w:rsidRPr="00715CFC">
        <w:t>A.</w:t>
      </w:r>
      <w:r w:rsidRPr="00715CFC">
        <w:tab/>
        <w:t xml:space="preserve">Considerando que, em 27 de junho de 2022, a empresa </w:t>
      </w:r>
      <w:proofErr w:type="spellStart"/>
      <w:r w:rsidRPr="00715CFC">
        <w:t>Corteva</w:t>
      </w:r>
      <w:proofErr w:type="spellEnd"/>
      <w:r w:rsidRPr="00715CFC">
        <w:t xml:space="preserve"> </w:t>
      </w:r>
      <w:proofErr w:type="spellStart"/>
      <w:r w:rsidRPr="00715CFC">
        <w:t>Agriscience</w:t>
      </w:r>
      <w:proofErr w:type="spellEnd"/>
      <w:r w:rsidRPr="00715CFC">
        <w:t xml:space="preserve"> </w:t>
      </w:r>
      <w:proofErr w:type="spellStart"/>
      <w:r w:rsidRPr="00715CFC">
        <w:t>Belgium</w:t>
      </w:r>
      <w:proofErr w:type="spellEnd"/>
      <w:r w:rsidRPr="00715CFC">
        <w:t xml:space="preserve"> B.V., com sede na Bélgica, agindo em nome da empresa </w:t>
      </w:r>
      <w:proofErr w:type="spellStart"/>
      <w:r w:rsidRPr="00715CFC">
        <w:t>Corteva</w:t>
      </w:r>
      <w:proofErr w:type="spellEnd"/>
      <w:r w:rsidRPr="00715CFC">
        <w:t xml:space="preserve"> </w:t>
      </w:r>
      <w:proofErr w:type="spellStart"/>
      <w:r w:rsidRPr="00715CFC">
        <w:t>Agriscience</w:t>
      </w:r>
      <w:proofErr w:type="spellEnd"/>
      <w:r w:rsidRPr="00715CFC">
        <w:t xml:space="preserve"> LLC, com sede nos Estados Unidos, apresentou um pedido à autoridade nacional competente dos Países Baixos para a colocação no mercado de géneros alimentícios, ingredientes alimentares e alimentos para animais que contenham, sejam constituídos por ou sejam produzidos a partir de milho geneticamente modificado DP910521 (a seguir «milho GM»);</w:t>
      </w:r>
    </w:p>
    <w:p w14:paraId="3115CFC7" w14:textId="77777777" w:rsidR="00ED0430" w:rsidRPr="00715CFC" w:rsidRDefault="00ED0430" w:rsidP="00ED0430">
      <w:pPr>
        <w:pStyle w:val="NormalHanging12a"/>
        <w:rPr>
          <w:szCs w:val="24"/>
        </w:rPr>
      </w:pPr>
      <w:proofErr w:type="gramStart"/>
      <w:r w:rsidRPr="00715CFC">
        <w:t>B.</w:t>
      </w:r>
      <w:r w:rsidRPr="00715CFC">
        <w:tab/>
        <w:t>Considerando</w:t>
      </w:r>
      <w:proofErr w:type="gramEnd"/>
      <w:r w:rsidRPr="00715CFC">
        <w:t xml:space="preserve"> que o milho GM produz a toxina Cry1B.34 e é resistente ao herbicida </w:t>
      </w:r>
      <w:proofErr w:type="spellStart"/>
      <w:r w:rsidRPr="00715CFC">
        <w:t>glufosinato</w:t>
      </w:r>
      <w:proofErr w:type="spellEnd"/>
      <w:r w:rsidRPr="00715CFC">
        <w:t>;</w:t>
      </w:r>
    </w:p>
    <w:p w14:paraId="2CD0C44F" w14:textId="77777777" w:rsidR="00ED0430" w:rsidRPr="00715CFC" w:rsidRDefault="00ED0430" w:rsidP="00ED0430">
      <w:pPr>
        <w:pStyle w:val="NormalHanging12a"/>
        <w:tabs>
          <w:tab w:val="left" w:pos="0"/>
        </w:tabs>
        <w:suppressAutoHyphens/>
        <w:rPr>
          <w:szCs w:val="24"/>
        </w:rPr>
      </w:pPr>
      <w:r w:rsidRPr="00715CFC">
        <w:t>C.</w:t>
      </w:r>
      <w:r w:rsidRPr="00715CFC">
        <w:tab/>
        <w:t xml:space="preserve">Considerando que o </w:t>
      </w:r>
      <w:proofErr w:type="spellStart"/>
      <w:r w:rsidRPr="00715CFC">
        <w:t>glufosinato</w:t>
      </w:r>
      <w:proofErr w:type="spellEnd"/>
      <w:r w:rsidRPr="00715CFC">
        <w:t xml:space="preserve"> é classificado como substância tóxica para a reprodução da categoria 1B e, por isso, satisfaz os critérios de exclusão estabelecidos no Regulamento (CE) n.º 1107/2009 do Parlamento Europeu e do Conselho</w:t>
      </w:r>
      <w:r w:rsidRPr="00715CFC">
        <w:rPr>
          <w:rStyle w:val="FootnoteReference"/>
          <w:szCs w:val="24"/>
        </w:rPr>
        <w:footnoteReference w:id="5"/>
      </w:r>
      <w:r w:rsidRPr="00715CFC">
        <w:t xml:space="preserve">; </w:t>
      </w:r>
      <w:r w:rsidR="007C7AA9" w:rsidRPr="00715CFC">
        <w:t xml:space="preserve">considerando </w:t>
      </w:r>
      <w:r w:rsidRPr="00715CFC">
        <w:t xml:space="preserve">que a aprovação do </w:t>
      </w:r>
      <w:proofErr w:type="spellStart"/>
      <w:r w:rsidRPr="00715CFC">
        <w:t>glufosinato</w:t>
      </w:r>
      <w:proofErr w:type="spellEnd"/>
      <w:r w:rsidRPr="00715CFC">
        <w:t xml:space="preserve"> para efeitos de utilização na </w:t>
      </w:r>
      <w:r w:rsidR="007C7AA9" w:rsidRPr="00715CFC">
        <w:t>União expirou em 31 de julho de </w:t>
      </w:r>
      <w:r w:rsidRPr="00715CFC">
        <w:t>2018;</w:t>
      </w:r>
    </w:p>
    <w:p w14:paraId="6007DB52" w14:textId="77777777" w:rsidR="00ED0430" w:rsidRPr="00715CFC" w:rsidRDefault="00ED0430" w:rsidP="00ED0430">
      <w:pPr>
        <w:pStyle w:val="NormalHanging12a"/>
        <w:tabs>
          <w:tab w:val="left" w:pos="0"/>
        </w:tabs>
        <w:suppressAutoHyphens/>
        <w:rPr>
          <w:szCs w:val="24"/>
        </w:rPr>
      </w:pPr>
      <w:r w:rsidRPr="00715CFC">
        <w:t>D.</w:t>
      </w:r>
      <w:r w:rsidRPr="00715CFC">
        <w:tab/>
        <w:t>Considerando que a Cry1B.34 é uma proteína de fusão sintética que combina as Cry1B, Cry1Ca1 e Cry9Db1, concebida para a resistência dos insetos contra pragas de lepidópteros, sem especificidade demonstrada para as espécies</w:t>
      </w:r>
      <w:r w:rsidRPr="00715CFC">
        <w:noBreakHyphen/>
        <w:t>alvo;</w:t>
      </w:r>
    </w:p>
    <w:p w14:paraId="2875C3B7" w14:textId="77777777" w:rsidR="00ED0430" w:rsidRPr="00715CFC" w:rsidRDefault="00ED0430" w:rsidP="00ED0430">
      <w:pPr>
        <w:pStyle w:val="NormalHanging12a"/>
        <w:tabs>
          <w:tab w:val="left" w:pos="0"/>
        </w:tabs>
        <w:suppressAutoHyphens/>
        <w:rPr>
          <w:szCs w:val="24"/>
        </w:rPr>
      </w:pPr>
      <w:r w:rsidRPr="00715CFC">
        <w:t>E.</w:t>
      </w:r>
      <w:r w:rsidRPr="00715CFC">
        <w:tab/>
        <w:t xml:space="preserve">Considerando que a modificação genética inclui um processo em duas fases que utiliza a CRISPR/Cas9 para inserir uma «plataforma de aterragem», seguido de um bombardeamento de </w:t>
      </w:r>
      <w:proofErr w:type="spellStart"/>
      <w:r w:rsidRPr="00715CFC">
        <w:t>microprojéteis</w:t>
      </w:r>
      <w:proofErr w:type="spellEnd"/>
      <w:r w:rsidRPr="00715CFC">
        <w:t xml:space="preserve"> para a inserção de cassetes de expressão de genes;</w:t>
      </w:r>
    </w:p>
    <w:p w14:paraId="48E1FEAC" w14:textId="77777777" w:rsidR="00ED0430" w:rsidRPr="00715CFC" w:rsidRDefault="00ED0430" w:rsidP="00AF1863">
      <w:pPr>
        <w:pStyle w:val="NormalHanging12a"/>
        <w:ind w:left="0" w:firstLine="0"/>
        <w:rPr>
          <w:b/>
          <w:i/>
          <w:szCs w:val="24"/>
        </w:rPr>
      </w:pPr>
      <w:r w:rsidRPr="00715CFC">
        <w:rPr>
          <w:b/>
          <w:i/>
        </w:rPr>
        <w:t>Falta de avaliação do herbicida complementar</w:t>
      </w:r>
    </w:p>
    <w:p w14:paraId="20F3F95B" w14:textId="4BA1FD71" w:rsidR="00ED0430" w:rsidRPr="00715CFC" w:rsidRDefault="00ED0430" w:rsidP="00ED0430">
      <w:pPr>
        <w:pStyle w:val="NormalHanging12a"/>
        <w:tabs>
          <w:tab w:val="left" w:pos="0"/>
        </w:tabs>
        <w:suppressAutoHyphens/>
        <w:rPr>
          <w:szCs w:val="24"/>
        </w:rPr>
      </w:pPr>
      <w:r w:rsidRPr="00715CFC">
        <w:t>F.</w:t>
      </w:r>
      <w:r w:rsidRPr="00715CFC">
        <w:tab/>
        <w:t>Considerando que o Regulamento de Execução (UE) n.º 503/2013</w:t>
      </w:r>
      <w:r w:rsidRPr="00715CFC">
        <w:rPr>
          <w:rStyle w:val="FootnoteReference"/>
          <w:szCs w:val="24"/>
        </w:rPr>
        <w:footnoteReference w:id="6"/>
      </w:r>
      <w:r w:rsidRPr="00715CFC">
        <w:t xml:space="preserve"> da Comissão exige que se avalie se as práticas agrícolas previstas influenciam a expressão dos parâmetros estudados</w:t>
      </w:r>
      <w:r w:rsidR="007C7AA9" w:rsidRPr="00715CFC">
        <w:t>; considerando que</w:t>
      </w:r>
      <w:r w:rsidRPr="00715CFC">
        <w:t>, de acordo com o referido regulamento de execução, tal é especialmente relevante no que respeita às plantas resistentes aos herbicidas;</w:t>
      </w:r>
    </w:p>
    <w:p w14:paraId="4AB1EEFA" w14:textId="77777777" w:rsidR="00ED0430" w:rsidRPr="00715CFC" w:rsidRDefault="00ED0430" w:rsidP="00ED0430">
      <w:pPr>
        <w:pStyle w:val="NormalHanging12a"/>
        <w:tabs>
          <w:tab w:val="left" w:pos="0"/>
        </w:tabs>
        <w:suppressAutoHyphens/>
        <w:rPr>
          <w:szCs w:val="24"/>
        </w:rPr>
      </w:pPr>
      <w:r w:rsidRPr="00715CFC">
        <w:lastRenderedPageBreak/>
        <w:t>G.</w:t>
      </w:r>
      <w:r w:rsidRPr="00715CFC">
        <w:tab/>
        <w:t xml:space="preserve">Considerando que a grande maioria das culturas GM foram geneticamente modificadas para serem tolerantes a um ou mais herbicidas «complementares» suscetíveis de serem utilizados ao longo de todo o cultivo da cultura GM sem originar a morte da cultura, como seria o caso de uma cultura não tolerante aos herbicidas; </w:t>
      </w:r>
      <w:r w:rsidR="007C7AA9" w:rsidRPr="00715CFC">
        <w:t xml:space="preserve">considerando </w:t>
      </w:r>
      <w:r w:rsidRPr="00715CFC">
        <w:t>que vários estudos demonstram que as culturas geneticamente modificadas resistentes a herbicidas resultam numa maior utilização de herbicidas «complementares», muito por causa do aparecimento de infestantes resistentes aos herbicidas</w:t>
      </w:r>
      <w:r w:rsidRPr="00715CFC">
        <w:rPr>
          <w:rStyle w:val="FootnoteReference"/>
          <w:szCs w:val="24"/>
        </w:rPr>
        <w:footnoteReference w:id="7"/>
      </w:r>
      <w:r w:rsidRPr="00715CFC">
        <w:t>;</w:t>
      </w:r>
    </w:p>
    <w:p w14:paraId="2729BB46" w14:textId="77777777" w:rsidR="00ED0430" w:rsidRPr="00715CFC" w:rsidRDefault="00ED0430" w:rsidP="00ED0430">
      <w:pPr>
        <w:pStyle w:val="NormalHanging12a"/>
        <w:tabs>
          <w:tab w:val="left" w:pos="0"/>
        </w:tabs>
        <w:suppressAutoHyphens/>
        <w:rPr>
          <w:szCs w:val="24"/>
        </w:rPr>
      </w:pPr>
      <w:r w:rsidRPr="00715CFC">
        <w:t>H.</w:t>
      </w:r>
      <w:r w:rsidRPr="00715CFC">
        <w:tab/>
        <w:t xml:space="preserve">Considerando que as culturas GM tolerantes aos herbicidas vinculam os agricultores a um sistema de gestão de ervas daninhas que depende, em grande parte ou totalmente, dos herbicidas, sendo cobrado um preço superior para as sementes geneticamente modificadas que só se justifica se os agricultores que compram essas sementes também recorrerem à pulverização com herbicidas complementares; </w:t>
      </w:r>
      <w:r w:rsidR="007C7AA9" w:rsidRPr="00715CFC">
        <w:t xml:space="preserve">considerando </w:t>
      </w:r>
      <w:r w:rsidRPr="00715CFC">
        <w:t>que uma maior dependência de herbicidas complementares nas explorações dedicadas a culturas GM acelerará o aparecimento e a propagação de ervas daninhas resistentes a esses herbicidas, desencadeando assim a necessidade de uma utilização ainda maior de herbicidas, conhecida como «círculo vicioso dos herbicidas»;</w:t>
      </w:r>
    </w:p>
    <w:p w14:paraId="070226BA" w14:textId="77777777" w:rsidR="00ED0430" w:rsidRPr="00715CFC" w:rsidRDefault="00ED0430" w:rsidP="00ED0430">
      <w:pPr>
        <w:pStyle w:val="NormalHanging12a"/>
        <w:tabs>
          <w:tab w:val="left" w:pos="0"/>
        </w:tabs>
        <w:suppressAutoHyphens/>
        <w:rPr>
          <w:szCs w:val="24"/>
        </w:rPr>
      </w:pPr>
      <w:proofErr w:type="gramStart"/>
      <w:r w:rsidRPr="00715CFC">
        <w:t>I.</w:t>
      </w:r>
      <w:r w:rsidRPr="00715CFC">
        <w:tab/>
        <w:t>Considerando</w:t>
      </w:r>
      <w:proofErr w:type="gramEnd"/>
      <w:r w:rsidRPr="00715CFC">
        <w:t xml:space="preserve"> que os impactos adversos decorrentes da dependência excessiva dos herbicidas deteriorarão ainda mais a saúde dos solos, a qualidade da água e a biodiversidade à superfície do solo e no subsolo, e que conduzirão a um aumento da exposição humana e animal, potencialmente também através do aumento dos resíduos de herbicidas nos géneros alimentícios e nos alimentos para animais;</w:t>
      </w:r>
    </w:p>
    <w:p w14:paraId="78946D2E" w14:textId="77777777" w:rsidR="00ED0430" w:rsidRPr="00715CFC" w:rsidRDefault="00ED0430" w:rsidP="00ED0430">
      <w:pPr>
        <w:pStyle w:val="NormalHanging12a"/>
        <w:tabs>
          <w:tab w:val="left" w:pos="0"/>
        </w:tabs>
        <w:suppressAutoHyphens/>
        <w:rPr>
          <w:szCs w:val="24"/>
        </w:rPr>
      </w:pPr>
      <w:proofErr w:type="gramStart"/>
      <w:r w:rsidRPr="00715CFC">
        <w:t>J.</w:t>
      </w:r>
      <w:r w:rsidRPr="00715CFC">
        <w:tab/>
        <w:t>Considerando</w:t>
      </w:r>
      <w:proofErr w:type="gramEnd"/>
      <w:r w:rsidRPr="00715CFC">
        <w:t xml:space="preserve"> que se entende que a avaliação dos resíduos de herbicidas e metabolitos encontrados nas plantas geneticamente modificadas não se enquadra na esfera de competências do Painel dos Organismos Geneticamente Modificados da EFSA (Painel dos OGM da EFSA) e que, por conseguinte, não é realizada como parte do processo de autorização dos OGM;</w:t>
      </w:r>
    </w:p>
    <w:p w14:paraId="712D8614" w14:textId="77777777" w:rsidR="00ED0430" w:rsidRPr="00715CFC" w:rsidRDefault="00ED0430" w:rsidP="00AF1863">
      <w:pPr>
        <w:pStyle w:val="NormalHanging12a"/>
        <w:ind w:left="0" w:firstLine="0"/>
        <w:rPr>
          <w:b/>
          <w:i/>
          <w:szCs w:val="24"/>
        </w:rPr>
      </w:pPr>
      <w:r w:rsidRPr="00715CFC">
        <w:rPr>
          <w:b/>
          <w:i/>
        </w:rPr>
        <w:t xml:space="preserve">Questões pendentes relativas às toxinas </w:t>
      </w:r>
      <w:proofErr w:type="spellStart"/>
      <w:r w:rsidRPr="00715CFC">
        <w:rPr>
          <w:b/>
          <w:i/>
        </w:rPr>
        <w:t>Bt</w:t>
      </w:r>
      <w:proofErr w:type="spellEnd"/>
    </w:p>
    <w:p w14:paraId="7A7D9D94" w14:textId="77777777" w:rsidR="00ED0430" w:rsidRPr="00715CFC" w:rsidRDefault="00ED0430" w:rsidP="00ED0430">
      <w:pPr>
        <w:pStyle w:val="NormalHanging12a"/>
        <w:tabs>
          <w:tab w:val="left" w:pos="0"/>
        </w:tabs>
        <w:suppressAutoHyphens/>
        <w:rPr>
          <w:szCs w:val="24"/>
        </w:rPr>
      </w:pPr>
      <w:r w:rsidRPr="00715CFC">
        <w:t>K.</w:t>
      </w:r>
      <w:r w:rsidRPr="00715CFC">
        <w:tab/>
        <w:t xml:space="preserve">Considerando que há vários estudos que demonstram que foram observados efeitos secundários que podem afetar o sistema imunitário na sequência da exposição a </w:t>
      </w:r>
      <w:r w:rsidRPr="00715CFC">
        <w:lastRenderedPageBreak/>
        <w:t>toxinas </w:t>
      </w:r>
      <w:proofErr w:type="spellStart"/>
      <w:r w:rsidRPr="00715CFC">
        <w:t>Bt</w:t>
      </w:r>
      <w:proofErr w:type="spellEnd"/>
      <w:r w:rsidRPr="00715CFC">
        <w:t xml:space="preserve"> e que algumas dessas toxinas podem ter propriedades adjuvantes</w:t>
      </w:r>
      <w:r w:rsidRPr="00715CFC">
        <w:rPr>
          <w:rStyle w:val="FootnoteReference"/>
          <w:szCs w:val="24"/>
        </w:rPr>
        <w:footnoteReference w:id="8"/>
      </w:r>
      <w:r w:rsidRPr="00715CFC">
        <w:t>, o que significa que podem aumentar as propriedades alergénicas de outras proteínas com as quais entrem em contacto;</w:t>
      </w:r>
    </w:p>
    <w:p w14:paraId="401341C2" w14:textId="2084AE25" w:rsidR="00ED0430" w:rsidRPr="00715CFC" w:rsidRDefault="00ED0430" w:rsidP="00ED0430">
      <w:pPr>
        <w:pStyle w:val="NormalHanging12a"/>
        <w:tabs>
          <w:tab w:val="left" w:pos="0"/>
        </w:tabs>
        <w:suppressAutoHyphens/>
        <w:rPr>
          <w:szCs w:val="24"/>
        </w:rPr>
      </w:pPr>
      <w:r w:rsidRPr="00715CFC">
        <w:t>L.</w:t>
      </w:r>
      <w:r w:rsidRPr="00715CFC">
        <w:tab/>
        <w:t xml:space="preserve">Considerando que um estudo científico concluiu que a toxicidade das toxinas </w:t>
      </w:r>
      <w:proofErr w:type="spellStart"/>
      <w:r w:rsidRPr="00715CFC">
        <w:t>Bt</w:t>
      </w:r>
      <w:proofErr w:type="spellEnd"/>
      <w:r w:rsidRPr="00715CFC">
        <w:t xml:space="preserve"> também pode ser reforçada através da interação com resíduos da pulverização com herbicidas e que são necessários mais estudos sobre os efeitos combinados de eventos «cumulativos» (culturas GM que foram modificadas para serem tolerantes aos herbicidas e produzirem inseticidas sob a forma de toxinas </w:t>
      </w:r>
      <w:proofErr w:type="spellStart"/>
      <w:r w:rsidRPr="00715CFC">
        <w:t>Bt</w:t>
      </w:r>
      <w:proofErr w:type="spellEnd"/>
      <w:r w:rsidRPr="00715CFC">
        <w:t>)</w:t>
      </w:r>
      <w:r w:rsidRPr="00715CFC">
        <w:rPr>
          <w:rStyle w:val="FootnoteReference"/>
          <w:szCs w:val="24"/>
        </w:rPr>
        <w:footnoteReference w:id="9"/>
      </w:r>
      <w:r w:rsidR="007C7AA9" w:rsidRPr="00715CFC">
        <w:t>; considerando que</w:t>
      </w:r>
      <w:r w:rsidRPr="00715CFC">
        <w:t xml:space="preserve"> se entende, no entanto, que a avaliação da interação potencial dos resíduos de herbicidas e dos seus metabolitos com toxinas </w:t>
      </w:r>
      <w:proofErr w:type="spellStart"/>
      <w:r w:rsidRPr="00715CFC">
        <w:t>Bt</w:t>
      </w:r>
      <w:proofErr w:type="spellEnd"/>
      <w:r w:rsidRPr="00715CFC">
        <w:t xml:space="preserve"> não faz parte do âmbito do Painel dos OGM da EFSA, pelo que não é realizada como parte da avaliação dos riscos;</w:t>
      </w:r>
    </w:p>
    <w:p w14:paraId="3DCE8738" w14:textId="77777777" w:rsidR="00ED0430" w:rsidRPr="00715CFC" w:rsidRDefault="00ED0430" w:rsidP="00AF1863">
      <w:pPr>
        <w:pStyle w:val="NormalHanging12a"/>
        <w:ind w:left="0" w:firstLine="0"/>
        <w:rPr>
          <w:b/>
          <w:i/>
          <w:szCs w:val="24"/>
        </w:rPr>
      </w:pPr>
      <w:r w:rsidRPr="00715CFC">
        <w:rPr>
          <w:b/>
          <w:i/>
        </w:rPr>
        <w:t xml:space="preserve">Culturas </w:t>
      </w:r>
      <w:proofErr w:type="spellStart"/>
      <w:r w:rsidRPr="00715CFC">
        <w:rPr>
          <w:b/>
          <w:i/>
        </w:rPr>
        <w:t>Bt</w:t>
      </w:r>
      <w:proofErr w:type="spellEnd"/>
      <w:r w:rsidRPr="00715CFC">
        <w:rPr>
          <w:b/>
          <w:i/>
        </w:rPr>
        <w:t>: efeitos em organismos não visados</w:t>
      </w:r>
    </w:p>
    <w:p w14:paraId="37263DB8" w14:textId="77777777" w:rsidR="00ED0430" w:rsidRPr="00715CFC" w:rsidRDefault="00ED0430" w:rsidP="00ED0430">
      <w:pPr>
        <w:pStyle w:val="NormalHanging12a"/>
        <w:tabs>
          <w:tab w:val="left" w:pos="0"/>
        </w:tabs>
        <w:suppressAutoHyphens/>
        <w:rPr>
          <w:szCs w:val="24"/>
        </w:rPr>
      </w:pPr>
      <w:r w:rsidRPr="00715CFC">
        <w:t>M.</w:t>
      </w:r>
      <w:r w:rsidRPr="00715CFC">
        <w:tab/>
        <w:t>Considerando que, ao contrário do que ocorre na utilização de inseticidas, em que a exposição ocorre no momento da pulverização e durante um período limitado posterior, a utilização de culturas </w:t>
      </w:r>
      <w:proofErr w:type="spellStart"/>
      <w:r w:rsidRPr="00715CFC">
        <w:t>Bt</w:t>
      </w:r>
      <w:proofErr w:type="spellEnd"/>
      <w:r w:rsidRPr="00715CFC">
        <w:t xml:space="preserve"> geneticamente modificadas resulta na exposição contínua dos organismos visados e não visados às toxinas </w:t>
      </w:r>
      <w:proofErr w:type="spellStart"/>
      <w:r w:rsidRPr="00715CFC">
        <w:t>Bt</w:t>
      </w:r>
      <w:proofErr w:type="spellEnd"/>
      <w:r w:rsidRPr="00715CFC">
        <w:t>;</w:t>
      </w:r>
    </w:p>
    <w:p w14:paraId="511A9588" w14:textId="1D198FF8" w:rsidR="00ED0430" w:rsidRPr="00715CFC" w:rsidRDefault="00ED0430" w:rsidP="00ED0430">
      <w:pPr>
        <w:pStyle w:val="NormalHanging12a"/>
        <w:tabs>
          <w:tab w:val="left" w:pos="0"/>
        </w:tabs>
        <w:suppressAutoHyphens/>
        <w:rPr>
          <w:szCs w:val="24"/>
        </w:rPr>
      </w:pPr>
      <w:proofErr w:type="gramStart"/>
      <w:r w:rsidRPr="00715CFC">
        <w:t>N.</w:t>
      </w:r>
      <w:r w:rsidRPr="00715CFC">
        <w:tab/>
        <w:t>Considerando</w:t>
      </w:r>
      <w:proofErr w:type="gramEnd"/>
      <w:r w:rsidRPr="00715CFC">
        <w:t xml:space="preserve"> que o pressuposto de que as toxinas </w:t>
      </w:r>
      <w:proofErr w:type="spellStart"/>
      <w:r w:rsidRPr="00715CFC">
        <w:t>Bt</w:t>
      </w:r>
      <w:proofErr w:type="spellEnd"/>
      <w:r w:rsidRPr="00715CFC">
        <w:t xml:space="preserve"> apresentam um único modo de ação específico para cada alvo já não pode ser considerado correto e que não se podem excluir efeitos em organismos não visados</w:t>
      </w:r>
      <w:r w:rsidR="007C7AA9" w:rsidRPr="00715CFC">
        <w:t>; considerando que</w:t>
      </w:r>
      <w:r w:rsidRPr="00715CFC">
        <w:t xml:space="preserve"> há relatos de um número crescente de organismos não visados que são afetados de múltiplas formas;</w:t>
      </w:r>
    </w:p>
    <w:p w14:paraId="03E76C82" w14:textId="77777777" w:rsidR="00ED0430" w:rsidRPr="00715CFC" w:rsidRDefault="00ED0430" w:rsidP="00AF1863">
      <w:pPr>
        <w:pStyle w:val="NormalHanging12a"/>
        <w:ind w:left="0" w:firstLine="0"/>
        <w:rPr>
          <w:b/>
          <w:i/>
          <w:szCs w:val="24"/>
        </w:rPr>
      </w:pPr>
      <w:r w:rsidRPr="00715CFC">
        <w:rPr>
          <w:b/>
          <w:i/>
        </w:rPr>
        <w:t>Observações dos Estados</w:t>
      </w:r>
      <w:r w:rsidRPr="00715CFC">
        <w:rPr>
          <w:b/>
          <w:i/>
        </w:rPr>
        <w:noBreakHyphen/>
        <w:t>Membros e das partes interessadas</w:t>
      </w:r>
    </w:p>
    <w:p w14:paraId="603A727E" w14:textId="77777777" w:rsidR="00ED0430" w:rsidRPr="00715CFC" w:rsidRDefault="00ED0430" w:rsidP="00ED0430">
      <w:pPr>
        <w:pStyle w:val="NormalHanging12a"/>
        <w:tabs>
          <w:tab w:val="left" w:pos="0"/>
        </w:tabs>
        <w:suppressAutoHyphens/>
        <w:rPr>
          <w:szCs w:val="24"/>
        </w:rPr>
      </w:pPr>
      <w:r w:rsidRPr="00715CFC">
        <w:t>O.</w:t>
      </w:r>
      <w:r w:rsidRPr="00715CFC">
        <w:tab/>
        <w:t>Considerando que os Estados</w:t>
      </w:r>
      <w:r w:rsidRPr="00715CFC">
        <w:noBreakHyphen/>
        <w:t>Membros apresentaram à EFSA muitas observações críticas durante o período de consulta de três meses</w:t>
      </w:r>
      <w:r w:rsidRPr="00715CFC">
        <w:rPr>
          <w:rStyle w:val="FootnoteReference"/>
          <w:szCs w:val="24"/>
        </w:rPr>
        <w:footnoteReference w:id="10"/>
      </w:r>
      <w:r w:rsidRPr="00715CFC">
        <w:t xml:space="preserve">, incluindo o facto de a lista de estudos pertinentes, identificados na análise bibliográfica do requerente, não incluir estudos sobre o destino das proteínas </w:t>
      </w:r>
      <w:proofErr w:type="spellStart"/>
      <w:r w:rsidRPr="00715CFC">
        <w:t>Bt</w:t>
      </w:r>
      <w:proofErr w:type="spellEnd"/>
      <w:r w:rsidRPr="00715CFC">
        <w:t xml:space="preserve"> no ambiente ou sobre os potenciais efeitos dos resíduos de culturas </w:t>
      </w:r>
      <w:proofErr w:type="spellStart"/>
      <w:r w:rsidRPr="00715CFC">
        <w:t>Bt</w:t>
      </w:r>
      <w:proofErr w:type="spellEnd"/>
      <w:r w:rsidRPr="00715CFC">
        <w:t xml:space="preserve"> em organismos não visados, apesar de tais estudos existirem; </w:t>
      </w:r>
    </w:p>
    <w:p w14:paraId="3D473F9D" w14:textId="77777777" w:rsidR="00ED0430" w:rsidRPr="00715CFC" w:rsidRDefault="00ED0430" w:rsidP="00ED0430">
      <w:pPr>
        <w:pStyle w:val="NormalHanging12a"/>
        <w:tabs>
          <w:tab w:val="left" w:pos="0"/>
        </w:tabs>
        <w:suppressAutoHyphens/>
        <w:rPr>
          <w:szCs w:val="24"/>
        </w:rPr>
      </w:pPr>
      <w:bookmarkStart w:id="8" w:name="_GoBack_Copy_1"/>
      <w:bookmarkEnd w:id="8"/>
      <w:r w:rsidRPr="00715CFC">
        <w:t>P.</w:t>
      </w:r>
      <w:r w:rsidRPr="00715CFC">
        <w:tab/>
        <w:t xml:space="preserve">Considerando que os ensaios de campo efetuados para a análise da composição e do fenótipo do milho GM não tiveram em conta as diversas condições de </w:t>
      </w:r>
      <w:r w:rsidRPr="00715CFC">
        <w:rPr>
          <w:i/>
          <w:iCs/>
        </w:rPr>
        <w:t>stress</w:t>
      </w:r>
      <w:r w:rsidRPr="00715CFC">
        <w:t xml:space="preserve"> ambiental, nem os antecedentes genéticos relevantes para o seu cultivo, em particular em países como o Brasil;</w:t>
      </w:r>
    </w:p>
    <w:p w14:paraId="71603CD4" w14:textId="77777777" w:rsidR="00ED0430" w:rsidRPr="00715CFC" w:rsidRDefault="00ED0430" w:rsidP="00ED0430">
      <w:pPr>
        <w:pStyle w:val="NormalHanging12a"/>
        <w:tabs>
          <w:tab w:val="left" w:pos="0"/>
        </w:tabs>
        <w:suppressAutoHyphens/>
        <w:rPr>
          <w:szCs w:val="24"/>
        </w:rPr>
      </w:pPr>
      <w:proofErr w:type="gramStart"/>
      <w:r w:rsidRPr="00715CFC">
        <w:t>Q.</w:t>
      </w:r>
      <w:r w:rsidRPr="00715CFC">
        <w:tab/>
        <w:t>Considerando</w:t>
      </w:r>
      <w:proofErr w:type="gramEnd"/>
      <w:r w:rsidRPr="00715CFC">
        <w:t xml:space="preserve"> que a avaliação da toxicidade de Cry1B.34 não tem em conta os efeitos </w:t>
      </w:r>
      <w:r w:rsidRPr="00715CFC">
        <w:lastRenderedPageBreak/>
        <w:t>combinatórios com constituintes vegetais ou resíduos da aplicação de herbicidas;</w:t>
      </w:r>
    </w:p>
    <w:p w14:paraId="140A8635" w14:textId="77777777" w:rsidR="00ED0430" w:rsidRPr="00715CFC" w:rsidRDefault="00ED0430" w:rsidP="00ED0430">
      <w:pPr>
        <w:pStyle w:val="NormalHanging12a"/>
        <w:tabs>
          <w:tab w:val="left" w:pos="0"/>
        </w:tabs>
        <w:suppressAutoHyphens/>
        <w:rPr>
          <w:szCs w:val="24"/>
        </w:rPr>
      </w:pPr>
      <w:r w:rsidRPr="00715CFC">
        <w:t>R.</w:t>
      </w:r>
      <w:r w:rsidRPr="00715CFC">
        <w:tab/>
        <w:t xml:space="preserve">Considerando que o </w:t>
      </w:r>
      <w:proofErr w:type="spellStart"/>
      <w:r w:rsidRPr="00715CFC">
        <w:t>glufosinato</w:t>
      </w:r>
      <w:proofErr w:type="spellEnd"/>
      <w:r w:rsidRPr="00715CFC">
        <w:t>, o herbicida complementar, está associado a riscos significativos para a biodiversidade, a qualidade dos solos e da água e a saúde dos ecossistemas a longo prazo;</w:t>
      </w:r>
    </w:p>
    <w:p w14:paraId="72CB5606" w14:textId="77777777" w:rsidR="00ED0430" w:rsidRPr="00715CFC" w:rsidRDefault="00ED0430" w:rsidP="00ED0430">
      <w:pPr>
        <w:pStyle w:val="NormalHanging12a"/>
        <w:tabs>
          <w:tab w:val="left" w:pos="0"/>
        </w:tabs>
        <w:suppressAutoHyphens/>
        <w:rPr>
          <w:szCs w:val="24"/>
        </w:rPr>
      </w:pPr>
      <w:proofErr w:type="gramStart"/>
      <w:r w:rsidRPr="00715CFC">
        <w:t>S.</w:t>
      </w:r>
      <w:r w:rsidRPr="00715CFC">
        <w:tab/>
        <w:t>Considerando</w:t>
      </w:r>
      <w:proofErr w:type="gramEnd"/>
      <w:r w:rsidRPr="00715CFC">
        <w:t xml:space="preserve"> que o risco de transferência de genes, registado em Espanha e em França, para espécies selvagens aparentadas, como o </w:t>
      </w:r>
      <w:proofErr w:type="spellStart"/>
      <w:r w:rsidRPr="00715CFC">
        <w:t>teosinto</w:t>
      </w:r>
      <w:proofErr w:type="spellEnd"/>
      <w:r w:rsidRPr="00715CFC">
        <w:t xml:space="preserve">, suscita preocupações quanto à persistência de </w:t>
      </w:r>
      <w:proofErr w:type="spellStart"/>
      <w:r w:rsidRPr="00715CFC">
        <w:t>transgenes</w:t>
      </w:r>
      <w:proofErr w:type="spellEnd"/>
      <w:r w:rsidRPr="00715CFC">
        <w:t xml:space="preserve"> e aos impactos ambientais;</w:t>
      </w:r>
    </w:p>
    <w:p w14:paraId="7DB01BE9" w14:textId="77777777" w:rsidR="00ED0430" w:rsidRPr="00715CFC" w:rsidRDefault="00ED0430" w:rsidP="00ED0430">
      <w:pPr>
        <w:pStyle w:val="NormalHanging12a"/>
        <w:tabs>
          <w:tab w:val="left" w:pos="0"/>
        </w:tabs>
        <w:suppressAutoHyphens/>
        <w:rPr>
          <w:szCs w:val="24"/>
        </w:rPr>
      </w:pPr>
      <w:proofErr w:type="gramStart"/>
      <w:r w:rsidRPr="00715CFC">
        <w:t>T.</w:t>
      </w:r>
      <w:r w:rsidRPr="00715CFC">
        <w:tab/>
        <w:t>Considerando</w:t>
      </w:r>
      <w:proofErr w:type="gramEnd"/>
      <w:r w:rsidRPr="00715CFC">
        <w:t xml:space="preserve"> que os requisitos de monitorização previstos no Regulamento de Execução (UE) n.º 503/2013 são abordados de forma inadequada, sem uma verificação independente dos dados fornecidos;</w:t>
      </w:r>
    </w:p>
    <w:p w14:paraId="682BC409" w14:textId="77777777" w:rsidR="00ED0430" w:rsidRPr="00715CFC" w:rsidRDefault="00ED0430" w:rsidP="00AF1863">
      <w:pPr>
        <w:pStyle w:val="NormalHanging12a"/>
        <w:ind w:left="0" w:firstLine="0"/>
        <w:rPr>
          <w:b/>
          <w:i/>
          <w:szCs w:val="24"/>
        </w:rPr>
      </w:pPr>
      <w:r w:rsidRPr="00715CFC">
        <w:rPr>
          <w:b/>
          <w:i/>
        </w:rPr>
        <w:t>Assegurar condições de concorrência equitativas a nível mundial e respeitar as obrigações internacionais da União</w:t>
      </w:r>
    </w:p>
    <w:p w14:paraId="720C79FD" w14:textId="78B4DE5A" w:rsidR="00ED0430" w:rsidRPr="00715CFC" w:rsidRDefault="00ED0430" w:rsidP="00ED0430">
      <w:pPr>
        <w:pStyle w:val="NormalHanging12a"/>
        <w:tabs>
          <w:tab w:val="left" w:pos="0"/>
        </w:tabs>
        <w:suppressAutoHyphens/>
        <w:rPr>
          <w:szCs w:val="24"/>
        </w:rPr>
      </w:pPr>
      <w:r w:rsidRPr="00715CFC">
        <w:t>U.</w:t>
      </w:r>
      <w:r w:rsidRPr="00715CFC">
        <w:tab/>
        <w:t>Considerando que as conclusões do Diálogo Estratégico sobre o Futuro da Agricultura da UE</w:t>
      </w:r>
      <w:r w:rsidRPr="00715CFC">
        <w:rPr>
          <w:vertAlign w:val="superscript"/>
        </w:rPr>
        <w:footnoteReference w:id="11"/>
      </w:r>
      <w:r w:rsidRPr="00715CFC">
        <w:t xml:space="preserve"> exortam a Comissão a reavaliar a sua abordagem em matéria de acesso ao mercado para as importações e exportações agroalimentares, tendo em conta o desafio das normas divergentes da União e dos seus parceiros comerciais</w:t>
      </w:r>
      <w:r w:rsidR="007C7AA9" w:rsidRPr="00715CFC">
        <w:t>; considerando que</w:t>
      </w:r>
      <w:r w:rsidRPr="00715CFC">
        <w:t xml:space="preserve"> relações comerciais mais justas ao nível mundial e coerentes com os objetivos de um ambiente saudável foram uma das principais exigências dos agricultores durante as manifestações de 2023 e 2024;</w:t>
      </w:r>
    </w:p>
    <w:p w14:paraId="63B0CE40" w14:textId="3321C20E" w:rsidR="00ED0430" w:rsidRPr="00715CFC" w:rsidRDefault="00ED0430" w:rsidP="00ED0430">
      <w:pPr>
        <w:pStyle w:val="NormalHanging12a"/>
        <w:tabs>
          <w:tab w:val="left" w:pos="0"/>
        </w:tabs>
        <w:suppressAutoHyphens/>
      </w:pPr>
      <w:r w:rsidRPr="00715CFC">
        <w:t>V.</w:t>
      </w:r>
      <w:r w:rsidRPr="00715CFC">
        <w:tab/>
        <w:t>Considerando que um relatório de 2017 do Relator Especial das Nações Unidas sobre o direito à alimentação concluiu que, especialmente nos países em desenvolvimento, os pesticidas perigosos têm impactos catastróficos na saúde</w:t>
      </w:r>
      <w:r w:rsidRPr="00715CFC">
        <w:rPr>
          <w:vertAlign w:val="superscript"/>
        </w:rPr>
        <w:footnoteReference w:id="12"/>
      </w:r>
      <w:r w:rsidR="007C7AA9" w:rsidRPr="00715CFC">
        <w:t>; considerando que</w:t>
      </w:r>
      <w:r w:rsidRPr="00715CFC">
        <w:t xml:space="preserve"> o Objetivo de Desenvolvimento Sustentável (doravante «ODS») 3.9 das Nações Unidas visa reduzir substancialmente, até 2030, o número de mortes e doenças devidas a produtos químicos perigosos e poluição e contaminação do ar, da água e do solo</w:t>
      </w:r>
      <w:r w:rsidRPr="00715CFC">
        <w:rPr>
          <w:rStyle w:val="FootnoteReference"/>
          <w:szCs w:val="24"/>
        </w:rPr>
        <w:footnoteReference w:id="13"/>
      </w:r>
      <w:r w:rsidRPr="00715CFC">
        <w:t>;</w:t>
      </w:r>
    </w:p>
    <w:p w14:paraId="311E57DF" w14:textId="3F3033CF" w:rsidR="00C5752A" w:rsidRPr="00715CFC" w:rsidRDefault="00CB1A32" w:rsidP="00ED0430">
      <w:pPr>
        <w:pStyle w:val="NormalHanging12a"/>
        <w:tabs>
          <w:tab w:val="left" w:pos="0"/>
        </w:tabs>
        <w:suppressAutoHyphens/>
        <w:rPr>
          <w:szCs w:val="24"/>
        </w:rPr>
      </w:pPr>
      <w:proofErr w:type="gramStart"/>
      <w:r w:rsidRPr="00715CFC">
        <w:rPr>
          <w:szCs w:val="24"/>
        </w:rPr>
        <w:t>W.</w:t>
      </w:r>
      <w:r w:rsidR="00C5752A" w:rsidRPr="00715CFC">
        <w:rPr>
          <w:szCs w:val="24"/>
        </w:rPr>
        <w:tab/>
        <w:t>Considerando</w:t>
      </w:r>
      <w:proofErr w:type="gramEnd"/>
      <w:r w:rsidR="00C5752A" w:rsidRPr="00715CFC">
        <w:rPr>
          <w:szCs w:val="24"/>
        </w:rPr>
        <w:t xml:space="preserve"> que o acordo comercial entre a UE e o Mercosul incentivará as importações para a União de géneros alimentícios e de alimentos para animais que contêm, são constituídos por ou são produzidos a partir de organismos geneticamente modificados</w:t>
      </w:r>
      <w:r w:rsidR="00FC382F" w:rsidRPr="00715CFC">
        <w:rPr>
          <w:szCs w:val="24"/>
        </w:rPr>
        <w:t xml:space="preserve">; considerando </w:t>
      </w:r>
      <w:r w:rsidR="00C5752A" w:rsidRPr="00715CFC">
        <w:rPr>
          <w:szCs w:val="24"/>
        </w:rPr>
        <w:t>que o Brasil e a Argentina estão entre os principais produtores de OGM e utilizadores de pesticidas a nível mundial, incluindo OGM e pesticidas proibidos na União por razões sanitárias ou ambientais;</w:t>
      </w:r>
    </w:p>
    <w:p w14:paraId="10E56A75" w14:textId="3740588D" w:rsidR="00ED0430" w:rsidRPr="00715CFC" w:rsidRDefault="00CB1A32" w:rsidP="00ED0430">
      <w:pPr>
        <w:pStyle w:val="NormalHanging12a"/>
        <w:tabs>
          <w:tab w:val="left" w:pos="0"/>
        </w:tabs>
        <w:suppressAutoHyphens/>
        <w:rPr>
          <w:szCs w:val="24"/>
        </w:rPr>
      </w:pPr>
      <w:r w:rsidRPr="00715CFC">
        <w:t>X</w:t>
      </w:r>
      <w:r w:rsidR="00ED0430" w:rsidRPr="00715CFC">
        <w:t>.</w:t>
      </w:r>
      <w:r w:rsidR="00ED0430" w:rsidRPr="00715CFC">
        <w:tab/>
        <w:t xml:space="preserve">Considerando que o Quadro Mundial para a Biodiversidade de </w:t>
      </w:r>
      <w:proofErr w:type="spellStart"/>
      <w:r w:rsidR="00ED0430" w:rsidRPr="00715CFC">
        <w:t>Kunming</w:t>
      </w:r>
      <w:proofErr w:type="spellEnd"/>
      <w:r w:rsidR="00ED0430" w:rsidRPr="00715CFC">
        <w:noBreakHyphen/>
        <w:t xml:space="preserve">Montreal, acordado na COP15 da Convenção das Nações Unidas sobre a Diversidade Biológica (a seguir «CDB das Nações Unidas») em dezembro de 2022, inclui um objetivo global de </w:t>
      </w:r>
      <w:r w:rsidR="00ED0430" w:rsidRPr="00715CFC">
        <w:lastRenderedPageBreak/>
        <w:t>reduzir o risco de pesticidas em, pelo menos, 50 % até 2030</w:t>
      </w:r>
      <w:r w:rsidR="00ED0430" w:rsidRPr="00715CFC">
        <w:rPr>
          <w:vertAlign w:val="superscript"/>
        </w:rPr>
        <w:footnoteReference w:id="14"/>
      </w:r>
      <w:r w:rsidR="00ED0430" w:rsidRPr="00715CFC">
        <w:t>;</w:t>
      </w:r>
    </w:p>
    <w:p w14:paraId="4C31D1FC" w14:textId="3A91F695" w:rsidR="00ED0430" w:rsidRPr="00715CFC" w:rsidRDefault="00CB1A32" w:rsidP="00ED0430">
      <w:pPr>
        <w:pStyle w:val="NormalHanging12a"/>
        <w:tabs>
          <w:tab w:val="left" w:pos="0"/>
        </w:tabs>
        <w:suppressAutoHyphens/>
        <w:rPr>
          <w:szCs w:val="24"/>
        </w:rPr>
      </w:pPr>
      <w:r w:rsidRPr="00715CFC">
        <w:t>Y</w:t>
      </w:r>
      <w:r w:rsidR="00ED0430" w:rsidRPr="00715CFC">
        <w:t>.</w:t>
      </w:r>
      <w:r w:rsidR="00ED0430" w:rsidRPr="00715CFC">
        <w:tab/>
        <w:t>Considerando que o Regulamento (CE) n.º 1829/2003 determina que os géneros alimentícios ou os alimentos para animais geneticamente modificados não podem ter efeitos nocivos para a saúde humana, a saúde animal ou o ambiente e que a Comissão, ao elaborar a sua decisão, deve ter em conta todas as disposições aplicáveis da legislação da União e outros fatores legítimos relevantes para a matéria em apreço</w:t>
      </w:r>
      <w:r w:rsidR="007C7AA9" w:rsidRPr="00715CFC">
        <w:t>; considerando que</w:t>
      </w:r>
      <w:r w:rsidR="00ED0430" w:rsidRPr="00715CFC">
        <w:t xml:space="preserve"> esses fatores legítimos devem incluir as obrigações da União no âmbito dos ODS das Nações Unidas e da CDB das Nações Unidas;</w:t>
      </w:r>
    </w:p>
    <w:p w14:paraId="2E519554" w14:textId="77777777" w:rsidR="00ED0430" w:rsidRPr="00715CFC" w:rsidRDefault="00ED0430" w:rsidP="00AF1863">
      <w:pPr>
        <w:pStyle w:val="NormalHanging12a"/>
        <w:ind w:left="0" w:firstLine="0"/>
        <w:rPr>
          <w:b/>
          <w:i/>
          <w:szCs w:val="24"/>
        </w:rPr>
      </w:pPr>
      <w:r w:rsidRPr="00715CFC">
        <w:rPr>
          <w:b/>
          <w:i/>
        </w:rPr>
        <w:t>Reduzir a dependência de alimentos para animais importados</w:t>
      </w:r>
    </w:p>
    <w:p w14:paraId="0ADA76C2" w14:textId="0CAD9869" w:rsidR="00ED0430" w:rsidRPr="00715CFC" w:rsidRDefault="00CB1A32" w:rsidP="00ED0430">
      <w:pPr>
        <w:pStyle w:val="NormalHanging12a"/>
        <w:tabs>
          <w:tab w:val="left" w:pos="0"/>
        </w:tabs>
        <w:suppressAutoHyphens/>
        <w:rPr>
          <w:b/>
          <w:i/>
          <w:szCs w:val="24"/>
        </w:rPr>
      </w:pPr>
      <w:r w:rsidRPr="00715CFC">
        <w:t>Z</w:t>
      </w:r>
      <w:r w:rsidR="00ED0430" w:rsidRPr="00715CFC">
        <w:t>.</w:t>
      </w:r>
      <w:r w:rsidR="00ED0430" w:rsidRPr="00715CFC">
        <w:tab/>
        <w:t>Considerando que um dos ensinamentos da crise da COVID</w:t>
      </w:r>
      <w:r w:rsidR="00ED0430" w:rsidRPr="00715CFC">
        <w:noBreakHyphen/>
        <w:t>19 e da guerra ainda em curso na Ucrânia é a necessidade de a União pôr termo à dependência de alguns produtos de importância crítica</w:t>
      </w:r>
      <w:r w:rsidR="007C7AA9" w:rsidRPr="00715CFC">
        <w:t>; considerando que</w:t>
      </w:r>
      <w:r w:rsidR="00ED0430" w:rsidRPr="00715CFC">
        <w:t xml:space="preserve">, na carta de missão ao comissário indigitado Christophe Hansen, a presidente da Comissão, </w:t>
      </w:r>
      <w:proofErr w:type="spellStart"/>
      <w:r w:rsidR="00ED0430" w:rsidRPr="00715CFC">
        <w:t>Ursula</w:t>
      </w:r>
      <w:proofErr w:type="spellEnd"/>
      <w:r w:rsidR="00ED0430" w:rsidRPr="00715CFC">
        <w:t xml:space="preserve"> von der </w:t>
      </w:r>
      <w:proofErr w:type="spellStart"/>
      <w:r w:rsidR="00ED0430" w:rsidRPr="00715CFC">
        <w:t>Leyen</w:t>
      </w:r>
      <w:proofErr w:type="spellEnd"/>
      <w:r w:rsidR="00ED0430" w:rsidRPr="00715CFC">
        <w:t>, lhe solicita que estude formas de reduzir as importações de produtos de importância crítica</w:t>
      </w:r>
      <w:r w:rsidR="00ED0430" w:rsidRPr="00715CFC">
        <w:rPr>
          <w:rStyle w:val="FootnoteReference"/>
          <w:szCs w:val="24"/>
        </w:rPr>
        <w:footnoteReference w:id="15"/>
      </w:r>
      <w:r w:rsidR="00ED0430" w:rsidRPr="00715CFC">
        <w:t xml:space="preserve">; </w:t>
      </w:r>
    </w:p>
    <w:p w14:paraId="7A0AAFA3" w14:textId="77777777" w:rsidR="00ED0430" w:rsidRPr="00715CFC" w:rsidRDefault="00ED0430" w:rsidP="00AF1863">
      <w:pPr>
        <w:pStyle w:val="NormalHanging12a"/>
        <w:ind w:left="0" w:firstLine="0"/>
        <w:rPr>
          <w:b/>
          <w:i/>
          <w:szCs w:val="24"/>
        </w:rPr>
      </w:pPr>
      <w:r w:rsidRPr="00715CFC">
        <w:rPr>
          <w:b/>
          <w:i/>
        </w:rPr>
        <w:t>Processo de decisão não democrático</w:t>
      </w:r>
    </w:p>
    <w:p w14:paraId="07010524" w14:textId="7ABCA54B" w:rsidR="00ED0430" w:rsidRPr="00715CFC" w:rsidRDefault="00CB1A32" w:rsidP="00ED0430">
      <w:pPr>
        <w:pStyle w:val="NormalHanging12a"/>
        <w:tabs>
          <w:tab w:val="left" w:pos="0"/>
        </w:tabs>
        <w:suppressAutoHyphens/>
        <w:rPr>
          <w:szCs w:val="24"/>
        </w:rPr>
      </w:pPr>
      <w:r w:rsidRPr="00715CFC">
        <w:t>AA</w:t>
      </w:r>
      <w:r w:rsidR="00ED0430" w:rsidRPr="00715CFC">
        <w:t>.</w:t>
      </w:r>
      <w:r w:rsidR="00ED0430" w:rsidRPr="00715CFC">
        <w:tab/>
        <w:t>Considerando que, na sua oitava legislatura, o Parlamento aprovou um total de 36 resoluções que se opunham à colocação no mercado de OGM destinados à alimentação humana e animal (33 resoluções) e ao cultivo de OGM na União (3 resoluções)</w:t>
      </w:r>
      <w:r w:rsidR="007C7AA9" w:rsidRPr="00715CFC">
        <w:t>; considerando que</w:t>
      </w:r>
      <w:r w:rsidR="00ED0430" w:rsidRPr="00715CFC">
        <w:t>, na sua 9.ª legislatura, o Parlamento aprovou 38 resoluções que se opunham à colocação no mercado de OGM e, já na atual 10.ª legislatura, aprovou mais 8 resoluções que se opunham à colocação no mercado de OGM;</w:t>
      </w:r>
    </w:p>
    <w:p w14:paraId="4D2EF28B" w14:textId="321E3472" w:rsidR="00ED0430" w:rsidRPr="00715CFC" w:rsidRDefault="00CB1A32" w:rsidP="00ED0430">
      <w:pPr>
        <w:pStyle w:val="NormalHanging12a"/>
        <w:tabs>
          <w:tab w:val="left" w:pos="0"/>
        </w:tabs>
        <w:suppressAutoHyphens/>
        <w:rPr>
          <w:szCs w:val="24"/>
        </w:rPr>
      </w:pPr>
      <w:r w:rsidRPr="00715CFC">
        <w:t>AB</w:t>
      </w:r>
      <w:r w:rsidR="00ED0430" w:rsidRPr="00715CFC">
        <w:t>.</w:t>
      </w:r>
      <w:r w:rsidR="00ED0430" w:rsidRPr="00715CFC">
        <w:tab/>
        <w:t>Considerando que, apesar de reconhecer a existência de défices democráticos, bem como a falta de apoio dos Estados</w:t>
      </w:r>
      <w:r w:rsidR="00ED0430" w:rsidRPr="00715CFC">
        <w:noBreakHyphen/>
        <w:t>Membros e as objeções do Parlamento, a Comissão continua a autorizar OGM;</w:t>
      </w:r>
    </w:p>
    <w:p w14:paraId="1D1BAEBE" w14:textId="4BCEB92D" w:rsidR="00ED0430" w:rsidRPr="00715CFC" w:rsidRDefault="00CB1A32" w:rsidP="00ED0430">
      <w:pPr>
        <w:pStyle w:val="NormalHanging12a"/>
        <w:tabs>
          <w:tab w:val="left" w:pos="0"/>
        </w:tabs>
        <w:suppressAutoHyphens/>
        <w:rPr>
          <w:szCs w:val="24"/>
        </w:rPr>
      </w:pPr>
      <w:r w:rsidRPr="00715CFC">
        <w:t>AC</w:t>
      </w:r>
      <w:r w:rsidR="00ED0430" w:rsidRPr="00715CFC">
        <w:t>.</w:t>
      </w:r>
      <w:r w:rsidR="00ED0430" w:rsidRPr="00715CFC">
        <w:tab/>
        <w:t>Considerando que não é necessária nenhuma alteração à legislação para que a Comissão possa decidir não autorizar OGM quando não existe uma maioria qualificada de Estados</w:t>
      </w:r>
      <w:r w:rsidR="00ED0430" w:rsidRPr="00715CFC">
        <w:noBreakHyphen/>
        <w:t>Membros a favor no Comité de Recurso</w:t>
      </w:r>
      <w:r w:rsidR="00ED0430" w:rsidRPr="00715CFC">
        <w:rPr>
          <w:rStyle w:val="FootnoteReference"/>
          <w:szCs w:val="24"/>
        </w:rPr>
        <w:footnoteReference w:id="16"/>
      </w:r>
      <w:r w:rsidR="00ED0430" w:rsidRPr="00715CFC">
        <w:t>;</w:t>
      </w:r>
    </w:p>
    <w:p w14:paraId="4A0B663F" w14:textId="54A2E34A" w:rsidR="00ED0430" w:rsidRPr="00715CFC" w:rsidRDefault="00CB1A32" w:rsidP="00ED0430">
      <w:pPr>
        <w:suppressAutoHyphens/>
        <w:spacing w:after="240"/>
        <w:ind w:left="567" w:hanging="567"/>
        <w:rPr>
          <w:szCs w:val="24"/>
          <w:shd w:val="clear" w:color="auto" w:fill="FFFFFF"/>
        </w:rPr>
      </w:pPr>
      <w:r w:rsidRPr="00715CFC">
        <w:t>AD</w:t>
      </w:r>
      <w:r w:rsidR="00ED0430" w:rsidRPr="00715CFC">
        <w:t>.</w:t>
      </w:r>
      <w:r w:rsidR="00ED0430" w:rsidRPr="00715CFC">
        <w:tab/>
      </w:r>
      <w:r w:rsidR="00ED0430" w:rsidRPr="00715CFC">
        <w:rPr>
          <w:shd w:val="clear" w:color="auto" w:fill="FFFFFF"/>
        </w:rPr>
        <w:t>Considerando que, na sequência da votação de 22 de novembro de 2024, o Comité Permanente dos Vegetais, Animais e Alimentos para Consumo Humano e Animal, referido no artigo 35.º do Regulamento (CE) n.º 1829/2003, não emitiu parecer, ou seja, que a autorização não teve o apoio de uma maioria qualificada de Estados</w:t>
      </w:r>
      <w:r w:rsidR="00ED0430" w:rsidRPr="00715CFC">
        <w:rPr>
          <w:shd w:val="clear" w:color="auto" w:fill="FFFFFF"/>
        </w:rPr>
        <w:noBreakHyphen/>
        <w:t>Membros</w:t>
      </w:r>
      <w:r w:rsidR="007C7AA9" w:rsidRPr="00715CFC">
        <w:rPr>
          <w:shd w:val="clear" w:color="auto" w:fill="FFFFFF"/>
        </w:rPr>
        <w:t>; considerando que</w:t>
      </w:r>
      <w:r w:rsidR="00ED0430" w:rsidRPr="00715CFC">
        <w:rPr>
          <w:shd w:val="clear" w:color="auto" w:fill="FFFFFF"/>
        </w:rPr>
        <w:t xml:space="preserve"> da votação de 17 de dezembro de 2024 do Comité de Recurso também não resultou nenhum parecer;</w:t>
      </w:r>
    </w:p>
    <w:p w14:paraId="325E53B5" w14:textId="77777777" w:rsidR="00ED0430" w:rsidRPr="00715CFC" w:rsidRDefault="00ED0430" w:rsidP="00ED0430">
      <w:pPr>
        <w:pStyle w:val="NormalHanging12a"/>
        <w:rPr>
          <w:szCs w:val="24"/>
        </w:rPr>
      </w:pPr>
      <w:proofErr w:type="gramStart"/>
      <w:r w:rsidRPr="00715CFC">
        <w:t>1.</w:t>
      </w:r>
      <w:r w:rsidRPr="00715CFC">
        <w:tab/>
        <w:t>Entende</w:t>
      </w:r>
      <w:proofErr w:type="gramEnd"/>
      <w:r w:rsidRPr="00715CFC">
        <w:t xml:space="preserve"> que o projeto de decisão de execução da Comissão excede as competências de execução previstas no Regulamento (CE) n.º 1829/2003;</w:t>
      </w:r>
    </w:p>
    <w:p w14:paraId="67BE11E8" w14:textId="05CA2C02" w:rsidR="00ED0430" w:rsidRPr="00715CFC" w:rsidRDefault="00ED0430" w:rsidP="00ED0430">
      <w:pPr>
        <w:pStyle w:val="NormalHanging12a"/>
        <w:rPr>
          <w:szCs w:val="24"/>
        </w:rPr>
      </w:pPr>
      <w:r w:rsidRPr="00715CFC">
        <w:lastRenderedPageBreak/>
        <w:t>2.</w:t>
      </w:r>
      <w:r w:rsidRPr="00715CFC">
        <w:tab/>
        <w:t>Considera que o projeto de decisão de execução da Comissão não é coerente com o direito da União, pois não é compatível com o objetivo do Regulamento (CE) n.º 1829/2003, o qual, de acordo com os princípios gerais estabelecidos no Regulamento (CE) n.º 178/2002 do Parlamento Europeu e do Conselho</w:t>
      </w:r>
      <w:r w:rsidRPr="00715CFC">
        <w:rPr>
          <w:rStyle w:val="FootnoteReference"/>
          <w:szCs w:val="24"/>
        </w:rPr>
        <w:footnoteReference w:id="17"/>
      </w:r>
      <w:r w:rsidRPr="00715CFC">
        <w:t>, consiste em estabelecer uma base para garantir um nível elevado de proteção da vida e da saúde humanas, da saúde e do bem</w:t>
      </w:r>
      <w:r w:rsidRPr="00715CFC">
        <w:noBreakHyphen/>
        <w:t>estar dos animais, do ambiente e dos interesses dos consumidores no que diz respeito aos géneros alimentícios e alimentos para animais geneticamente modificados, assegurando simultaneamente o funcionamento eficaz do mercado interno;</w:t>
      </w:r>
    </w:p>
    <w:p w14:paraId="01C1D23E" w14:textId="77777777" w:rsidR="00ED0430" w:rsidRPr="00715CFC" w:rsidRDefault="00ED0430" w:rsidP="00ED0430">
      <w:pPr>
        <w:pStyle w:val="NormalHanging12a"/>
        <w:rPr>
          <w:szCs w:val="24"/>
        </w:rPr>
      </w:pPr>
      <w:r w:rsidRPr="00715CFC">
        <w:t>3.</w:t>
      </w:r>
      <w:r w:rsidRPr="00715CFC">
        <w:tab/>
        <w:t>Solicita à Comissão que retire o seu projeto de decisão de execução e que apresente um novo projeto ao comité;</w:t>
      </w:r>
    </w:p>
    <w:p w14:paraId="03AB49A7" w14:textId="77777777" w:rsidR="00ED0430" w:rsidRPr="00715CFC" w:rsidRDefault="00ED0430" w:rsidP="00ED0430">
      <w:pPr>
        <w:pStyle w:val="NormalHanging12a"/>
        <w:rPr>
          <w:szCs w:val="24"/>
        </w:rPr>
      </w:pPr>
      <w:r w:rsidRPr="00715CFC">
        <w:t>4.</w:t>
      </w:r>
      <w:r w:rsidRPr="00715CFC">
        <w:tab/>
        <w:t>Insta a Comissão a assegurar a convergência de normas entre a União e os seus parceiros nas negociações de acordos de comércio livre, a fim de garantir a conformidade com as normas de segurança da União;</w:t>
      </w:r>
    </w:p>
    <w:p w14:paraId="5D3536D4" w14:textId="77777777" w:rsidR="00ED0430" w:rsidRPr="00715CFC" w:rsidRDefault="00ED0430" w:rsidP="00ED0430">
      <w:pPr>
        <w:pStyle w:val="NormalHanging12a"/>
        <w:rPr>
          <w:szCs w:val="24"/>
        </w:rPr>
      </w:pPr>
      <w:r w:rsidRPr="00715CFC">
        <w:t>5.</w:t>
      </w:r>
      <w:r w:rsidRPr="00715CFC">
        <w:tab/>
        <w:t>Exorta a Comissão a não autorizar milho GM devido aos riscos acrescidos para a biodiversidade, a segurança alimentar e a saúde dos trabalhadores, em consonância com a abordagem «Uma Só Saúde»;</w:t>
      </w:r>
    </w:p>
    <w:p w14:paraId="5D854576" w14:textId="77777777" w:rsidR="00ED0430" w:rsidRPr="00715CFC" w:rsidRDefault="00ED0430" w:rsidP="00ED0430">
      <w:pPr>
        <w:pStyle w:val="NormalHanging12a"/>
        <w:rPr>
          <w:szCs w:val="24"/>
        </w:rPr>
      </w:pPr>
      <w:r w:rsidRPr="00715CFC">
        <w:t>6.</w:t>
      </w:r>
      <w:r w:rsidRPr="00715CFC">
        <w:tab/>
        <w:t>Espera que a Comissão cumpra, com caráter de urgência, o compromisso assumido</w:t>
      </w:r>
      <w:r w:rsidRPr="00715CFC">
        <w:rPr>
          <w:rStyle w:val="FootnoteReference"/>
          <w:szCs w:val="24"/>
        </w:rPr>
        <w:footnoteReference w:id="18"/>
      </w:r>
      <w:r w:rsidRPr="00715CFC">
        <w:t xml:space="preserve"> de apresentar uma proposta para garantir que os produtos químicos perigosos proibidos na União não sejam produzidos para exportação;</w:t>
      </w:r>
    </w:p>
    <w:p w14:paraId="5CC6A458" w14:textId="77777777" w:rsidR="00ED0430" w:rsidRPr="00715CFC" w:rsidRDefault="00ED0430" w:rsidP="00ED0430">
      <w:pPr>
        <w:pStyle w:val="NormalHanging12a"/>
        <w:rPr>
          <w:szCs w:val="24"/>
        </w:rPr>
      </w:pPr>
      <w:r w:rsidRPr="00715CFC">
        <w:t>7.</w:t>
      </w:r>
      <w:r w:rsidRPr="00715CFC">
        <w:tab/>
        <w:t>Congratula</w:t>
      </w:r>
      <w:r w:rsidRPr="00715CFC">
        <w:noBreakHyphen/>
        <w:t>se com o facto de a Comissão ter finalmente reconhecido, numa carta de 11 de setembro de 2020 dirigida aos deputados, a necessidade de ter em conta a sustentabilidade nas decisões de autorização de OGM</w:t>
      </w:r>
      <w:r w:rsidRPr="00715CFC">
        <w:rPr>
          <w:rStyle w:val="FootnoteReference"/>
          <w:szCs w:val="24"/>
        </w:rPr>
        <w:footnoteReference w:id="19"/>
      </w:r>
      <w:r w:rsidRPr="00715CFC">
        <w:t>; manifesta, no entanto, profunda deceção pelo facto de, desde então, a Comissão ter continuado a autorizar a importação de OGM para a União, apesar das objeções levantadas pelo Parlamento e do voto contra da maioria dos Estados</w:t>
      </w:r>
      <w:r w:rsidRPr="00715CFC">
        <w:noBreakHyphen/>
        <w:t>Membros;</w:t>
      </w:r>
    </w:p>
    <w:p w14:paraId="4B9BB410" w14:textId="77777777" w:rsidR="00ED0430" w:rsidRPr="00715CFC" w:rsidRDefault="00ED0430" w:rsidP="00ED0430">
      <w:pPr>
        <w:pStyle w:val="NormalHanging12a"/>
      </w:pPr>
      <w:r w:rsidRPr="00715CFC">
        <w:t>8.</w:t>
      </w:r>
      <w:r w:rsidRPr="00715CFC">
        <w:tab/>
        <w:t>Exorta novamente a Comissão a ter em conta as obrigações que incumbem à União por força de acordos internacionais, como o Acordo de Paris sobre as alterações climáticas, a CDB e os ODS das Nações Unidas; reitera o seu apelo no sentido de os projetos de atos de execução serem acompanhados de uma exposição de motivos que explique de que forma estes atos asseguram o respeito do princípio de «não prejudicar»</w:t>
      </w:r>
      <w:r w:rsidRPr="00715CFC">
        <w:rPr>
          <w:rStyle w:val="FootnoteReference"/>
          <w:szCs w:val="24"/>
        </w:rPr>
        <w:footnoteReference w:id="20"/>
      </w:r>
      <w:r w:rsidRPr="00715CFC">
        <w:t xml:space="preserve">; </w:t>
      </w:r>
    </w:p>
    <w:p w14:paraId="2F579976" w14:textId="77777777" w:rsidR="00E365E1" w:rsidRPr="00715CFC" w:rsidRDefault="00ED0430" w:rsidP="008D4D16">
      <w:pPr>
        <w:pStyle w:val="NormalHanging12a"/>
      </w:pPr>
      <w:proofErr w:type="gramStart"/>
      <w:r w:rsidRPr="00715CFC">
        <w:t>9.</w:t>
      </w:r>
      <w:r w:rsidRPr="00715CFC">
        <w:tab/>
        <w:t>Encarrega</w:t>
      </w:r>
      <w:proofErr w:type="gramEnd"/>
      <w:r w:rsidRPr="00715CFC">
        <w:t xml:space="preserve"> a sua Presidente de transmitir a presente resolução ao Conselho, à Comissão </w:t>
      </w:r>
      <w:r w:rsidRPr="00715CFC">
        <w:lastRenderedPageBreak/>
        <w:t>e aos governos e parlamentos dos Estados</w:t>
      </w:r>
      <w:r w:rsidRPr="00715CFC">
        <w:noBreakHyphen/>
        <w:t>Membros.</w:t>
      </w:r>
    </w:p>
    <w:sectPr w:rsidR="00E365E1" w:rsidRPr="00715CFC" w:rsidSect="0069033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1071E" w14:textId="77777777" w:rsidR="00C65C4B" w:rsidRPr="0069033C" w:rsidRDefault="00C65C4B">
      <w:r w:rsidRPr="0069033C">
        <w:separator/>
      </w:r>
    </w:p>
  </w:endnote>
  <w:endnote w:type="continuationSeparator" w:id="0">
    <w:p w14:paraId="6275C0BF" w14:textId="77777777" w:rsidR="00C65C4B" w:rsidRPr="0069033C" w:rsidRDefault="00C65C4B">
      <w:r w:rsidRPr="006903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CD49A6" w14:textId="77777777" w:rsidR="00C65C4B" w:rsidRPr="0069033C" w:rsidRDefault="00C65C4B">
      <w:r w:rsidRPr="0069033C">
        <w:separator/>
      </w:r>
    </w:p>
  </w:footnote>
  <w:footnote w:type="continuationSeparator" w:id="0">
    <w:p w14:paraId="5052E81D" w14:textId="77777777" w:rsidR="00C65C4B" w:rsidRPr="0069033C" w:rsidRDefault="00C65C4B">
      <w:r w:rsidRPr="0069033C">
        <w:continuationSeparator/>
      </w:r>
    </w:p>
  </w:footnote>
  <w:footnote w:id="1">
    <w:p w14:paraId="3B559E2B" w14:textId="55FD9FA1" w:rsidR="00ED0430" w:rsidRPr="009678ED" w:rsidRDefault="00ED0430" w:rsidP="0069033C">
      <w:pPr>
        <w:pStyle w:val="FootnoteText"/>
        <w:ind w:left="567" w:hanging="567"/>
        <w:rPr>
          <w:color w:val="000000" w:themeColor="text1"/>
          <w:sz w:val="24"/>
          <w:lang w:val="da-DK"/>
        </w:rPr>
      </w:pPr>
      <w:r w:rsidRPr="0069033C">
        <w:rPr>
          <w:rStyle w:val="Funotenzeichen"/>
          <w:color w:val="000000" w:themeColor="text1"/>
          <w:sz w:val="24"/>
          <w:lang w:val="pt-PT"/>
        </w:rPr>
        <w:footnoteRef/>
      </w:r>
      <w:r w:rsidR="0069033C" w:rsidRPr="009678ED">
        <w:rPr>
          <w:color w:val="000000" w:themeColor="text1"/>
          <w:sz w:val="24"/>
          <w:lang w:val="da-DK"/>
        </w:rPr>
        <w:t xml:space="preserve"> </w:t>
      </w:r>
      <w:r w:rsidR="0069033C" w:rsidRPr="009678ED">
        <w:rPr>
          <w:color w:val="000000" w:themeColor="text1"/>
          <w:sz w:val="24"/>
          <w:lang w:val="da-DK"/>
        </w:rPr>
        <w:tab/>
      </w:r>
      <w:r w:rsidR="009678ED" w:rsidRPr="009678ED">
        <w:rPr>
          <w:color w:val="000000" w:themeColor="text1"/>
          <w:sz w:val="24"/>
          <w:lang w:val="da-DK"/>
        </w:rPr>
        <w:t>JO L 268 de</w:t>
      </w:r>
      <w:r w:rsidRPr="009678ED">
        <w:rPr>
          <w:color w:val="000000" w:themeColor="text1"/>
          <w:sz w:val="24"/>
          <w:lang w:val="da-DK"/>
        </w:rPr>
        <w:t xml:space="preserve"> 18.10.2003, p. 1, ELI: </w:t>
      </w:r>
      <w:hyperlink r:id="rId1" w:tgtFrame="Gives access to this document through its ELI URI." w:history="1">
        <w:r w:rsidRPr="009678ED">
          <w:rPr>
            <w:rStyle w:val="Hyperlink"/>
            <w:sz w:val="24"/>
            <w:szCs w:val="24"/>
            <w:lang w:val="da-DK"/>
          </w:rPr>
          <w:t>http://data.europa.eu/eli/reg/2003/1829/oj</w:t>
        </w:r>
      </w:hyperlink>
      <w:r w:rsidRPr="009678ED">
        <w:rPr>
          <w:color w:val="000000" w:themeColor="text1"/>
          <w:sz w:val="24"/>
          <w:lang w:val="da-DK"/>
        </w:rPr>
        <w:t>.</w:t>
      </w:r>
    </w:p>
  </w:footnote>
  <w:footnote w:id="2">
    <w:p w14:paraId="5EA1AFBC" w14:textId="716CB440" w:rsidR="00ED0430" w:rsidRPr="009678ED" w:rsidRDefault="00ED0430" w:rsidP="0069033C">
      <w:pPr>
        <w:pStyle w:val="FootnoteText"/>
        <w:ind w:left="567" w:hanging="567"/>
        <w:rPr>
          <w:color w:val="000000" w:themeColor="text1"/>
          <w:sz w:val="24"/>
          <w:lang w:val="da-DK"/>
        </w:rPr>
      </w:pPr>
      <w:r w:rsidRPr="0069033C">
        <w:rPr>
          <w:rStyle w:val="Funotenzeichen"/>
          <w:color w:val="000000" w:themeColor="text1"/>
          <w:sz w:val="24"/>
          <w:lang w:val="pt-PT"/>
        </w:rPr>
        <w:footnoteRef/>
      </w:r>
      <w:r w:rsidR="0069033C" w:rsidRPr="009678ED">
        <w:rPr>
          <w:color w:val="000000" w:themeColor="text1"/>
          <w:sz w:val="24"/>
          <w:lang w:val="da-DK"/>
        </w:rPr>
        <w:t xml:space="preserve"> </w:t>
      </w:r>
      <w:r w:rsidR="0069033C" w:rsidRPr="009678ED">
        <w:rPr>
          <w:color w:val="000000" w:themeColor="text1"/>
          <w:sz w:val="24"/>
          <w:lang w:val="da-DK"/>
        </w:rPr>
        <w:tab/>
      </w:r>
      <w:r w:rsidR="009678ED" w:rsidRPr="009678ED">
        <w:rPr>
          <w:color w:val="000000" w:themeColor="text1"/>
          <w:sz w:val="24"/>
          <w:lang w:val="da-DK"/>
        </w:rPr>
        <w:t>JO L 55 de</w:t>
      </w:r>
      <w:r w:rsidRPr="009678ED">
        <w:rPr>
          <w:color w:val="000000" w:themeColor="text1"/>
          <w:sz w:val="24"/>
          <w:lang w:val="da-DK"/>
        </w:rPr>
        <w:t xml:space="preserve"> 28.2.2011, p. 13, ELI: </w:t>
      </w:r>
      <w:hyperlink r:id="rId2" w:tgtFrame="Gives access to this document through its ELI URI." w:history="1">
        <w:r w:rsidRPr="009678ED">
          <w:rPr>
            <w:rStyle w:val="Hyperlink"/>
            <w:sz w:val="24"/>
            <w:szCs w:val="24"/>
            <w:lang w:val="da-DK"/>
          </w:rPr>
          <w:t>http://data.europa.eu/eli/reg/2011/182/oj</w:t>
        </w:r>
      </w:hyperlink>
      <w:r w:rsidRPr="009678ED">
        <w:rPr>
          <w:color w:val="000000" w:themeColor="text1"/>
          <w:sz w:val="24"/>
          <w:lang w:val="da-DK"/>
        </w:rPr>
        <w:t>.</w:t>
      </w:r>
    </w:p>
  </w:footnote>
  <w:footnote w:id="3">
    <w:p w14:paraId="7BDFB083"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color w:val="000000" w:themeColor="text1"/>
          <w:sz w:val="24"/>
          <w:lang w:val="pt-PT"/>
        </w:rPr>
        <w:t xml:space="preserve"> </w:t>
      </w:r>
      <w:r w:rsidR="0069033C" w:rsidRPr="0069033C">
        <w:rPr>
          <w:color w:val="000000" w:themeColor="text1"/>
          <w:sz w:val="24"/>
          <w:lang w:val="pt-PT"/>
        </w:rPr>
        <w:tab/>
      </w:r>
      <w:r w:rsidRPr="0069033C">
        <w:rPr>
          <w:color w:val="000000" w:themeColor="text1"/>
          <w:sz w:val="24"/>
          <w:lang w:val="pt-PT"/>
        </w:rPr>
        <w:t>Parecer científico do Painel dos Organismos Geneticamente Modificados da EFSA intitulado «</w:t>
      </w:r>
      <w:proofErr w:type="spellStart"/>
      <w:r w:rsidRPr="0069033C">
        <w:rPr>
          <w:color w:val="000000" w:themeColor="text1"/>
          <w:sz w:val="24"/>
          <w:lang w:val="pt-PT"/>
        </w:rPr>
        <w:t>Assessment</w:t>
      </w:r>
      <w:proofErr w:type="spellEnd"/>
      <w:r w:rsidRPr="0069033C">
        <w:rPr>
          <w:color w:val="000000" w:themeColor="text1"/>
          <w:sz w:val="24"/>
          <w:lang w:val="pt-PT"/>
        </w:rPr>
        <w:t xml:space="preserve"> </w:t>
      </w:r>
      <w:proofErr w:type="spellStart"/>
      <w:r w:rsidRPr="0069033C">
        <w:rPr>
          <w:color w:val="000000" w:themeColor="text1"/>
          <w:sz w:val="24"/>
          <w:lang w:val="pt-PT"/>
        </w:rPr>
        <w:t>of</w:t>
      </w:r>
      <w:proofErr w:type="spellEnd"/>
      <w:r w:rsidRPr="0069033C">
        <w:rPr>
          <w:color w:val="000000" w:themeColor="text1"/>
          <w:sz w:val="24"/>
          <w:lang w:val="pt-PT"/>
        </w:rPr>
        <w:t xml:space="preserve"> </w:t>
      </w:r>
      <w:proofErr w:type="spellStart"/>
      <w:r w:rsidRPr="0069033C">
        <w:rPr>
          <w:color w:val="000000" w:themeColor="text1"/>
          <w:sz w:val="24"/>
          <w:lang w:val="pt-PT"/>
        </w:rPr>
        <w:t>genetically</w:t>
      </w:r>
      <w:proofErr w:type="spellEnd"/>
      <w:r w:rsidRPr="0069033C">
        <w:rPr>
          <w:color w:val="000000" w:themeColor="text1"/>
          <w:sz w:val="24"/>
          <w:lang w:val="pt-PT"/>
        </w:rPr>
        <w:t xml:space="preserve"> </w:t>
      </w:r>
      <w:proofErr w:type="spellStart"/>
      <w:r w:rsidRPr="0069033C">
        <w:rPr>
          <w:color w:val="000000" w:themeColor="text1"/>
          <w:sz w:val="24"/>
          <w:lang w:val="pt-PT"/>
        </w:rPr>
        <w:t>modified</w:t>
      </w:r>
      <w:proofErr w:type="spellEnd"/>
      <w:r w:rsidRPr="0069033C">
        <w:rPr>
          <w:color w:val="000000" w:themeColor="text1"/>
          <w:sz w:val="24"/>
          <w:lang w:val="pt-PT"/>
        </w:rPr>
        <w:t xml:space="preserve"> </w:t>
      </w:r>
      <w:proofErr w:type="spellStart"/>
      <w:r w:rsidRPr="0069033C">
        <w:rPr>
          <w:color w:val="000000" w:themeColor="text1"/>
          <w:sz w:val="24"/>
          <w:lang w:val="pt-PT"/>
        </w:rPr>
        <w:t>maize</w:t>
      </w:r>
      <w:proofErr w:type="spellEnd"/>
      <w:r w:rsidRPr="0069033C">
        <w:rPr>
          <w:color w:val="000000" w:themeColor="text1"/>
          <w:sz w:val="24"/>
          <w:lang w:val="pt-PT"/>
        </w:rPr>
        <w:t xml:space="preserve"> MON 95275 (</w:t>
      </w:r>
      <w:proofErr w:type="spellStart"/>
      <w:r w:rsidRPr="0069033C">
        <w:rPr>
          <w:color w:val="000000" w:themeColor="text1"/>
          <w:sz w:val="24"/>
          <w:lang w:val="pt-PT"/>
        </w:rPr>
        <w:t>application</w:t>
      </w:r>
      <w:proofErr w:type="spellEnd"/>
      <w:r w:rsidRPr="0069033C">
        <w:rPr>
          <w:color w:val="000000" w:themeColor="text1"/>
          <w:sz w:val="24"/>
          <w:lang w:val="pt-PT"/>
        </w:rPr>
        <w:t xml:space="preserve"> GMFF</w:t>
      </w:r>
      <w:r w:rsidRPr="0069033C">
        <w:rPr>
          <w:color w:val="000000" w:themeColor="text1"/>
          <w:sz w:val="24"/>
          <w:lang w:val="pt-PT"/>
        </w:rPr>
        <w:noBreakHyphen/>
        <w:t>2021</w:t>
      </w:r>
      <w:r w:rsidRPr="0069033C">
        <w:rPr>
          <w:color w:val="000000" w:themeColor="text1"/>
          <w:sz w:val="24"/>
          <w:lang w:val="pt-PT"/>
        </w:rPr>
        <w:noBreakHyphen/>
        <w:t>2473)» [Avaliação do milho geneticamente modificado MON 95275 (pedido GMFF</w:t>
      </w:r>
      <w:r w:rsidRPr="0069033C">
        <w:rPr>
          <w:color w:val="000000" w:themeColor="text1"/>
          <w:sz w:val="24"/>
          <w:lang w:val="pt-PT"/>
        </w:rPr>
        <w:noBreakHyphen/>
        <w:t>2022</w:t>
      </w:r>
      <w:r w:rsidRPr="0069033C">
        <w:rPr>
          <w:color w:val="000000" w:themeColor="text1"/>
          <w:sz w:val="24"/>
          <w:lang w:val="pt-PT"/>
        </w:rPr>
        <w:noBreakHyphen/>
        <w:t xml:space="preserve">5890)], </w:t>
      </w:r>
      <w:r w:rsidRPr="0069033C">
        <w:rPr>
          <w:i/>
          <w:iCs/>
          <w:color w:val="000000" w:themeColor="text1"/>
          <w:sz w:val="24"/>
          <w:lang w:val="pt-PT"/>
        </w:rPr>
        <w:t xml:space="preserve">EFSA </w:t>
      </w:r>
      <w:proofErr w:type="spellStart"/>
      <w:r w:rsidRPr="0069033C">
        <w:rPr>
          <w:i/>
          <w:iCs/>
          <w:color w:val="000000" w:themeColor="text1"/>
          <w:sz w:val="24"/>
          <w:lang w:val="pt-PT"/>
        </w:rPr>
        <w:t>Journal</w:t>
      </w:r>
      <w:proofErr w:type="spellEnd"/>
      <w:r w:rsidRPr="0069033C">
        <w:rPr>
          <w:color w:val="000000" w:themeColor="text1"/>
          <w:sz w:val="24"/>
          <w:lang w:val="pt-PT"/>
        </w:rPr>
        <w:t xml:space="preserve">, vol. 22, n.º 8, artigo e8886, 2024, </w:t>
      </w:r>
      <w:hyperlink r:id="rId3" w:history="1">
        <w:r w:rsidRPr="008D4D16">
          <w:rPr>
            <w:rStyle w:val="Hyperlink"/>
            <w:sz w:val="24"/>
            <w:szCs w:val="24"/>
            <w:lang w:val="pt-PT"/>
          </w:rPr>
          <w:t>https://doi.org/10.2903/j.efsa.2024.8887</w:t>
        </w:r>
      </w:hyperlink>
      <w:r w:rsidRPr="0069033C">
        <w:rPr>
          <w:color w:val="000000" w:themeColor="text1"/>
          <w:sz w:val="24"/>
          <w:lang w:val="pt-PT"/>
        </w:rPr>
        <w:t xml:space="preserve">. </w:t>
      </w:r>
    </w:p>
  </w:footnote>
  <w:footnote w:id="4">
    <w:p w14:paraId="4F837D09" w14:textId="77777777" w:rsidR="00ED0430" w:rsidRPr="0069033C" w:rsidRDefault="00ED0430" w:rsidP="0069033C">
      <w:pPr>
        <w:pStyle w:val="FootnoteText"/>
        <w:ind w:left="567" w:hanging="567"/>
        <w:rPr>
          <w:color w:val="000000" w:themeColor="text1"/>
          <w:sz w:val="24"/>
          <w:vertAlign w:val="superscript"/>
          <w:lang w:val="pt-PT"/>
        </w:rPr>
      </w:pPr>
      <w:r w:rsidRPr="0069033C">
        <w:rPr>
          <w:rStyle w:val="Funotenzeichen"/>
          <w:color w:val="000000" w:themeColor="text1"/>
          <w:sz w:val="24"/>
          <w:lang w:val="pt-PT"/>
        </w:rPr>
        <w:footnoteRef/>
      </w:r>
      <w:r w:rsidR="0069033C" w:rsidRPr="0069033C">
        <w:rPr>
          <w:color w:val="000000" w:themeColor="text1"/>
          <w:sz w:val="24"/>
          <w:lang w:val="pt-PT"/>
        </w:rPr>
        <w:t xml:space="preserve"> </w:t>
      </w:r>
      <w:r w:rsidR="0069033C" w:rsidRPr="0069033C">
        <w:rPr>
          <w:color w:val="000000" w:themeColor="text1"/>
          <w:sz w:val="24"/>
          <w:lang w:val="pt-PT"/>
        </w:rPr>
        <w:tab/>
      </w:r>
      <w:r w:rsidRPr="0069033C">
        <w:rPr>
          <w:color w:val="000000" w:themeColor="text1"/>
          <w:sz w:val="24"/>
          <w:lang w:val="pt-PT"/>
        </w:rPr>
        <w:t>Na sua 8.º legislatura, o Parlamento aprovou 36 resoluções e, na 9.ª legislatura, 38 resoluções que se opõem à autorização de OGM. Além disso, na sua décima legislatura, o Parlamento aprovou as seguintes resoluções:</w:t>
      </w:r>
    </w:p>
    <w:p w14:paraId="0260AE65" w14:textId="77777777" w:rsidR="00ED0430" w:rsidRPr="0069033C" w:rsidRDefault="0069033C" w:rsidP="0069033C">
      <w:pPr>
        <w:pStyle w:val="FootnoteText"/>
        <w:ind w:left="567" w:hanging="567"/>
        <w:rPr>
          <w:color w:val="000000" w:themeColor="text1"/>
          <w:sz w:val="24"/>
          <w:vertAlign w:val="superscript"/>
          <w:lang w:val="pt-PT"/>
        </w:rPr>
      </w:pPr>
      <w:r w:rsidRPr="0069033C">
        <w:rPr>
          <w:color w:val="000000" w:themeColor="text1"/>
          <w:sz w:val="24"/>
          <w:lang w:val="pt-PT"/>
        </w:rPr>
        <w:t xml:space="preserve"> </w:t>
      </w:r>
      <w:r w:rsidRPr="0069033C">
        <w:rPr>
          <w:color w:val="000000" w:themeColor="text1"/>
          <w:sz w:val="24"/>
          <w:lang w:val="pt-PT"/>
        </w:rPr>
        <w:tab/>
      </w:r>
      <w:r w:rsidR="00ED0430" w:rsidRPr="0069033C">
        <w:rPr>
          <w:color w:val="000000" w:themeColor="text1"/>
          <w:sz w:val="24"/>
          <w:lang w:val="pt-PT"/>
        </w:rPr>
        <w:t>–</w:t>
      </w:r>
      <w:r w:rsidR="00ED0430" w:rsidRPr="0069033C">
        <w:rPr>
          <w:color w:val="000000" w:themeColor="text1"/>
          <w:sz w:val="24"/>
          <w:lang w:val="pt-PT"/>
        </w:rPr>
        <w:tab/>
        <w:t>Resolução do Parlamento Europeu, de 26 de novembro de 2024, sobre a Decisão de Execução (UE) 2024/2628 da Comissão que renova a autorização de colocação no mercado de produtos que contenham, sejam constituídos por ou produzidos a partir de milho geneticamente modificado MON 89034 × 1507 × NK603, nos termos do Regulamento (CE) n.º 1829/2003 do Parlamento Europeu e do Conselho (P10_</w:t>
      </w:r>
      <w:proofErr w:type="gramStart"/>
      <w:r w:rsidR="00ED0430" w:rsidRPr="0069033C">
        <w:rPr>
          <w:color w:val="000000" w:themeColor="text1"/>
          <w:sz w:val="24"/>
          <w:lang w:val="pt-PT"/>
        </w:rPr>
        <w:t>TA(</w:t>
      </w:r>
      <w:proofErr w:type="gramEnd"/>
      <w:r w:rsidR="00ED0430" w:rsidRPr="0069033C">
        <w:rPr>
          <w:color w:val="000000" w:themeColor="text1"/>
          <w:sz w:val="24"/>
          <w:lang w:val="pt-PT"/>
        </w:rPr>
        <w:t>2024)0038).</w:t>
      </w:r>
    </w:p>
    <w:p w14:paraId="520F104A" w14:textId="77777777" w:rsidR="00ED0430" w:rsidRPr="0069033C" w:rsidRDefault="0069033C" w:rsidP="0069033C">
      <w:pPr>
        <w:pStyle w:val="FootnoteText"/>
        <w:ind w:left="567" w:hanging="567"/>
        <w:rPr>
          <w:color w:val="000000" w:themeColor="text1"/>
          <w:sz w:val="24"/>
          <w:vertAlign w:val="superscript"/>
          <w:lang w:val="pt-PT"/>
        </w:rPr>
      </w:pPr>
      <w:r w:rsidRPr="0069033C">
        <w:rPr>
          <w:color w:val="000000" w:themeColor="text1"/>
          <w:sz w:val="24"/>
          <w:lang w:val="pt-PT"/>
        </w:rPr>
        <w:t xml:space="preserve"> </w:t>
      </w:r>
      <w:r w:rsidRPr="0069033C">
        <w:rPr>
          <w:color w:val="000000" w:themeColor="text1"/>
          <w:sz w:val="24"/>
          <w:lang w:val="pt-PT"/>
        </w:rPr>
        <w:tab/>
      </w:r>
      <w:r w:rsidR="00ED0430" w:rsidRPr="0069033C">
        <w:rPr>
          <w:color w:val="000000" w:themeColor="text1"/>
          <w:sz w:val="24"/>
          <w:lang w:val="pt-PT"/>
        </w:rPr>
        <w:t>–</w:t>
      </w:r>
      <w:r w:rsidR="00ED0430" w:rsidRPr="0069033C">
        <w:rPr>
          <w:color w:val="000000" w:themeColor="text1"/>
          <w:sz w:val="24"/>
          <w:lang w:val="pt-PT"/>
        </w:rPr>
        <w:tab/>
        <w:t>Resolução do Parlamento Europeu, de 26 de novembro de 2024, sobre a Decisão de Execução da Comissão (UE) 2024/2627 que autoriza a colocação no mercado de produtos que contenham, sejam constituídos por, ou produzidos a partir de algodão geneticamente modificado COT102 nos termos do Regulamento (CE) n.º 1829/2003 do Parlamento Europeu e do Conselho (P10_</w:t>
      </w:r>
      <w:proofErr w:type="gramStart"/>
      <w:r w:rsidR="00ED0430" w:rsidRPr="0069033C">
        <w:rPr>
          <w:color w:val="000000" w:themeColor="text1"/>
          <w:sz w:val="24"/>
          <w:lang w:val="pt-PT"/>
        </w:rPr>
        <w:t>TA(</w:t>
      </w:r>
      <w:proofErr w:type="gramEnd"/>
      <w:r w:rsidR="00ED0430" w:rsidRPr="0069033C">
        <w:rPr>
          <w:color w:val="000000" w:themeColor="text1"/>
          <w:sz w:val="24"/>
          <w:lang w:val="pt-PT"/>
        </w:rPr>
        <w:t>2024)0039).</w:t>
      </w:r>
    </w:p>
    <w:p w14:paraId="26F0B82F" w14:textId="77777777" w:rsidR="00ED0430" w:rsidRPr="0069033C" w:rsidRDefault="0069033C" w:rsidP="0069033C">
      <w:pPr>
        <w:pStyle w:val="FootnoteText"/>
        <w:ind w:left="567" w:hanging="567"/>
        <w:rPr>
          <w:color w:val="000000" w:themeColor="text1"/>
          <w:sz w:val="24"/>
          <w:vertAlign w:val="superscript"/>
          <w:lang w:val="pt-PT"/>
        </w:rPr>
      </w:pPr>
      <w:r w:rsidRPr="0069033C">
        <w:rPr>
          <w:color w:val="000000" w:themeColor="text1"/>
          <w:sz w:val="24"/>
          <w:lang w:val="pt-PT"/>
        </w:rPr>
        <w:t xml:space="preserve"> </w:t>
      </w:r>
      <w:r w:rsidRPr="0069033C">
        <w:rPr>
          <w:color w:val="000000" w:themeColor="text1"/>
          <w:sz w:val="24"/>
          <w:lang w:val="pt-PT"/>
        </w:rPr>
        <w:tab/>
      </w:r>
      <w:r w:rsidR="00ED0430" w:rsidRPr="0069033C">
        <w:rPr>
          <w:color w:val="000000" w:themeColor="text1"/>
          <w:sz w:val="24"/>
          <w:lang w:val="pt-PT"/>
        </w:rPr>
        <w:t>–</w:t>
      </w:r>
      <w:r w:rsidR="00ED0430" w:rsidRPr="0069033C">
        <w:rPr>
          <w:color w:val="000000" w:themeColor="text1"/>
          <w:sz w:val="24"/>
          <w:lang w:val="pt-PT"/>
        </w:rPr>
        <w:tab/>
        <w:t xml:space="preserve">Resolução do Parlamento Europeu, de 26 de novembro de 2024, sobre a Decisão de Execução da Comissão (UE) 2024/2629 que renova a autorização de colocação no mercado de produtos que contenham, sejam constituídos por ou sejam produzidos a partir de milho geneticamente modificado MON 89034 x 1507 x MON 88017 x 59122 e oito das suas </w:t>
      </w:r>
      <w:proofErr w:type="spellStart"/>
      <w:r w:rsidR="00ED0430" w:rsidRPr="0069033C">
        <w:rPr>
          <w:color w:val="000000" w:themeColor="text1"/>
          <w:sz w:val="24"/>
          <w:lang w:val="pt-PT"/>
        </w:rPr>
        <w:t>subcombinações</w:t>
      </w:r>
      <w:proofErr w:type="spellEnd"/>
      <w:r w:rsidR="00ED0430" w:rsidRPr="0069033C">
        <w:rPr>
          <w:color w:val="000000" w:themeColor="text1"/>
          <w:sz w:val="24"/>
          <w:lang w:val="pt-PT"/>
        </w:rPr>
        <w:t>, nos termos do Regulamento (CE) n.º 1829/2003 do Parlamento Europeu e do Conselho (P10_</w:t>
      </w:r>
      <w:proofErr w:type="gramStart"/>
      <w:r w:rsidR="00ED0430" w:rsidRPr="0069033C">
        <w:rPr>
          <w:color w:val="000000" w:themeColor="text1"/>
          <w:sz w:val="24"/>
          <w:lang w:val="pt-PT"/>
        </w:rPr>
        <w:t>TA(</w:t>
      </w:r>
      <w:proofErr w:type="gramEnd"/>
      <w:r w:rsidR="00ED0430" w:rsidRPr="0069033C">
        <w:rPr>
          <w:color w:val="000000" w:themeColor="text1"/>
          <w:sz w:val="24"/>
          <w:lang w:val="pt-PT"/>
        </w:rPr>
        <w:t>2024)0040).</w:t>
      </w:r>
    </w:p>
    <w:p w14:paraId="7BD6B09F" w14:textId="77777777" w:rsidR="00ED0430" w:rsidRPr="0069033C" w:rsidRDefault="0069033C" w:rsidP="0069033C">
      <w:pPr>
        <w:pStyle w:val="FootnoteText"/>
        <w:ind w:left="567" w:hanging="567"/>
        <w:rPr>
          <w:color w:val="000000" w:themeColor="text1"/>
          <w:sz w:val="24"/>
          <w:vertAlign w:val="superscript"/>
          <w:lang w:val="pt-PT"/>
        </w:rPr>
      </w:pPr>
      <w:r w:rsidRPr="0069033C">
        <w:rPr>
          <w:color w:val="000000" w:themeColor="text1"/>
          <w:sz w:val="24"/>
          <w:lang w:val="pt-PT"/>
        </w:rPr>
        <w:t xml:space="preserve"> </w:t>
      </w:r>
      <w:r w:rsidRPr="0069033C">
        <w:rPr>
          <w:color w:val="000000" w:themeColor="text1"/>
          <w:sz w:val="24"/>
          <w:lang w:val="pt-PT"/>
        </w:rPr>
        <w:tab/>
      </w:r>
      <w:r w:rsidR="00ED0430" w:rsidRPr="0069033C">
        <w:rPr>
          <w:color w:val="000000" w:themeColor="text1"/>
          <w:sz w:val="24"/>
          <w:lang w:val="pt-PT"/>
        </w:rPr>
        <w:t>–</w:t>
      </w:r>
      <w:r w:rsidR="00ED0430" w:rsidRPr="0069033C">
        <w:rPr>
          <w:color w:val="000000" w:themeColor="text1"/>
          <w:sz w:val="24"/>
          <w:lang w:val="pt-PT"/>
        </w:rPr>
        <w:tab/>
        <w:t>Resolução do Parlamento Europeu, de 26 de novembro de 2024, sobre a Decisão de Execução (UE) 2024/1828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 nos termos do Regulamento (CE) n.º 1829/2003 do Parlamento Europeu e do Conselho, e que revoga a Decisão de Execução (UE) 2017/1207 da Comissão (P10_TA(2024)0041).</w:t>
      </w:r>
    </w:p>
    <w:p w14:paraId="7642C3E3" w14:textId="77777777" w:rsidR="00ED0430" w:rsidRPr="0069033C" w:rsidRDefault="0069033C" w:rsidP="0069033C">
      <w:pPr>
        <w:pStyle w:val="FootnoteText"/>
        <w:ind w:left="567" w:hanging="567"/>
        <w:rPr>
          <w:color w:val="000000" w:themeColor="text1"/>
          <w:sz w:val="24"/>
          <w:vertAlign w:val="superscript"/>
          <w:lang w:val="pt-PT"/>
        </w:rPr>
      </w:pPr>
      <w:r w:rsidRPr="0069033C">
        <w:rPr>
          <w:color w:val="000000" w:themeColor="text1"/>
          <w:sz w:val="24"/>
          <w:lang w:val="pt-PT"/>
        </w:rPr>
        <w:t xml:space="preserve"> </w:t>
      </w:r>
      <w:r w:rsidRPr="0069033C">
        <w:rPr>
          <w:color w:val="000000" w:themeColor="text1"/>
          <w:sz w:val="24"/>
          <w:lang w:val="pt-PT"/>
        </w:rPr>
        <w:tab/>
      </w:r>
      <w:r w:rsidR="00ED0430" w:rsidRPr="0069033C">
        <w:rPr>
          <w:color w:val="000000" w:themeColor="text1"/>
          <w:sz w:val="24"/>
          <w:lang w:val="pt-PT"/>
        </w:rPr>
        <w:t>–</w:t>
      </w:r>
      <w:r w:rsidR="00ED0430" w:rsidRPr="0069033C">
        <w:rPr>
          <w:color w:val="000000" w:themeColor="text1"/>
          <w:sz w:val="24"/>
          <w:lang w:val="pt-PT"/>
        </w:rPr>
        <w:tab/>
        <w:t>Resolução do Parlamento Europeu, de 26 de novembro de 2024, sobre a Decisão de Execução (UE) 2024/1822 da Comissão, que autoriza a colocação no mercado de produtos que contenham, sejam constituídos por ou sejam produzidos a partir de milho geneticamente modificado DP915635 nos termos do Regulamento (CE) n.º 1829/2003 do Parlamento Europeu e do Conselho (P10_</w:t>
      </w:r>
      <w:proofErr w:type="gramStart"/>
      <w:r w:rsidR="00ED0430" w:rsidRPr="0069033C">
        <w:rPr>
          <w:color w:val="000000" w:themeColor="text1"/>
          <w:sz w:val="24"/>
          <w:lang w:val="pt-PT"/>
        </w:rPr>
        <w:t>TA(</w:t>
      </w:r>
      <w:proofErr w:type="gramEnd"/>
      <w:r w:rsidR="00ED0430" w:rsidRPr="0069033C">
        <w:rPr>
          <w:color w:val="000000" w:themeColor="text1"/>
          <w:sz w:val="24"/>
          <w:lang w:val="pt-PT"/>
        </w:rPr>
        <w:t>2024)0042).</w:t>
      </w:r>
    </w:p>
    <w:p w14:paraId="7A61CCAE" w14:textId="77777777" w:rsidR="00ED0430" w:rsidRPr="0069033C" w:rsidRDefault="0069033C" w:rsidP="0069033C">
      <w:pPr>
        <w:pStyle w:val="FootnoteText"/>
        <w:ind w:left="567" w:hanging="567"/>
        <w:rPr>
          <w:color w:val="000000" w:themeColor="text1"/>
          <w:sz w:val="24"/>
          <w:vertAlign w:val="superscript"/>
          <w:lang w:val="pt-PT"/>
        </w:rPr>
      </w:pPr>
      <w:r w:rsidRPr="0069033C">
        <w:rPr>
          <w:color w:val="000000" w:themeColor="text1"/>
          <w:sz w:val="24"/>
          <w:lang w:val="pt-PT"/>
        </w:rPr>
        <w:t xml:space="preserve"> </w:t>
      </w:r>
      <w:r w:rsidRPr="0069033C">
        <w:rPr>
          <w:color w:val="000000" w:themeColor="text1"/>
          <w:sz w:val="24"/>
          <w:lang w:val="pt-PT"/>
        </w:rPr>
        <w:tab/>
      </w:r>
      <w:r w:rsidR="00ED0430" w:rsidRPr="0069033C">
        <w:rPr>
          <w:color w:val="000000" w:themeColor="text1"/>
          <w:sz w:val="24"/>
          <w:lang w:val="pt-PT"/>
        </w:rPr>
        <w:t>–</w:t>
      </w:r>
      <w:r w:rsidR="00ED0430" w:rsidRPr="0069033C">
        <w:rPr>
          <w:color w:val="000000" w:themeColor="text1"/>
          <w:sz w:val="24"/>
          <w:lang w:val="pt-PT"/>
        </w:rPr>
        <w:tab/>
        <w:t>Resolução do Parlamento Europeu, de 26 de novembro de 2024, sobre a Decisão de Execução (UE) 2024/1826 da Comissão, que autoriza a colocação no mercado de produtos que contenham, sejam constituídos por ou sejam produzidos a partir de milho geneticamente modificado DP23211 nos termos do Regulamento (CE) n.º 1829/2003 do Parlamento Europeu e do Conselho (P10_</w:t>
      </w:r>
      <w:proofErr w:type="gramStart"/>
      <w:r w:rsidR="00ED0430" w:rsidRPr="0069033C">
        <w:rPr>
          <w:color w:val="000000" w:themeColor="text1"/>
          <w:sz w:val="24"/>
          <w:lang w:val="pt-PT"/>
        </w:rPr>
        <w:t>TA(</w:t>
      </w:r>
      <w:proofErr w:type="gramEnd"/>
      <w:r w:rsidR="00ED0430" w:rsidRPr="0069033C">
        <w:rPr>
          <w:color w:val="000000" w:themeColor="text1"/>
          <w:sz w:val="24"/>
          <w:lang w:val="pt-PT"/>
        </w:rPr>
        <w:t>2024)0043).</w:t>
      </w:r>
    </w:p>
    <w:p w14:paraId="14F61ABC" w14:textId="77777777" w:rsidR="00ED0430" w:rsidRPr="0069033C" w:rsidRDefault="0069033C" w:rsidP="0069033C">
      <w:pPr>
        <w:pStyle w:val="FootnoteText"/>
        <w:ind w:left="567" w:hanging="567"/>
        <w:rPr>
          <w:color w:val="000000" w:themeColor="text1"/>
          <w:sz w:val="24"/>
          <w:vertAlign w:val="superscript"/>
          <w:lang w:val="pt-PT"/>
        </w:rPr>
      </w:pPr>
      <w:r w:rsidRPr="0069033C">
        <w:rPr>
          <w:color w:val="000000" w:themeColor="text1"/>
          <w:sz w:val="24"/>
          <w:lang w:val="pt-PT"/>
        </w:rPr>
        <w:t xml:space="preserve"> </w:t>
      </w:r>
      <w:r w:rsidRPr="0069033C">
        <w:rPr>
          <w:color w:val="000000" w:themeColor="text1"/>
          <w:sz w:val="24"/>
          <w:lang w:val="pt-PT"/>
        </w:rPr>
        <w:tab/>
      </w:r>
      <w:r w:rsidR="00ED0430" w:rsidRPr="0069033C">
        <w:rPr>
          <w:color w:val="000000" w:themeColor="text1"/>
          <w:sz w:val="24"/>
          <w:lang w:val="pt-PT"/>
        </w:rPr>
        <w:t>–</w:t>
      </w:r>
      <w:r w:rsidR="00ED0430" w:rsidRPr="0069033C">
        <w:rPr>
          <w:color w:val="000000" w:themeColor="text1"/>
          <w:sz w:val="24"/>
          <w:lang w:val="pt-PT"/>
        </w:rPr>
        <w:tab/>
        <w:t>Resolução do Parlamento Europeu, de 26 de novembro de 2024, sobre a decisão de Execução da Comissão (UE) 2024/2618 que autoriza a colocação no mercado de produtos que contenham, sejam constituídos por ou sejam produzidos a partir de milho geneticamente modificado DP202216 nos termos do Regulamento (CE) n.º 1829/2003 do Parlamento Europeu e do Conselho (P10_</w:t>
      </w:r>
      <w:proofErr w:type="gramStart"/>
      <w:r w:rsidR="00ED0430" w:rsidRPr="0069033C">
        <w:rPr>
          <w:color w:val="000000" w:themeColor="text1"/>
          <w:sz w:val="24"/>
          <w:lang w:val="pt-PT"/>
        </w:rPr>
        <w:t>TA(</w:t>
      </w:r>
      <w:proofErr w:type="gramEnd"/>
      <w:r w:rsidR="00ED0430" w:rsidRPr="0069033C">
        <w:rPr>
          <w:color w:val="000000" w:themeColor="text1"/>
          <w:sz w:val="24"/>
          <w:lang w:val="pt-PT"/>
        </w:rPr>
        <w:t>2024)0044).</w:t>
      </w:r>
    </w:p>
    <w:p w14:paraId="406C6AF3" w14:textId="77777777" w:rsidR="00ED0430" w:rsidRPr="0069033C" w:rsidRDefault="0069033C" w:rsidP="0069033C">
      <w:pPr>
        <w:pStyle w:val="FootnoteText"/>
        <w:ind w:left="567" w:hanging="567"/>
        <w:rPr>
          <w:color w:val="000000" w:themeColor="text1"/>
          <w:sz w:val="24"/>
          <w:lang w:val="pt-PT"/>
        </w:rPr>
      </w:pPr>
      <w:r w:rsidRPr="0069033C">
        <w:rPr>
          <w:color w:val="000000" w:themeColor="text1"/>
          <w:sz w:val="24"/>
          <w:lang w:val="pt-PT"/>
        </w:rPr>
        <w:t xml:space="preserve"> </w:t>
      </w:r>
      <w:r w:rsidRPr="0069033C">
        <w:rPr>
          <w:color w:val="000000" w:themeColor="text1"/>
          <w:sz w:val="24"/>
          <w:lang w:val="pt-PT"/>
        </w:rPr>
        <w:tab/>
      </w:r>
      <w:r w:rsidR="00ED0430" w:rsidRPr="0069033C">
        <w:rPr>
          <w:color w:val="000000" w:themeColor="text1"/>
          <w:sz w:val="24"/>
          <w:lang w:val="pt-PT"/>
        </w:rPr>
        <w:t>–</w:t>
      </w:r>
      <w:r w:rsidR="00ED0430" w:rsidRPr="0069033C">
        <w:rPr>
          <w:color w:val="000000" w:themeColor="text1"/>
          <w:sz w:val="24"/>
          <w:lang w:val="pt-PT"/>
        </w:rPr>
        <w:tab/>
        <w:t>Resolução do Parlamento Europeu, de 26 de novembro de 2024, sobre o projeto de decisão de execução da Comissão que autoriza a colocação no mercado de produtos que contenham, sejam constituídos por, ou produzidos a partir de milho geneticamente modificado MON 94804 nos termos do Regulamento (CE) n.º 1829/2003 do Parlamento Europeu e do Conselho (P10_</w:t>
      </w:r>
      <w:proofErr w:type="gramStart"/>
      <w:r w:rsidR="00ED0430" w:rsidRPr="0069033C">
        <w:rPr>
          <w:color w:val="000000" w:themeColor="text1"/>
          <w:sz w:val="24"/>
          <w:lang w:val="pt-PT"/>
        </w:rPr>
        <w:t>TA(</w:t>
      </w:r>
      <w:proofErr w:type="gramEnd"/>
      <w:r w:rsidR="00ED0430" w:rsidRPr="0069033C">
        <w:rPr>
          <w:color w:val="000000" w:themeColor="text1"/>
          <w:sz w:val="24"/>
          <w:lang w:val="pt-PT"/>
        </w:rPr>
        <w:t>2024)0045).</w:t>
      </w:r>
    </w:p>
  </w:footnote>
  <w:footnote w:id="5">
    <w:p w14:paraId="1A4FBF27" w14:textId="77777777" w:rsidR="00ED0430" w:rsidRPr="0069033C" w:rsidRDefault="00ED0430" w:rsidP="0069033C">
      <w:pPr>
        <w:pStyle w:val="FootnoteText"/>
        <w:ind w:left="567" w:hanging="567"/>
        <w:rPr>
          <w:color w:val="000000" w:themeColor="text1"/>
          <w:sz w:val="24"/>
          <w:lang w:val="pt-PT"/>
        </w:rPr>
      </w:pPr>
      <w:r w:rsidRPr="0069033C">
        <w:rPr>
          <w:rStyle w:val="FootnoteReference"/>
          <w:color w:val="000000" w:themeColor="text1"/>
          <w:sz w:val="24"/>
          <w:lang w:val="pt-PT"/>
        </w:rPr>
        <w:footnoteRef/>
      </w:r>
      <w:r w:rsidR="0069033C" w:rsidRPr="0069033C">
        <w:rPr>
          <w:color w:val="000000" w:themeColor="text1"/>
          <w:sz w:val="24"/>
          <w:lang w:val="pt-PT"/>
        </w:rPr>
        <w:t xml:space="preserve"> </w:t>
      </w:r>
      <w:r w:rsidR="0069033C" w:rsidRPr="0069033C">
        <w:rPr>
          <w:color w:val="000000" w:themeColor="text1"/>
          <w:sz w:val="24"/>
          <w:lang w:val="pt-PT"/>
        </w:rPr>
        <w:tab/>
      </w:r>
      <w:r w:rsidRPr="0069033C">
        <w:rPr>
          <w:color w:val="000000" w:themeColor="text1"/>
          <w:sz w:val="24"/>
          <w:lang w:val="pt-PT"/>
        </w:rPr>
        <w:t xml:space="preserve">Regulamento (CE) n.º 1107/2009 do Parlamento Europeu e do Conselho, de 21 de outubro de 2009, relativo à colocação dos produtos fitofarmacêuticos no mercado e que revoga as Diretivas 79/117/CEE e 91/414/CEE do Conselho (JO L 309 de 24.11.2009, p. 1, ELI: </w:t>
      </w:r>
      <w:hyperlink r:id="rId4" w:history="1">
        <w:r w:rsidRPr="008D4D16">
          <w:rPr>
            <w:rStyle w:val="Hyperlink"/>
            <w:sz w:val="24"/>
            <w:szCs w:val="24"/>
            <w:lang w:val="pt-PT"/>
          </w:rPr>
          <w:t>https://eur</w:t>
        </w:r>
        <w:r w:rsidRPr="008D4D16">
          <w:rPr>
            <w:rStyle w:val="Hyperlink"/>
            <w:sz w:val="24"/>
            <w:szCs w:val="24"/>
            <w:lang w:val="pt-PT"/>
          </w:rPr>
          <w:noBreakHyphen/>
          <w:t>lex.europa.eu/eli/reg/2009/1107/oj</w:t>
        </w:r>
      </w:hyperlink>
      <w:r w:rsidRPr="0069033C">
        <w:rPr>
          <w:rStyle w:val="Hyperlink"/>
          <w:color w:val="000000" w:themeColor="text1"/>
          <w:sz w:val="24"/>
          <w:lang w:val="pt-PT"/>
        </w:rPr>
        <w:t>).</w:t>
      </w:r>
    </w:p>
  </w:footnote>
  <w:footnote w:id="6">
    <w:p w14:paraId="0064EA9A"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color w:val="000000" w:themeColor="text1"/>
          <w:sz w:val="24"/>
          <w:lang w:val="pt-PT"/>
        </w:rPr>
        <w:t xml:space="preserve"> </w:t>
      </w:r>
      <w:r w:rsidR="0069033C" w:rsidRPr="0069033C">
        <w:rPr>
          <w:color w:val="000000" w:themeColor="text1"/>
          <w:sz w:val="24"/>
          <w:lang w:val="pt-PT"/>
        </w:rPr>
        <w:tab/>
      </w:r>
      <w:r w:rsidRPr="0069033C">
        <w:rPr>
          <w:color w:val="000000" w:themeColor="text1"/>
          <w:sz w:val="24"/>
          <w:lang w:val="pt-PT"/>
        </w:rPr>
        <w:t xml:space="preserve">Regulamento de Execução (UE) n.º 503/2013 da Comissão, de 3 de abril de 2013, relativo aos pedidos de autorização de géneros alimentícios e alimentos para animais geneticamente modificados, em conformidade com o Regulamento (CE) n.º 1829/2003 do Parlamento Europeu e do Conselho, e que altera os Regulamentos (CE) n.º 641/2004 e (CE) n.º 1981/2006 da Comissão (JO L 157 de 8.6.2013, p. 1, ELI: </w:t>
      </w:r>
      <w:hyperlink r:id="rId5" w:tgtFrame="Gives access to this document through its ELI URI." w:history="1">
        <w:r w:rsidRPr="008D4D16">
          <w:rPr>
            <w:rStyle w:val="Hyperlink"/>
            <w:sz w:val="24"/>
            <w:szCs w:val="24"/>
            <w:lang w:val="pt-PT"/>
          </w:rPr>
          <w:t>http://data.europa.eu/eli/reg_impl/2013/503/oj</w:t>
        </w:r>
      </w:hyperlink>
      <w:r w:rsidRPr="0069033C">
        <w:rPr>
          <w:color w:val="000000" w:themeColor="text1"/>
          <w:sz w:val="24"/>
          <w:lang w:val="pt-PT"/>
        </w:rPr>
        <w:t>).</w:t>
      </w:r>
    </w:p>
  </w:footnote>
  <w:footnote w:id="7">
    <w:p w14:paraId="3A88C899"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color w:val="000000" w:themeColor="text1"/>
          <w:sz w:val="24"/>
          <w:lang w:val="pt-PT"/>
        </w:rPr>
        <w:t xml:space="preserve"> </w:t>
      </w:r>
      <w:r w:rsidR="0069033C" w:rsidRPr="0069033C">
        <w:rPr>
          <w:color w:val="000000" w:themeColor="text1"/>
          <w:sz w:val="24"/>
          <w:lang w:val="pt-PT"/>
        </w:rPr>
        <w:tab/>
      </w:r>
      <w:r w:rsidRPr="0069033C">
        <w:rPr>
          <w:color w:val="000000" w:themeColor="text1"/>
          <w:sz w:val="24"/>
          <w:lang w:val="pt-PT"/>
        </w:rPr>
        <w:t xml:space="preserve">Ver, por exemplo, Schulz, R., </w:t>
      </w:r>
      <w:proofErr w:type="spellStart"/>
      <w:r w:rsidRPr="0069033C">
        <w:rPr>
          <w:color w:val="000000" w:themeColor="text1"/>
          <w:sz w:val="24"/>
          <w:lang w:val="pt-PT"/>
        </w:rPr>
        <w:t>Bub</w:t>
      </w:r>
      <w:proofErr w:type="spellEnd"/>
      <w:r w:rsidRPr="0069033C">
        <w:rPr>
          <w:color w:val="000000" w:themeColor="text1"/>
          <w:sz w:val="24"/>
          <w:lang w:val="pt-PT"/>
        </w:rPr>
        <w:t xml:space="preserve">, S., </w:t>
      </w:r>
      <w:proofErr w:type="spellStart"/>
      <w:r w:rsidRPr="0069033C">
        <w:rPr>
          <w:color w:val="000000" w:themeColor="text1"/>
          <w:sz w:val="24"/>
          <w:lang w:val="pt-PT"/>
        </w:rPr>
        <w:t>Petschick</w:t>
      </w:r>
      <w:proofErr w:type="spellEnd"/>
      <w:r w:rsidRPr="0069033C">
        <w:rPr>
          <w:color w:val="000000" w:themeColor="text1"/>
          <w:sz w:val="24"/>
          <w:lang w:val="pt-PT"/>
        </w:rPr>
        <w:t xml:space="preserve">, L. L., </w:t>
      </w:r>
      <w:proofErr w:type="spellStart"/>
      <w:r w:rsidRPr="0069033C">
        <w:rPr>
          <w:color w:val="000000" w:themeColor="text1"/>
          <w:sz w:val="24"/>
          <w:lang w:val="pt-PT"/>
        </w:rPr>
        <w:t>Stehle</w:t>
      </w:r>
      <w:proofErr w:type="spellEnd"/>
      <w:r w:rsidRPr="0069033C">
        <w:rPr>
          <w:color w:val="000000" w:themeColor="text1"/>
          <w:sz w:val="24"/>
          <w:lang w:val="pt-PT"/>
        </w:rPr>
        <w:t>, S., Wolfram, J. (2021), «</w:t>
      </w:r>
      <w:proofErr w:type="spellStart"/>
      <w:r w:rsidRPr="0069033C">
        <w:rPr>
          <w:color w:val="000000" w:themeColor="text1"/>
          <w:sz w:val="24"/>
          <w:lang w:val="pt-PT"/>
        </w:rPr>
        <w:t>Applied</w:t>
      </w:r>
      <w:proofErr w:type="spellEnd"/>
      <w:r w:rsidRPr="0069033C">
        <w:rPr>
          <w:color w:val="000000" w:themeColor="text1"/>
          <w:sz w:val="24"/>
          <w:lang w:val="pt-PT"/>
        </w:rPr>
        <w:t xml:space="preserve"> </w:t>
      </w:r>
      <w:proofErr w:type="spellStart"/>
      <w:r w:rsidRPr="0069033C">
        <w:rPr>
          <w:color w:val="000000" w:themeColor="text1"/>
          <w:sz w:val="24"/>
          <w:lang w:val="pt-PT"/>
        </w:rPr>
        <w:t>pesticide</w:t>
      </w:r>
      <w:proofErr w:type="spellEnd"/>
      <w:r w:rsidRPr="0069033C">
        <w:rPr>
          <w:color w:val="000000" w:themeColor="text1"/>
          <w:sz w:val="24"/>
          <w:lang w:val="pt-PT"/>
        </w:rPr>
        <w:t xml:space="preserve"> </w:t>
      </w:r>
      <w:proofErr w:type="spellStart"/>
      <w:r w:rsidRPr="0069033C">
        <w:rPr>
          <w:color w:val="000000" w:themeColor="text1"/>
          <w:sz w:val="24"/>
          <w:lang w:val="pt-PT"/>
        </w:rPr>
        <w:t>toxicity</w:t>
      </w:r>
      <w:proofErr w:type="spellEnd"/>
      <w:r w:rsidRPr="0069033C">
        <w:rPr>
          <w:color w:val="000000" w:themeColor="text1"/>
          <w:sz w:val="24"/>
          <w:lang w:val="pt-PT"/>
        </w:rPr>
        <w:t xml:space="preserve"> </w:t>
      </w:r>
      <w:proofErr w:type="spellStart"/>
      <w:r w:rsidRPr="0069033C">
        <w:rPr>
          <w:color w:val="000000" w:themeColor="text1"/>
          <w:sz w:val="24"/>
          <w:lang w:val="pt-PT"/>
        </w:rPr>
        <w:t>shifts</w:t>
      </w:r>
      <w:proofErr w:type="spellEnd"/>
      <w:r w:rsidRPr="0069033C">
        <w:rPr>
          <w:color w:val="000000" w:themeColor="text1"/>
          <w:sz w:val="24"/>
          <w:lang w:val="pt-PT"/>
        </w:rPr>
        <w:t xml:space="preserve"> </w:t>
      </w:r>
      <w:proofErr w:type="spellStart"/>
      <w:r w:rsidRPr="0069033C">
        <w:rPr>
          <w:color w:val="000000" w:themeColor="text1"/>
          <w:sz w:val="24"/>
          <w:lang w:val="pt-PT"/>
        </w:rPr>
        <w:t>toward</w:t>
      </w:r>
      <w:proofErr w:type="spellEnd"/>
      <w:r w:rsidRPr="0069033C">
        <w:rPr>
          <w:color w:val="000000" w:themeColor="text1"/>
          <w:sz w:val="24"/>
          <w:lang w:val="pt-PT"/>
        </w:rPr>
        <w:t xml:space="preserve"> </w:t>
      </w:r>
      <w:proofErr w:type="spellStart"/>
      <w:r w:rsidRPr="0069033C">
        <w:rPr>
          <w:color w:val="000000" w:themeColor="text1"/>
          <w:sz w:val="24"/>
          <w:lang w:val="pt-PT"/>
        </w:rPr>
        <w:t>plants</w:t>
      </w:r>
      <w:proofErr w:type="spellEnd"/>
      <w:r w:rsidRPr="0069033C">
        <w:rPr>
          <w:color w:val="000000" w:themeColor="text1"/>
          <w:sz w:val="24"/>
          <w:lang w:val="pt-PT"/>
        </w:rPr>
        <w:t xml:space="preserve"> </w:t>
      </w:r>
      <w:proofErr w:type="spellStart"/>
      <w:r w:rsidRPr="0069033C">
        <w:rPr>
          <w:color w:val="000000" w:themeColor="text1"/>
          <w:sz w:val="24"/>
          <w:lang w:val="pt-PT"/>
        </w:rPr>
        <w:t>and</w:t>
      </w:r>
      <w:proofErr w:type="spellEnd"/>
      <w:r w:rsidRPr="0069033C">
        <w:rPr>
          <w:color w:val="000000" w:themeColor="text1"/>
          <w:sz w:val="24"/>
          <w:lang w:val="pt-PT"/>
        </w:rPr>
        <w:t xml:space="preserve"> </w:t>
      </w:r>
      <w:proofErr w:type="spellStart"/>
      <w:r w:rsidRPr="0069033C">
        <w:rPr>
          <w:color w:val="000000" w:themeColor="text1"/>
          <w:sz w:val="24"/>
          <w:lang w:val="pt-PT"/>
        </w:rPr>
        <w:t>invertebrates</w:t>
      </w:r>
      <w:proofErr w:type="spellEnd"/>
      <w:r w:rsidRPr="0069033C">
        <w:rPr>
          <w:color w:val="000000" w:themeColor="text1"/>
          <w:sz w:val="24"/>
          <w:lang w:val="pt-PT"/>
        </w:rPr>
        <w:t xml:space="preserve">, </w:t>
      </w:r>
      <w:proofErr w:type="spellStart"/>
      <w:r w:rsidRPr="0069033C">
        <w:rPr>
          <w:color w:val="000000" w:themeColor="text1"/>
          <w:sz w:val="24"/>
          <w:lang w:val="pt-PT"/>
        </w:rPr>
        <w:t>even</w:t>
      </w:r>
      <w:proofErr w:type="spellEnd"/>
      <w:r w:rsidRPr="0069033C">
        <w:rPr>
          <w:color w:val="000000" w:themeColor="text1"/>
          <w:sz w:val="24"/>
          <w:lang w:val="pt-PT"/>
        </w:rPr>
        <w:t xml:space="preserve"> in GM </w:t>
      </w:r>
      <w:proofErr w:type="spellStart"/>
      <w:r w:rsidRPr="0069033C">
        <w:rPr>
          <w:color w:val="000000" w:themeColor="text1"/>
          <w:sz w:val="24"/>
          <w:lang w:val="pt-PT"/>
        </w:rPr>
        <w:t>crops</w:t>
      </w:r>
      <w:proofErr w:type="spellEnd"/>
      <w:r w:rsidRPr="0069033C">
        <w:rPr>
          <w:color w:val="000000" w:themeColor="text1"/>
          <w:sz w:val="24"/>
          <w:lang w:val="pt-PT"/>
        </w:rPr>
        <w:t>» [A toxicidade aplicada de pesticidas transmite</w:t>
      </w:r>
      <w:r w:rsidRPr="0069033C">
        <w:rPr>
          <w:color w:val="000000" w:themeColor="text1"/>
          <w:sz w:val="24"/>
          <w:lang w:val="pt-PT"/>
        </w:rPr>
        <w:noBreakHyphen/>
        <w:t xml:space="preserve">se a plantas e invertebrados, mesmo em culturas GM], </w:t>
      </w:r>
      <w:proofErr w:type="spellStart"/>
      <w:r w:rsidRPr="0069033C">
        <w:rPr>
          <w:i/>
          <w:iCs/>
          <w:color w:val="000000" w:themeColor="text1"/>
          <w:sz w:val="24"/>
          <w:lang w:val="pt-PT"/>
        </w:rPr>
        <w:t>Science</w:t>
      </w:r>
      <w:proofErr w:type="spellEnd"/>
      <w:r w:rsidRPr="0069033C">
        <w:rPr>
          <w:color w:val="000000" w:themeColor="text1"/>
          <w:sz w:val="24"/>
          <w:lang w:val="pt-PT"/>
        </w:rPr>
        <w:t xml:space="preserve"> 372(6537), pp. 81</w:t>
      </w:r>
      <w:r w:rsidRPr="0069033C">
        <w:rPr>
          <w:color w:val="000000" w:themeColor="text1"/>
          <w:sz w:val="24"/>
          <w:lang w:val="pt-PT"/>
        </w:rPr>
        <w:noBreakHyphen/>
        <w:t>84,</w:t>
      </w:r>
      <w:r w:rsidRPr="0069033C">
        <w:rPr>
          <w:sz w:val="24"/>
          <w:lang w:val="pt-PT"/>
        </w:rPr>
        <w:t xml:space="preserve"> </w:t>
      </w:r>
      <w:hyperlink r:id="rId6" w:history="1">
        <w:r w:rsidRPr="008D4D16">
          <w:rPr>
            <w:rStyle w:val="Hyperlink"/>
            <w:sz w:val="24"/>
            <w:szCs w:val="24"/>
            <w:lang w:val="pt-PT"/>
          </w:rPr>
          <w:t>https://doi.org/10.1126/science.abe1148</w:t>
        </w:r>
      </w:hyperlink>
      <w:r w:rsidRPr="0069033C">
        <w:rPr>
          <w:color w:val="000000" w:themeColor="text1"/>
          <w:sz w:val="24"/>
          <w:lang w:val="pt-PT"/>
        </w:rPr>
        <w:t xml:space="preserve">; </w:t>
      </w:r>
      <w:proofErr w:type="spellStart"/>
      <w:r w:rsidRPr="0069033C">
        <w:rPr>
          <w:color w:val="000000" w:themeColor="text1"/>
          <w:sz w:val="24"/>
          <w:lang w:val="pt-PT"/>
        </w:rPr>
        <w:t>Bonny</w:t>
      </w:r>
      <w:proofErr w:type="spellEnd"/>
      <w:r w:rsidRPr="0069033C">
        <w:rPr>
          <w:color w:val="000000" w:themeColor="text1"/>
          <w:sz w:val="24"/>
          <w:lang w:val="pt-PT"/>
        </w:rPr>
        <w:t>, S., «</w:t>
      </w:r>
      <w:proofErr w:type="spellStart"/>
      <w:r w:rsidRPr="0069033C">
        <w:rPr>
          <w:color w:val="000000" w:themeColor="text1"/>
          <w:sz w:val="24"/>
          <w:lang w:val="pt-PT"/>
        </w:rPr>
        <w:t>Genetically</w:t>
      </w:r>
      <w:proofErr w:type="spellEnd"/>
      <w:r w:rsidRPr="0069033C">
        <w:rPr>
          <w:color w:val="000000" w:themeColor="text1"/>
          <w:sz w:val="24"/>
          <w:lang w:val="pt-PT"/>
        </w:rPr>
        <w:t xml:space="preserve"> </w:t>
      </w:r>
      <w:proofErr w:type="spellStart"/>
      <w:r w:rsidRPr="0069033C">
        <w:rPr>
          <w:color w:val="000000" w:themeColor="text1"/>
          <w:sz w:val="24"/>
          <w:lang w:val="pt-PT"/>
        </w:rPr>
        <w:t>Modified</w:t>
      </w:r>
      <w:proofErr w:type="spellEnd"/>
      <w:r w:rsidRPr="0069033C">
        <w:rPr>
          <w:color w:val="000000" w:themeColor="text1"/>
          <w:sz w:val="24"/>
          <w:lang w:val="pt-PT"/>
        </w:rPr>
        <w:t xml:space="preserve"> </w:t>
      </w:r>
      <w:proofErr w:type="spellStart"/>
      <w:r w:rsidRPr="0069033C">
        <w:rPr>
          <w:color w:val="000000" w:themeColor="text1"/>
          <w:sz w:val="24"/>
          <w:lang w:val="pt-PT"/>
        </w:rPr>
        <w:t>Herbicide</w:t>
      </w:r>
      <w:r w:rsidRPr="0069033C">
        <w:rPr>
          <w:color w:val="000000" w:themeColor="text1"/>
          <w:sz w:val="24"/>
          <w:lang w:val="pt-PT"/>
        </w:rPr>
        <w:noBreakHyphen/>
        <w:t>Tolerant</w:t>
      </w:r>
      <w:proofErr w:type="spellEnd"/>
      <w:r w:rsidRPr="0069033C">
        <w:rPr>
          <w:color w:val="000000" w:themeColor="text1"/>
          <w:sz w:val="24"/>
          <w:lang w:val="pt-PT"/>
        </w:rPr>
        <w:t xml:space="preserve"> </w:t>
      </w:r>
      <w:proofErr w:type="spellStart"/>
      <w:r w:rsidRPr="0069033C">
        <w:rPr>
          <w:color w:val="000000" w:themeColor="text1"/>
          <w:sz w:val="24"/>
          <w:lang w:val="pt-PT"/>
        </w:rPr>
        <w:t>Crops</w:t>
      </w:r>
      <w:proofErr w:type="spellEnd"/>
      <w:r w:rsidRPr="0069033C">
        <w:rPr>
          <w:color w:val="000000" w:themeColor="text1"/>
          <w:sz w:val="24"/>
          <w:lang w:val="pt-PT"/>
        </w:rPr>
        <w:t xml:space="preserve">, </w:t>
      </w:r>
      <w:proofErr w:type="spellStart"/>
      <w:r w:rsidRPr="0069033C">
        <w:rPr>
          <w:color w:val="000000" w:themeColor="text1"/>
          <w:sz w:val="24"/>
          <w:lang w:val="pt-PT"/>
        </w:rPr>
        <w:t>Weeds</w:t>
      </w:r>
      <w:proofErr w:type="spellEnd"/>
      <w:r w:rsidRPr="0069033C">
        <w:rPr>
          <w:color w:val="000000" w:themeColor="text1"/>
          <w:sz w:val="24"/>
          <w:lang w:val="pt-PT"/>
        </w:rPr>
        <w:t xml:space="preserve">, </w:t>
      </w:r>
      <w:proofErr w:type="spellStart"/>
      <w:r w:rsidRPr="0069033C">
        <w:rPr>
          <w:color w:val="000000" w:themeColor="text1"/>
          <w:sz w:val="24"/>
          <w:lang w:val="pt-PT"/>
        </w:rPr>
        <w:t>and</w:t>
      </w:r>
      <w:proofErr w:type="spellEnd"/>
      <w:r w:rsidRPr="0069033C">
        <w:rPr>
          <w:color w:val="000000" w:themeColor="text1"/>
          <w:sz w:val="24"/>
          <w:lang w:val="pt-PT"/>
        </w:rPr>
        <w:t xml:space="preserve"> </w:t>
      </w:r>
      <w:proofErr w:type="spellStart"/>
      <w:r w:rsidRPr="0069033C">
        <w:rPr>
          <w:color w:val="000000" w:themeColor="text1"/>
          <w:sz w:val="24"/>
          <w:lang w:val="pt-PT"/>
        </w:rPr>
        <w:t>Herbicides</w:t>
      </w:r>
      <w:proofErr w:type="spellEnd"/>
      <w:r w:rsidRPr="0069033C">
        <w:rPr>
          <w:color w:val="000000" w:themeColor="text1"/>
          <w:sz w:val="24"/>
          <w:lang w:val="pt-PT"/>
        </w:rPr>
        <w:t xml:space="preserve">: </w:t>
      </w:r>
      <w:proofErr w:type="spellStart"/>
      <w:r w:rsidRPr="0069033C">
        <w:rPr>
          <w:color w:val="000000" w:themeColor="text1"/>
          <w:sz w:val="24"/>
          <w:lang w:val="pt-PT"/>
        </w:rPr>
        <w:t>Overview</w:t>
      </w:r>
      <w:proofErr w:type="spellEnd"/>
      <w:r w:rsidRPr="0069033C">
        <w:rPr>
          <w:color w:val="000000" w:themeColor="text1"/>
          <w:sz w:val="24"/>
          <w:lang w:val="pt-PT"/>
        </w:rPr>
        <w:t xml:space="preserve"> </w:t>
      </w:r>
      <w:proofErr w:type="spellStart"/>
      <w:r w:rsidRPr="0069033C">
        <w:rPr>
          <w:color w:val="000000" w:themeColor="text1"/>
          <w:sz w:val="24"/>
          <w:lang w:val="pt-PT"/>
        </w:rPr>
        <w:t>and</w:t>
      </w:r>
      <w:proofErr w:type="spellEnd"/>
      <w:r w:rsidRPr="0069033C">
        <w:rPr>
          <w:color w:val="000000" w:themeColor="text1"/>
          <w:sz w:val="24"/>
          <w:lang w:val="pt-PT"/>
        </w:rPr>
        <w:t xml:space="preserve"> </w:t>
      </w:r>
      <w:proofErr w:type="spellStart"/>
      <w:r w:rsidRPr="0069033C">
        <w:rPr>
          <w:color w:val="000000" w:themeColor="text1"/>
          <w:sz w:val="24"/>
          <w:lang w:val="pt-PT"/>
        </w:rPr>
        <w:t>Impact</w:t>
      </w:r>
      <w:proofErr w:type="spellEnd"/>
      <w:r w:rsidRPr="0069033C">
        <w:rPr>
          <w:color w:val="000000" w:themeColor="text1"/>
          <w:sz w:val="24"/>
          <w:lang w:val="pt-PT"/>
        </w:rPr>
        <w:t xml:space="preserve">» [Culturas, ervas daninhas e herbicidas geneticamente modificados: Panorâmica e impacto], </w:t>
      </w:r>
      <w:proofErr w:type="spellStart"/>
      <w:r w:rsidRPr="0069033C">
        <w:rPr>
          <w:i/>
          <w:iCs/>
          <w:color w:val="000000" w:themeColor="text1"/>
          <w:sz w:val="24"/>
          <w:lang w:val="pt-PT"/>
        </w:rPr>
        <w:t>Environmental</w:t>
      </w:r>
      <w:proofErr w:type="spellEnd"/>
      <w:r w:rsidRPr="0069033C">
        <w:rPr>
          <w:i/>
          <w:iCs/>
          <w:color w:val="000000" w:themeColor="text1"/>
          <w:sz w:val="24"/>
          <w:lang w:val="pt-PT"/>
        </w:rPr>
        <w:t xml:space="preserve"> Management</w:t>
      </w:r>
      <w:r w:rsidRPr="0069033C">
        <w:rPr>
          <w:color w:val="000000" w:themeColor="text1"/>
          <w:sz w:val="24"/>
          <w:lang w:val="pt-PT"/>
        </w:rPr>
        <w:t>, janeiro de 2016; 57(1), pp. 31</w:t>
      </w:r>
      <w:r w:rsidRPr="0069033C">
        <w:rPr>
          <w:color w:val="000000" w:themeColor="text1"/>
          <w:sz w:val="24"/>
          <w:lang w:val="pt-PT"/>
        </w:rPr>
        <w:noBreakHyphen/>
        <w:t>48,</w:t>
      </w:r>
      <w:r w:rsidRPr="0069033C">
        <w:rPr>
          <w:sz w:val="24"/>
          <w:lang w:val="pt-PT"/>
        </w:rPr>
        <w:t xml:space="preserve"> </w:t>
      </w:r>
      <w:hyperlink r:id="rId7" w:history="1">
        <w:r w:rsidRPr="008D4D16">
          <w:rPr>
            <w:rStyle w:val="Hyperlink"/>
            <w:sz w:val="24"/>
            <w:szCs w:val="24"/>
            <w:lang w:val="pt-PT"/>
          </w:rPr>
          <w:t>https://www.ncbi.nlm.nih.gov/pubmed/26296738</w:t>
        </w:r>
      </w:hyperlink>
      <w:r w:rsidRPr="0069033C">
        <w:rPr>
          <w:rStyle w:val="Hyperlink"/>
          <w:color w:val="000000" w:themeColor="text1"/>
          <w:sz w:val="24"/>
          <w:lang w:val="pt-PT"/>
        </w:rPr>
        <w:t>;</w:t>
      </w:r>
      <w:r w:rsidRPr="0069033C">
        <w:rPr>
          <w:color w:val="000000" w:themeColor="text1"/>
          <w:sz w:val="24"/>
          <w:lang w:val="pt-PT"/>
        </w:rPr>
        <w:t xml:space="preserve"> e </w:t>
      </w:r>
      <w:proofErr w:type="spellStart"/>
      <w:r w:rsidRPr="0069033C">
        <w:rPr>
          <w:color w:val="000000" w:themeColor="text1"/>
          <w:sz w:val="24"/>
          <w:lang w:val="pt-PT"/>
        </w:rPr>
        <w:t>Benbrook</w:t>
      </w:r>
      <w:proofErr w:type="spellEnd"/>
      <w:r w:rsidRPr="0069033C">
        <w:rPr>
          <w:color w:val="000000" w:themeColor="text1"/>
          <w:sz w:val="24"/>
          <w:lang w:val="pt-PT"/>
        </w:rPr>
        <w:t>, C. M., «</w:t>
      </w:r>
      <w:proofErr w:type="spellStart"/>
      <w:r w:rsidRPr="0069033C">
        <w:rPr>
          <w:color w:val="000000" w:themeColor="text1"/>
          <w:sz w:val="24"/>
          <w:lang w:val="pt-PT"/>
        </w:rPr>
        <w:t>Impacts</w:t>
      </w:r>
      <w:proofErr w:type="spellEnd"/>
      <w:r w:rsidRPr="0069033C">
        <w:rPr>
          <w:color w:val="000000" w:themeColor="text1"/>
          <w:sz w:val="24"/>
          <w:lang w:val="pt-PT"/>
        </w:rPr>
        <w:t xml:space="preserve"> </w:t>
      </w:r>
      <w:proofErr w:type="spellStart"/>
      <w:r w:rsidRPr="0069033C">
        <w:rPr>
          <w:color w:val="000000" w:themeColor="text1"/>
          <w:sz w:val="24"/>
          <w:lang w:val="pt-PT"/>
        </w:rPr>
        <w:t>of</w:t>
      </w:r>
      <w:proofErr w:type="spellEnd"/>
      <w:r w:rsidRPr="0069033C">
        <w:rPr>
          <w:color w:val="000000" w:themeColor="text1"/>
          <w:sz w:val="24"/>
          <w:lang w:val="pt-PT"/>
        </w:rPr>
        <w:t xml:space="preserve"> </w:t>
      </w:r>
      <w:proofErr w:type="spellStart"/>
      <w:r w:rsidRPr="0069033C">
        <w:rPr>
          <w:color w:val="000000" w:themeColor="text1"/>
          <w:sz w:val="24"/>
          <w:lang w:val="pt-PT"/>
        </w:rPr>
        <w:t>genetically</w:t>
      </w:r>
      <w:proofErr w:type="spellEnd"/>
      <w:r w:rsidRPr="0069033C">
        <w:rPr>
          <w:color w:val="000000" w:themeColor="text1"/>
          <w:sz w:val="24"/>
          <w:lang w:val="pt-PT"/>
        </w:rPr>
        <w:t xml:space="preserve"> </w:t>
      </w:r>
      <w:proofErr w:type="spellStart"/>
      <w:r w:rsidRPr="0069033C">
        <w:rPr>
          <w:color w:val="000000" w:themeColor="text1"/>
          <w:sz w:val="24"/>
          <w:lang w:val="pt-PT"/>
        </w:rPr>
        <w:t>engineered</w:t>
      </w:r>
      <w:proofErr w:type="spellEnd"/>
      <w:r w:rsidRPr="0069033C">
        <w:rPr>
          <w:color w:val="000000" w:themeColor="text1"/>
          <w:sz w:val="24"/>
          <w:lang w:val="pt-PT"/>
        </w:rPr>
        <w:t xml:space="preserve"> </w:t>
      </w:r>
      <w:proofErr w:type="spellStart"/>
      <w:r w:rsidRPr="0069033C">
        <w:rPr>
          <w:color w:val="000000" w:themeColor="text1"/>
          <w:sz w:val="24"/>
          <w:lang w:val="pt-PT"/>
        </w:rPr>
        <w:t>crops</w:t>
      </w:r>
      <w:proofErr w:type="spellEnd"/>
      <w:r w:rsidRPr="0069033C">
        <w:rPr>
          <w:color w:val="000000" w:themeColor="text1"/>
          <w:sz w:val="24"/>
          <w:lang w:val="pt-PT"/>
        </w:rPr>
        <w:t xml:space="preserve"> </w:t>
      </w:r>
      <w:proofErr w:type="spellStart"/>
      <w:r w:rsidRPr="0069033C">
        <w:rPr>
          <w:color w:val="000000" w:themeColor="text1"/>
          <w:sz w:val="24"/>
          <w:lang w:val="pt-PT"/>
        </w:rPr>
        <w:t>on</w:t>
      </w:r>
      <w:proofErr w:type="spellEnd"/>
      <w:r w:rsidRPr="0069033C">
        <w:rPr>
          <w:color w:val="000000" w:themeColor="text1"/>
          <w:sz w:val="24"/>
          <w:lang w:val="pt-PT"/>
        </w:rPr>
        <w:t xml:space="preserve"> </w:t>
      </w:r>
      <w:proofErr w:type="spellStart"/>
      <w:r w:rsidRPr="0069033C">
        <w:rPr>
          <w:color w:val="000000" w:themeColor="text1"/>
          <w:sz w:val="24"/>
          <w:lang w:val="pt-PT"/>
        </w:rPr>
        <w:t>pesticide</w:t>
      </w:r>
      <w:proofErr w:type="spellEnd"/>
      <w:r w:rsidRPr="0069033C">
        <w:rPr>
          <w:color w:val="000000" w:themeColor="text1"/>
          <w:sz w:val="24"/>
          <w:lang w:val="pt-PT"/>
        </w:rPr>
        <w:t xml:space="preserve"> use in </w:t>
      </w:r>
      <w:proofErr w:type="spellStart"/>
      <w:r w:rsidRPr="0069033C">
        <w:rPr>
          <w:color w:val="000000" w:themeColor="text1"/>
          <w:sz w:val="24"/>
          <w:lang w:val="pt-PT"/>
        </w:rPr>
        <w:t>the</w:t>
      </w:r>
      <w:proofErr w:type="spellEnd"/>
      <w:r w:rsidRPr="0069033C">
        <w:rPr>
          <w:color w:val="000000" w:themeColor="text1"/>
          <w:sz w:val="24"/>
          <w:lang w:val="pt-PT"/>
        </w:rPr>
        <w:t xml:space="preserve"> U.S. </w:t>
      </w:r>
      <w:r w:rsidRPr="0069033C">
        <w:rPr>
          <w:color w:val="000000" w:themeColor="text1"/>
          <w:sz w:val="24"/>
          <w:lang w:val="pt-PT"/>
        </w:rPr>
        <w:noBreakHyphen/>
        <w:t xml:space="preserve"> </w:t>
      </w:r>
      <w:proofErr w:type="spellStart"/>
      <w:r w:rsidRPr="0069033C">
        <w:rPr>
          <w:color w:val="000000" w:themeColor="text1"/>
          <w:sz w:val="24"/>
          <w:lang w:val="pt-PT"/>
        </w:rPr>
        <w:t>the</w:t>
      </w:r>
      <w:proofErr w:type="spellEnd"/>
      <w:r w:rsidRPr="0069033C">
        <w:rPr>
          <w:color w:val="000000" w:themeColor="text1"/>
          <w:sz w:val="24"/>
          <w:lang w:val="pt-PT"/>
        </w:rPr>
        <w:t xml:space="preserve"> </w:t>
      </w:r>
      <w:proofErr w:type="spellStart"/>
      <w:r w:rsidRPr="0069033C">
        <w:rPr>
          <w:color w:val="000000" w:themeColor="text1"/>
          <w:sz w:val="24"/>
          <w:lang w:val="pt-PT"/>
        </w:rPr>
        <w:t>first</w:t>
      </w:r>
      <w:proofErr w:type="spellEnd"/>
      <w:r w:rsidRPr="0069033C">
        <w:rPr>
          <w:color w:val="000000" w:themeColor="text1"/>
          <w:sz w:val="24"/>
          <w:lang w:val="pt-PT"/>
        </w:rPr>
        <w:t xml:space="preserve"> </w:t>
      </w:r>
      <w:proofErr w:type="spellStart"/>
      <w:r w:rsidRPr="0069033C">
        <w:rPr>
          <w:color w:val="000000" w:themeColor="text1"/>
          <w:sz w:val="24"/>
          <w:lang w:val="pt-PT"/>
        </w:rPr>
        <w:t>sixteen</w:t>
      </w:r>
      <w:proofErr w:type="spellEnd"/>
      <w:r w:rsidRPr="0069033C">
        <w:rPr>
          <w:color w:val="000000" w:themeColor="text1"/>
          <w:sz w:val="24"/>
          <w:lang w:val="pt-PT"/>
        </w:rPr>
        <w:t xml:space="preserve"> </w:t>
      </w:r>
      <w:proofErr w:type="spellStart"/>
      <w:r w:rsidRPr="0069033C">
        <w:rPr>
          <w:color w:val="000000" w:themeColor="text1"/>
          <w:sz w:val="24"/>
          <w:lang w:val="pt-PT"/>
        </w:rPr>
        <w:t>years</w:t>
      </w:r>
      <w:proofErr w:type="spellEnd"/>
      <w:r w:rsidRPr="0069033C">
        <w:rPr>
          <w:color w:val="000000" w:themeColor="text1"/>
          <w:sz w:val="24"/>
          <w:lang w:val="pt-PT"/>
        </w:rPr>
        <w:t xml:space="preserve">» [Impactos de culturas geneticamente modificadas no uso de pesticidas nos EUA – os primeiros dezasseis anos], </w:t>
      </w:r>
      <w:proofErr w:type="spellStart"/>
      <w:r w:rsidRPr="0069033C">
        <w:rPr>
          <w:i/>
          <w:iCs/>
          <w:color w:val="000000" w:themeColor="text1"/>
          <w:sz w:val="24"/>
          <w:lang w:val="pt-PT"/>
        </w:rPr>
        <w:t>Environmental</w:t>
      </w:r>
      <w:proofErr w:type="spellEnd"/>
      <w:r w:rsidRPr="0069033C">
        <w:rPr>
          <w:i/>
          <w:iCs/>
          <w:color w:val="000000" w:themeColor="text1"/>
          <w:sz w:val="24"/>
          <w:lang w:val="pt-PT"/>
        </w:rPr>
        <w:t xml:space="preserve"> </w:t>
      </w:r>
      <w:proofErr w:type="spellStart"/>
      <w:r w:rsidRPr="0069033C">
        <w:rPr>
          <w:i/>
          <w:iCs/>
          <w:color w:val="000000" w:themeColor="text1"/>
          <w:sz w:val="24"/>
          <w:lang w:val="pt-PT"/>
        </w:rPr>
        <w:t>Sciences</w:t>
      </w:r>
      <w:proofErr w:type="spellEnd"/>
      <w:r w:rsidRPr="0069033C">
        <w:rPr>
          <w:i/>
          <w:iCs/>
          <w:color w:val="000000" w:themeColor="text1"/>
          <w:sz w:val="24"/>
          <w:lang w:val="pt-PT"/>
        </w:rPr>
        <w:t xml:space="preserve"> </w:t>
      </w:r>
      <w:proofErr w:type="spellStart"/>
      <w:r w:rsidRPr="0069033C">
        <w:rPr>
          <w:i/>
          <w:iCs/>
          <w:color w:val="000000" w:themeColor="text1"/>
          <w:sz w:val="24"/>
          <w:lang w:val="pt-PT"/>
        </w:rPr>
        <w:t>Europe</w:t>
      </w:r>
      <w:proofErr w:type="spellEnd"/>
      <w:r w:rsidRPr="0069033C">
        <w:rPr>
          <w:color w:val="000000" w:themeColor="text1"/>
          <w:sz w:val="24"/>
          <w:lang w:val="pt-PT"/>
        </w:rPr>
        <w:t>, 28 de setembro de 2012, Vol. 24(24),</w:t>
      </w:r>
      <w:r w:rsidRPr="0069033C">
        <w:rPr>
          <w:sz w:val="24"/>
          <w:lang w:val="pt-PT"/>
        </w:rPr>
        <w:t xml:space="preserve"> </w:t>
      </w:r>
      <w:hyperlink r:id="rId8" w:history="1">
        <w:r w:rsidRPr="008D4D16">
          <w:rPr>
            <w:rStyle w:val="Hyperlink"/>
            <w:sz w:val="24"/>
            <w:szCs w:val="24"/>
            <w:lang w:val="pt-PT"/>
          </w:rPr>
          <w:t>https://enveurope.springeropen.com/articles/10.1186/2190</w:t>
        </w:r>
        <w:r w:rsidRPr="008D4D16">
          <w:rPr>
            <w:rStyle w:val="Hyperlink"/>
            <w:sz w:val="24"/>
            <w:szCs w:val="24"/>
            <w:lang w:val="pt-PT"/>
          </w:rPr>
          <w:noBreakHyphen/>
          <w:t>4715</w:t>
        </w:r>
        <w:r w:rsidRPr="008D4D16">
          <w:rPr>
            <w:rStyle w:val="Hyperlink"/>
            <w:sz w:val="24"/>
            <w:szCs w:val="24"/>
            <w:lang w:val="pt-PT"/>
          </w:rPr>
          <w:noBreakHyphen/>
          <w:t>24</w:t>
        </w:r>
        <w:r w:rsidRPr="008D4D16">
          <w:rPr>
            <w:rStyle w:val="Hyperlink"/>
            <w:sz w:val="24"/>
            <w:szCs w:val="24"/>
            <w:lang w:val="pt-PT"/>
          </w:rPr>
          <w:noBreakHyphen/>
          <w:t>24</w:t>
        </w:r>
      </w:hyperlink>
      <w:r w:rsidRPr="0069033C">
        <w:rPr>
          <w:color w:val="000000" w:themeColor="text1"/>
          <w:sz w:val="24"/>
          <w:lang w:val="pt-PT"/>
        </w:rPr>
        <w:t>.</w:t>
      </w:r>
    </w:p>
  </w:footnote>
  <w:footnote w:id="8">
    <w:p w14:paraId="2C846755"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color w:val="000000" w:themeColor="text1"/>
          <w:sz w:val="24"/>
          <w:lang w:val="pt-PT"/>
        </w:rPr>
        <w:t xml:space="preserve"> </w:t>
      </w:r>
      <w:r w:rsidR="0069033C" w:rsidRPr="0069033C">
        <w:rPr>
          <w:color w:val="000000" w:themeColor="text1"/>
          <w:sz w:val="24"/>
          <w:lang w:val="pt-PT"/>
        </w:rPr>
        <w:tab/>
      </w:r>
      <w:r w:rsidRPr="0069033C">
        <w:rPr>
          <w:color w:val="000000" w:themeColor="text1"/>
          <w:sz w:val="24"/>
          <w:lang w:val="pt-PT"/>
        </w:rPr>
        <w:t>Para uma análise, cf. Rubio‑Infante, N., Moreno‑</w:t>
      </w:r>
      <w:proofErr w:type="spellStart"/>
      <w:r w:rsidRPr="0069033C">
        <w:rPr>
          <w:color w:val="000000" w:themeColor="text1"/>
          <w:sz w:val="24"/>
          <w:lang w:val="pt-PT"/>
        </w:rPr>
        <w:t>Fierros</w:t>
      </w:r>
      <w:proofErr w:type="spellEnd"/>
      <w:r w:rsidRPr="0069033C">
        <w:rPr>
          <w:color w:val="000000" w:themeColor="text1"/>
          <w:sz w:val="24"/>
          <w:lang w:val="pt-PT"/>
        </w:rPr>
        <w:t>, L., «</w:t>
      </w:r>
      <w:proofErr w:type="spellStart"/>
      <w:r w:rsidRPr="0069033C">
        <w:rPr>
          <w:color w:val="000000" w:themeColor="text1"/>
          <w:sz w:val="24"/>
          <w:lang w:val="pt-PT"/>
        </w:rPr>
        <w:t>An</w:t>
      </w:r>
      <w:proofErr w:type="spellEnd"/>
      <w:r w:rsidRPr="0069033C">
        <w:rPr>
          <w:color w:val="000000" w:themeColor="text1"/>
          <w:sz w:val="24"/>
          <w:lang w:val="pt-PT"/>
        </w:rPr>
        <w:t xml:space="preserve"> </w:t>
      </w:r>
      <w:proofErr w:type="spellStart"/>
      <w:r w:rsidRPr="0069033C">
        <w:rPr>
          <w:color w:val="000000" w:themeColor="text1"/>
          <w:sz w:val="24"/>
          <w:lang w:val="pt-PT"/>
        </w:rPr>
        <w:t>overview</w:t>
      </w:r>
      <w:proofErr w:type="spellEnd"/>
      <w:r w:rsidRPr="0069033C">
        <w:rPr>
          <w:color w:val="000000" w:themeColor="text1"/>
          <w:sz w:val="24"/>
          <w:lang w:val="pt-PT"/>
        </w:rPr>
        <w:t xml:space="preserve"> </w:t>
      </w:r>
      <w:proofErr w:type="spellStart"/>
      <w:r w:rsidRPr="0069033C">
        <w:rPr>
          <w:color w:val="000000" w:themeColor="text1"/>
          <w:sz w:val="24"/>
          <w:lang w:val="pt-PT"/>
        </w:rPr>
        <w:t>of</w:t>
      </w:r>
      <w:proofErr w:type="spellEnd"/>
      <w:r w:rsidRPr="0069033C">
        <w:rPr>
          <w:color w:val="000000" w:themeColor="text1"/>
          <w:sz w:val="24"/>
          <w:lang w:val="pt-PT"/>
        </w:rPr>
        <w:t xml:space="preserve"> </w:t>
      </w:r>
      <w:proofErr w:type="spellStart"/>
      <w:r w:rsidRPr="0069033C">
        <w:rPr>
          <w:color w:val="000000" w:themeColor="text1"/>
          <w:sz w:val="24"/>
          <w:lang w:val="pt-PT"/>
        </w:rPr>
        <w:t>the</w:t>
      </w:r>
      <w:proofErr w:type="spellEnd"/>
      <w:r w:rsidRPr="0069033C">
        <w:rPr>
          <w:color w:val="000000" w:themeColor="text1"/>
          <w:sz w:val="24"/>
          <w:lang w:val="pt-PT"/>
        </w:rPr>
        <w:t xml:space="preserve"> </w:t>
      </w:r>
      <w:proofErr w:type="spellStart"/>
      <w:r w:rsidRPr="0069033C">
        <w:rPr>
          <w:color w:val="000000" w:themeColor="text1"/>
          <w:sz w:val="24"/>
          <w:lang w:val="pt-PT"/>
        </w:rPr>
        <w:t>safety</w:t>
      </w:r>
      <w:proofErr w:type="spellEnd"/>
      <w:r w:rsidRPr="0069033C">
        <w:rPr>
          <w:color w:val="000000" w:themeColor="text1"/>
          <w:sz w:val="24"/>
          <w:lang w:val="pt-PT"/>
        </w:rPr>
        <w:t xml:space="preserve"> </w:t>
      </w:r>
      <w:proofErr w:type="spellStart"/>
      <w:r w:rsidRPr="0069033C">
        <w:rPr>
          <w:color w:val="000000" w:themeColor="text1"/>
          <w:sz w:val="24"/>
          <w:lang w:val="pt-PT"/>
        </w:rPr>
        <w:t>and</w:t>
      </w:r>
      <w:proofErr w:type="spellEnd"/>
      <w:r w:rsidRPr="0069033C">
        <w:rPr>
          <w:color w:val="000000" w:themeColor="text1"/>
          <w:sz w:val="24"/>
          <w:lang w:val="pt-PT"/>
        </w:rPr>
        <w:t xml:space="preserve"> </w:t>
      </w:r>
      <w:proofErr w:type="spellStart"/>
      <w:r w:rsidRPr="0069033C">
        <w:rPr>
          <w:color w:val="000000" w:themeColor="text1"/>
          <w:sz w:val="24"/>
          <w:lang w:val="pt-PT"/>
        </w:rPr>
        <w:t>biological</w:t>
      </w:r>
      <w:proofErr w:type="spellEnd"/>
      <w:r w:rsidRPr="0069033C">
        <w:rPr>
          <w:color w:val="000000" w:themeColor="text1"/>
          <w:sz w:val="24"/>
          <w:lang w:val="pt-PT"/>
        </w:rPr>
        <w:t xml:space="preserve"> </w:t>
      </w:r>
      <w:proofErr w:type="spellStart"/>
      <w:r w:rsidRPr="0069033C">
        <w:rPr>
          <w:color w:val="000000" w:themeColor="text1"/>
          <w:sz w:val="24"/>
          <w:lang w:val="pt-PT"/>
        </w:rPr>
        <w:t>effects</w:t>
      </w:r>
      <w:proofErr w:type="spellEnd"/>
      <w:r w:rsidRPr="0069033C">
        <w:rPr>
          <w:color w:val="000000" w:themeColor="text1"/>
          <w:sz w:val="24"/>
          <w:lang w:val="pt-PT"/>
        </w:rPr>
        <w:t xml:space="preserve"> </w:t>
      </w:r>
      <w:proofErr w:type="spellStart"/>
      <w:r w:rsidRPr="0069033C">
        <w:rPr>
          <w:color w:val="000000" w:themeColor="text1"/>
          <w:sz w:val="24"/>
          <w:lang w:val="pt-PT"/>
        </w:rPr>
        <w:t>of</w:t>
      </w:r>
      <w:proofErr w:type="spellEnd"/>
      <w:r w:rsidRPr="0069033C">
        <w:rPr>
          <w:color w:val="000000" w:themeColor="text1"/>
          <w:sz w:val="24"/>
          <w:lang w:val="pt-PT"/>
        </w:rPr>
        <w:t> </w:t>
      </w:r>
      <w:proofErr w:type="spellStart"/>
      <w:r w:rsidRPr="0069033C">
        <w:rPr>
          <w:i/>
          <w:color w:val="000000" w:themeColor="text1"/>
          <w:sz w:val="24"/>
          <w:lang w:val="pt-PT"/>
        </w:rPr>
        <w:t>Bacillus</w:t>
      </w:r>
      <w:proofErr w:type="spellEnd"/>
      <w:r w:rsidRPr="0069033C">
        <w:rPr>
          <w:i/>
          <w:color w:val="000000" w:themeColor="text1"/>
          <w:sz w:val="24"/>
          <w:lang w:val="pt-PT"/>
        </w:rPr>
        <w:t xml:space="preserve"> </w:t>
      </w:r>
      <w:proofErr w:type="spellStart"/>
      <w:r w:rsidRPr="0069033C">
        <w:rPr>
          <w:i/>
          <w:color w:val="000000" w:themeColor="text1"/>
          <w:sz w:val="24"/>
          <w:lang w:val="pt-PT"/>
        </w:rPr>
        <w:t>thuringiensis</w:t>
      </w:r>
      <w:proofErr w:type="spellEnd"/>
      <w:r w:rsidRPr="0069033C">
        <w:rPr>
          <w:color w:val="000000" w:themeColor="text1"/>
          <w:sz w:val="24"/>
          <w:lang w:val="pt-PT"/>
        </w:rPr>
        <w:t> </w:t>
      </w:r>
      <w:proofErr w:type="spellStart"/>
      <w:r w:rsidRPr="0069033C">
        <w:rPr>
          <w:color w:val="000000" w:themeColor="text1"/>
          <w:sz w:val="24"/>
          <w:lang w:val="pt-PT"/>
        </w:rPr>
        <w:t>Cry</w:t>
      </w:r>
      <w:proofErr w:type="spellEnd"/>
      <w:r w:rsidRPr="0069033C">
        <w:rPr>
          <w:color w:val="000000" w:themeColor="text1"/>
          <w:sz w:val="24"/>
          <w:lang w:val="pt-PT"/>
        </w:rPr>
        <w:t xml:space="preserve"> </w:t>
      </w:r>
      <w:proofErr w:type="spellStart"/>
      <w:r w:rsidRPr="0069033C">
        <w:rPr>
          <w:color w:val="000000" w:themeColor="text1"/>
          <w:sz w:val="24"/>
          <w:lang w:val="pt-PT"/>
        </w:rPr>
        <w:t>toxins</w:t>
      </w:r>
      <w:proofErr w:type="spellEnd"/>
      <w:r w:rsidRPr="0069033C">
        <w:rPr>
          <w:color w:val="000000" w:themeColor="text1"/>
          <w:sz w:val="24"/>
          <w:lang w:val="pt-PT"/>
        </w:rPr>
        <w:t xml:space="preserve"> in </w:t>
      </w:r>
      <w:proofErr w:type="spellStart"/>
      <w:r w:rsidRPr="0069033C">
        <w:rPr>
          <w:color w:val="000000" w:themeColor="text1"/>
          <w:sz w:val="24"/>
          <w:lang w:val="pt-PT"/>
        </w:rPr>
        <w:t>mammals</w:t>
      </w:r>
      <w:proofErr w:type="spellEnd"/>
      <w:r w:rsidRPr="0069033C">
        <w:rPr>
          <w:color w:val="000000" w:themeColor="text1"/>
          <w:sz w:val="24"/>
          <w:lang w:val="pt-PT"/>
        </w:rPr>
        <w:t xml:space="preserve">» [Uma síntese da segurança e dos efeitos biológicos das toxinas </w:t>
      </w:r>
      <w:proofErr w:type="spellStart"/>
      <w:r w:rsidRPr="0069033C">
        <w:rPr>
          <w:color w:val="000000" w:themeColor="text1"/>
          <w:sz w:val="24"/>
          <w:lang w:val="pt-PT"/>
        </w:rPr>
        <w:t>Cry</w:t>
      </w:r>
      <w:proofErr w:type="spellEnd"/>
      <w:r w:rsidRPr="0069033C">
        <w:rPr>
          <w:color w:val="000000" w:themeColor="text1"/>
          <w:sz w:val="24"/>
          <w:lang w:val="pt-PT"/>
        </w:rPr>
        <w:t xml:space="preserve"> do </w:t>
      </w:r>
      <w:proofErr w:type="spellStart"/>
      <w:r w:rsidRPr="0069033C">
        <w:rPr>
          <w:i/>
          <w:iCs/>
          <w:color w:val="000000" w:themeColor="text1"/>
          <w:sz w:val="24"/>
          <w:lang w:val="pt-PT"/>
        </w:rPr>
        <w:t>Bacillus</w:t>
      </w:r>
      <w:proofErr w:type="spellEnd"/>
      <w:r w:rsidRPr="0069033C">
        <w:rPr>
          <w:i/>
          <w:iCs/>
          <w:color w:val="000000" w:themeColor="text1"/>
          <w:sz w:val="24"/>
          <w:lang w:val="pt-PT"/>
        </w:rPr>
        <w:t xml:space="preserve"> </w:t>
      </w:r>
      <w:proofErr w:type="spellStart"/>
      <w:r w:rsidRPr="0069033C">
        <w:rPr>
          <w:i/>
          <w:iCs/>
          <w:color w:val="000000" w:themeColor="text1"/>
          <w:sz w:val="24"/>
          <w:lang w:val="pt-PT"/>
        </w:rPr>
        <w:t>thuringiensis</w:t>
      </w:r>
      <w:proofErr w:type="spellEnd"/>
      <w:r w:rsidRPr="0069033C">
        <w:rPr>
          <w:color w:val="000000" w:themeColor="text1"/>
          <w:sz w:val="24"/>
          <w:lang w:val="pt-PT"/>
        </w:rPr>
        <w:t xml:space="preserve"> em mamíferos], </w:t>
      </w:r>
      <w:proofErr w:type="spellStart"/>
      <w:r w:rsidRPr="0069033C">
        <w:rPr>
          <w:i/>
          <w:iCs/>
          <w:color w:val="000000" w:themeColor="text1"/>
          <w:sz w:val="24"/>
          <w:lang w:val="pt-PT"/>
        </w:rPr>
        <w:t>Journal</w:t>
      </w:r>
      <w:proofErr w:type="spellEnd"/>
      <w:r w:rsidRPr="0069033C">
        <w:rPr>
          <w:i/>
          <w:iCs/>
          <w:color w:val="000000" w:themeColor="text1"/>
          <w:sz w:val="24"/>
          <w:lang w:val="pt-PT"/>
        </w:rPr>
        <w:t xml:space="preserve"> </w:t>
      </w:r>
      <w:proofErr w:type="spellStart"/>
      <w:r w:rsidRPr="0069033C">
        <w:rPr>
          <w:i/>
          <w:iCs/>
          <w:color w:val="000000" w:themeColor="text1"/>
          <w:sz w:val="24"/>
          <w:lang w:val="pt-PT"/>
        </w:rPr>
        <w:t>of</w:t>
      </w:r>
      <w:proofErr w:type="spellEnd"/>
      <w:r w:rsidRPr="0069033C">
        <w:rPr>
          <w:i/>
          <w:iCs/>
          <w:color w:val="000000" w:themeColor="text1"/>
          <w:sz w:val="24"/>
          <w:lang w:val="pt-PT"/>
        </w:rPr>
        <w:t xml:space="preserve"> </w:t>
      </w:r>
      <w:proofErr w:type="spellStart"/>
      <w:r w:rsidRPr="0069033C">
        <w:rPr>
          <w:i/>
          <w:iCs/>
          <w:color w:val="000000" w:themeColor="text1"/>
          <w:sz w:val="24"/>
          <w:lang w:val="pt-PT"/>
        </w:rPr>
        <w:t>Applied</w:t>
      </w:r>
      <w:proofErr w:type="spellEnd"/>
      <w:r w:rsidRPr="0069033C">
        <w:rPr>
          <w:i/>
          <w:iCs/>
          <w:color w:val="000000" w:themeColor="text1"/>
          <w:sz w:val="24"/>
          <w:lang w:val="pt-PT"/>
        </w:rPr>
        <w:t xml:space="preserve"> </w:t>
      </w:r>
      <w:proofErr w:type="spellStart"/>
      <w:r w:rsidRPr="0069033C">
        <w:rPr>
          <w:i/>
          <w:iCs/>
          <w:color w:val="000000" w:themeColor="text1"/>
          <w:sz w:val="24"/>
          <w:lang w:val="pt-PT"/>
        </w:rPr>
        <w:t>Toxicology</w:t>
      </w:r>
      <w:proofErr w:type="spellEnd"/>
      <w:r w:rsidRPr="0069033C">
        <w:rPr>
          <w:color w:val="000000" w:themeColor="text1"/>
          <w:sz w:val="24"/>
          <w:lang w:val="pt-PT"/>
        </w:rPr>
        <w:t>, maio de 2016, 36(5), pp. 630‑648,</w:t>
      </w:r>
      <w:r w:rsidRPr="0069033C">
        <w:rPr>
          <w:sz w:val="24"/>
          <w:lang w:val="pt-PT"/>
        </w:rPr>
        <w:t xml:space="preserve"> </w:t>
      </w:r>
      <w:hyperlink r:id="rId9" w:history="1">
        <w:r w:rsidRPr="008D4D16">
          <w:rPr>
            <w:rStyle w:val="Hyperlink"/>
            <w:sz w:val="24"/>
            <w:szCs w:val="24"/>
            <w:lang w:val="pt-PT"/>
          </w:rPr>
          <w:t>https://onlinelibrary.wiley.com/doi/full/10.1002/jat.3252</w:t>
        </w:r>
      </w:hyperlink>
      <w:r w:rsidRPr="0069033C">
        <w:rPr>
          <w:color w:val="000000" w:themeColor="text1"/>
          <w:sz w:val="24"/>
          <w:lang w:val="pt-PT"/>
        </w:rPr>
        <w:t>.</w:t>
      </w:r>
    </w:p>
  </w:footnote>
  <w:footnote w:id="9">
    <w:p w14:paraId="6E7CF042"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color w:val="000000" w:themeColor="text1"/>
          <w:sz w:val="24"/>
          <w:lang w:val="pt-PT"/>
        </w:rPr>
        <w:t xml:space="preserve"> </w:t>
      </w:r>
      <w:r w:rsidR="0069033C" w:rsidRPr="0069033C">
        <w:rPr>
          <w:color w:val="000000" w:themeColor="text1"/>
          <w:sz w:val="24"/>
          <w:lang w:val="pt-PT"/>
        </w:rPr>
        <w:tab/>
      </w:r>
      <w:proofErr w:type="spellStart"/>
      <w:r w:rsidRPr="0069033C">
        <w:rPr>
          <w:color w:val="000000" w:themeColor="text1"/>
          <w:sz w:val="24"/>
          <w:lang w:val="pt-PT"/>
        </w:rPr>
        <w:t>Bøhn</w:t>
      </w:r>
      <w:proofErr w:type="spellEnd"/>
      <w:r w:rsidRPr="0069033C">
        <w:rPr>
          <w:color w:val="000000" w:themeColor="text1"/>
          <w:sz w:val="24"/>
          <w:lang w:val="pt-PT"/>
        </w:rPr>
        <w:t xml:space="preserve">, T., </w:t>
      </w:r>
      <w:proofErr w:type="spellStart"/>
      <w:r w:rsidRPr="0069033C">
        <w:rPr>
          <w:color w:val="000000" w:themeColor="text1"/>
          <w:sz w:val="24"/>
          <w:lang w:val="pt-PT"/>
        </w:rPr>
        <w:t>Macagnan</w:t>
      </w:r>
      <w:proofErr w:type="spellEnd"/>
      <w:r w:rsidRPr="0069033C">
        <w:rPr>
          <w:color w:val="000000" w:themeColor="text1"/>
          <w:sz w:val="24"/>
          <w:lang w:val="pt-PT"/>
        </w:rPr>
        <w:t xml:space="preserve"> Rover, C., </w:t>
      </w:r>
      <w:proofErr w:type="spellStart"/>
      <w:r w:rsidRPr="0069033C">
        <w:rPr>
          <w:color w:val="000000" w:themeColor="text1"/>
          <w:sz w:val="24"/>
          <w:lang w:val="pt-PT"/>
        </w:rPr>
        <w:t>Semenchuk</w:t>
      </w:r>
      <w:proofErr w:type="spellEnd"/>
      <w:r w:rsidRPr="0069033C">
        <w:rPr>
          <w:color w:val="000000" w:themeColor="text1"/>
          <w:sz w:val="24"/>
          <w:lang w:val="pt-PT"/>
        </w:rPr>
        <w:t>, P. R., «</w:t>
      </w:r>
      <w:proofErr w:type="spellStart"/>
      <w:r w:rsidRPr="0069033C">
        <w:rPr>
          <w:i/>
          <w:color w:val="000000" w:themeColor="text1"/>
          <w:sz w:val="24"/>
          <w:lang w:val="pt-PT"/>
        </w:rPr>
        <w:t>Daphnia</w:t>
      </w:r>
      <w:proofErr w:type="spellEnd"/>
      <w:r w:rsidRPr="0069033C">
        <w:rPr>
          <w:i/>
          <w:color w:val="000000" w:themeColor="text1"/>
          <w:sz w:val="24"/>
          <w:lang w:val="pt-PT"/>
        </w:rPr>
        <w:t xml:space="preserve"> magna</w:t>
      </w:r>
      <w:r w:rsidRPr="0069033C">
        <w:rPr>
          <w:color w:val="000000" w:themeColor="text1"/>
          <w:sz w:val="24"/>
          <w:lang w:val="pt-PT"/>
        </w:rPr>
        <w:t xml:space="preserve"> </w:t>
      </w:r>
      <w:proofErr w:type="spellStart"/>
      <w:r w:rsidRPr="0069033C">
        <w:rPr>
          <w:color w:val="000000" w:themeColor="text1"/>
          <w:sz w:val="24"/>
          <w:lang w:val="pt-PT"/>
        </w:rPr>
        <w:t>negatively</w:t>
      </w:r>
      <w:proofErr w:type="spellEnd"/>
      <w:r w:rsidRPr="0069033C">
        <w:rPr>
          <w:color w:val="000000" w:themeColor="text1"/>
          <w:sz w:val="24"/>
          <w:lang w:val="pt-PT"/>
        </w:rPr>
        <w:t xml:space="preserve"> </w:t>
      </w:r>
      <w:proofErr w:type="spellStart"/>
      <w:r w:rsidRPr="0069033C">
        <w:rPr>
          <w:color w:val="000000" w:themeColor="text1"/>
          <w:sz w:val="24"/>
          <w:lang w:val="pt-PT"/>
        </w:rPr>
        <w:t>affected</w:t>
      </w:r>
      <w:proofErr w:type="spellEnd"/>
      <w:r w:rsidRPr="0069033C">
        <w:rPr>
          <w:color w:val="000000" w:themeColor="text1"/>
          <w:sz w:val="24"/>
          <w:lang w:val="pt-PT"/>
        </w:rPr>
        <w:t xml:space="preserve"> </w:t>
      </w:r>
      <w:proofErr w:type="spellStart"/>
      <w:r w:rsidRPr="0069033C">
        <w:rPr>
          <w:color w:val="000000" w:themeColor="text1"/>
          <w:sz w:val="24"/>
          <w:lang w:val="pt-PT"/>
        </w:rPr>
        <w:t>by</w:t>
      </w:r>
      <w:proofErr w:type="spellEnd"/>
      <w:r w:rsidRPr="0069033C">
        <w:rPr>
          <w:color w:val="000000" w:themeColor="text1"/>
          <w:sz w:val="24"/>
          <w:lang w:val="pt-PT"/>
        </w:rPr>
        <w:t xml:space="preserve"> </w:t>
      </w:r>
      <w:proofErr w:type="spellStart"/>
      <w:r w:rsidRPr="0069033C">
        <w:rPr>
          <w:color w:val="000000" w:themeColor="text1"/>
          <w:sz w:val="24"/>
          <w:lang w:val="pt-PT"/>
        </w:rPr>
        <w:t>chronic</w:t>
      </w:r>
      <w:proofErr w:type="spellEnd"/>
      <w:r w:rsidRPr="0069033C">
        <w:rPr>
          <w:color w:val="000000" w:themeColor="text1"/>
          <w:sz w:val="24"/>
          <w:lang w:val="pt-PT"/>
        </w:rPr>
        <w:t xml:space="preserve"> </w:t>
      </w:r>
      <w:proofErr w:type="spellStart"/>
      <w:r w:rsidRPr="0069033C">
        <w:rPr>
          <w:color w:val="000000" w:themeColor="text1"/>
          <w:sz w:val="24"/>
          <w:lang w:val="pt-PT"/>
        </w:rPr>
        <w:t>exposure</w:t>
      </w:r>
      <w:proofErr w:type="spellEnd"/>
      <w:r w:rsidRPr="0069033C">
        <w:rPr>
          <w:color w:val="000000" w:themeColor="text1"/>
          <w:sz w:val="24"/>
          <w:lang w:val="pt-PT"/>
        </w:rPr>
        <w:t xml:space="preserve"> to </w:t>
      </w:r>
      <w:proofErr w:type="spellStart"/>
      <w:r w:rsidRPr="0069033C">
        <w:rPr>
          <w:color w:val="000000" w:themeColor="text1"/>
          <w:sz w:val="24"/>
          <w:lang w:val="pt-PT"/>
        </w:rPr>
        <w:t>purified</w:t>
      </w:r>
      <w:proofErr w:type="spellEnd"/>
      <w:r w:rsidRPr="0069033C">
        <w:rPr>
          <w:color w:val="000000" w:themeColor="text1"/>
          <w:sz w:val="24"/>
          <w:lang w:val="pt-PT"/>
        </w:rPr>
        <w:t xml:space="preserve"> </w:t>
      </w:r>
      <w:proofErr w:type="spellStart"/>
      <w:r w:rsidRPr="0069033C">
        <w:rPr>
          <w:color w:val="000000" w:themeColor="text1"/>
          <w:sz w:val="24"/>
          <w:lang w:val="pt-PT"/>
        </w:rPr>
        <w:t>Cry</w:t>
      </w:r>
      <w:r w:rsidRPr="0069033C">
        <w:rPr>
          <w:color w:val="000000" w:themeColor="text1"/>
          <w:sz w:val="24"/>
          <w:lang w:val="pt-PT"/>
        </w:rPr>
        <w:noBreakHyphen/>
        <w:t>toxins</w:t>
      </w:r>
      <w:proofErr w:type="spellEnd"/>
      <w:r w:rsidRPr="0069033C">
        <w:rPr>
          <w:color w:val="000000" w:themeColor="text1"/>
          <w:sz w:val="24"/>
          <w:lang w:val="pt-PT"/>
        </w:rPr>
        <w:t>» [</w:t>
      </w:r>
      <w:proofErr w:type="spellStart"/>
      <w:r w:rsidRPr="0069033C">
        <w:rPr>
          <w:i/>
          <w:iCs/>
          <w:color w:val="000000" w:themeColor="text1"/>
          <w:sz w:val="24"/>
          <w:lang w:val="pt-PT"/>
        </w:rPr>
        <w:t>Daphnia</w:t>
      </w:r>
      <w:proofErr w:type="spellEnd"/>
      <w:r w:rsidRPr="0069033C">
        <w:rPr>
          <w:i/>
          <w:iCs/>
          <w:color w:val="000000" w:themeColor="text1"/>
          <w:sz w:val="24"/>
          <w:lang w:val="pt-PT"/>
        </w:rPr>
        <w:t xml:space="preserve"> magna</w:t>
      </w:r>
      <w:r w:rsidRPr="0069033C">
        <w:rPr>
          <w:color w:val="000000" w:themeColor="text1"/>
          <w:sz w:val="24"/>
          <w:lang w:val="pt-PT"/>
        </w:rPr>
        <w:t xml:space="preserve"> afetada negativamente pela exposição crónica a toxinas </w:t>
      </w:r>
      <w:proofErr w:type="spellStart"/>
      <w:r w:rsidRPr="0069033C">
        <w:rPr>
          <w:color w:val="000000" w:themeColor="text1"/>
          <w:sz w:val="24"/>
          <w:lang w:val="pt-PT"/>
        </w:rPr>
        <w:t>Cry</w:t>
      </w:r>
      <w:proofErr w:type="spellEnd"/>
      <w:r w:rsidRPr="0069033C">
        <w:rPr>
          <w:color w:val="000000" w:themeColor="text1"/>
          <w:sz w:val="24"/>
          <w:lang w:val="pt-PT"/>
        </w:rPr>
        <w:t xml:space="preserve"> purificadas], </w:t>
      </w:r>
      <w:proofErr w:type="spellStart"/>
      <w:r w:rsidRPr="0069033C">
        <w:rPr>
          <w:i/>
          <w:iCs/>
          <w:color w:val="000000" w:themeColor="text1"/>
          <w:sz w:val="24"/>
          <w:lang w:val="pt-PT"/>
        </w:rPr>
        <w:t>Food</w:t>
      </w:r>
      <w:proofErr w:type="spellEnd"/>
      <w:r w:rsidRPr="0069033C">
        <w:rPr>
          <w:i/>
          <w:iCs/>
          <w:color w:val="000000" w:themeColor="text1"/>
          <w:sz w:val="24"/>
          <w:lang w:val="pt-PT"/>
        </w:rPr>
        <w:t xml:space="preserve"> </w:t>
      </w:r>
      <w:proofErr w:type="spellStart"/>
      <w:r w:rsidRPr="0069033C">
        <w:rPr>
          <w:i/>
          <w:iCs/>
          <w:color w:val="000000" w:themeColor="text1"/>
          <w:sz w:val="24"/>
          <w:lang w:val="pt-PT"/>
        </w:rPr>
        <w:t>and</w:t>
      </w:r>
      <w:proofErr w:type="spellEnd"/>
      <w:r w:rsidRPr="0069033C">
        <w:rPr>
          <w:i/>
          <w:iCs/>
          <w:color w:val="000000" w:themeColor="text1"/>
          <w:sz w:val="24"/>
          <w:lang w:val="pt-PT"/>
        </w:rPr>
        <w:t xml:space="preserve"> </w:t>
      </w:r>
      <w:proofErr w:type="spellStart"/>
      <w:r w:rsidRPr="0069033C">
        <w:rPr>
          <w:i/>
          <w:iCs/>
          <w:color w:val="000000" w:themeColor="text1"/>
          <w:sz w:val="24"/>
          <w:lang w:val="pt-PT"/>
        </w:rPr>
        <w:t>Chemical</w:t>
      </w:r>
      <w:proofErr w:type="spellEnd"/>
      <w:r w:rsidRPr="0069033C">
        <w:rPr>
          <w:i/>
          <w:iCs/>
          <w:color w:val="000000" w:themeColor="text1"/>
          <w:sz w:val="24"/>
          <w:lang w:val="pt-PT"/>
        </w:rPr>
        <w:t xml:space="preserve"> </w:t>
      </w:r>
      <w:proofErr w:type="spellStart"/>
      <w:r w:rsidRPr="0069033C">
        <w:rPr>
          <w:i/>
          <w:iCs/>
          <w:color w:val="000000" w:themeColor="text1"/>
          <w:sz w:val="24"/>
          <w:lang w:val="pt-PT"/>
        </w:rPr>
        <w:t>Toxicology</w:t>
      </w:r>
      <w:proofErr w:type="spellEnd"/>
      <w:r w:rsidRPr="0069033C">
        <w:rPr>
          <w:color w:val="000000" w:themeColor="text1"/>
          <w:sz w:val="24"/>
          <w:lang w:val="pt-PT"/>
        </w:rPr>
        <w:t>, maio de 2016, Volume 91, pp. 130</w:t>
      </w:r>
      <w:r w:rsidRPr="0069033C">
        <w:rPr>
          <w:color w:val="000000" w:themeColor="text1"/>
          <w:sz w:val="24"/>
          <w:lang w:val="pt-PT"/>
        </w:rPr>
        <w:noBreakHyphen/>
        <w:t xml:space="preserve">140, </w:t>
      </w:r>
      <w:hyperlink r:id="rId10" w:history="1">
        <w:r w:rsidRPr="008D4D16">
          <w:rPr>
            <w:rStyle w:val="Hyperlink"/>
            <w:sz w:val="24"/>
            <w:szCs w:val="24"/>
            <w:lang w:val="pt-PT"/>
          </w:rPr>
          <w:t>https://www.sciencedirect.com/science/article/pii/S0278691516300722</w:t>
        </w:r>
      </w:hyperlink>
      <w:r w:rsidRPr="0069033C">
        <w:rPr>
          <w:rStyle w:val="Hyperlink"/>
          <w:color w:val="000000" w:themeColor="text1"/>
          <w:sz w:val="24"/>
          <w:lang w:val="pt-PT"/>
        </w:rPr>
        <w:t>.</w:t>
      </w:r>
    </w:p>
  </w:footnote>
  <w:footnote w:id="10">
    <w:p w14:paraId="4A19FFA6"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sz w:val="24"/>
          <w:lang w:val="pt-PT"/>
        </w:rPr>
        <w:t xml:space="preserve"> </w:t>
      </w:r>
      <w:r w:rsidR="0069033C" w:rsidRPr="0069033C">
        <w:rPr>
          <w:sz w:val="24"/>
          <w:lang w:val="pt-PT"/>
        </w:rPr>
        <w:tab/>
      </w:r>
      <w:hyperlink r:id="rId11" w:history="1">
        <w:r w:rsidRPr="008D4D16">
          <w:rPr>
            <w:rStyle w:val="Hyperlink"/>
            <w:sz w:val="24"/>
            <w:szCs w:val="24"/>
            <w:lang w:val="pt-PT"/>
          </w:rPr>
          <w:t>https://efsa.onlinelibrary.wiley.com/action/downloadSupplement?doi=10.2903%2Fj.‌efsa.2024.8716&amp;file=efs28716</w:t>
        </w:r>
        <w:r w:rsidRPr="008D4D16">
          <w:rPr>
            <w:rStyle w:val="Hyperlink"/>
            <w:sz w:val="24"/>
            <w:szCs w:val="24"/>
            <w:lang w:val="pt-PT"/>
          </w:rPr>
          <w:noBreakHyphen/>
          <w:t>sup</w:t>
        </w:r>
        <w:r w:rsidRPr="008D4D16">
          <w:rPr>
            <w:rStyle w:val="Hyperlink"/>
            <w:sz w:val="24"/>
            <w:szCs w:val="24"/>
            <w:lang w:val="pt-PT"/>
          </w:rPr>
          <w:noBreakHyphen/>
          <w:t>0012</w:t>
        </w:r>
        <w:r w:rsidRPr="008D4D16">
          <w:rPr>
            <w:rStyle w:val="Hyperlink"/>
            <w:sz w:val="24"/>
            <w:szCs w:val="24"/>
            <w:lang w:val="pt-PT"/>
          </w:rPr>
          <w:noBreakHyphen/>
          <w:t>Annex8.pdf</w:t>
        </w:r>
      </w:hyperlink>
      <w:r w:rsidRPr="0069033C">
        <w:rPr>
          <w:rStyle w:val="Hyperlink"/>
          <w:color w:val="000000" w:themeColor="text1"/>
          <w:sz w:val="24"/>
          <w:lang w:val="pt-PT"/>
        </w:rPr>
        <w:t>.</w:t>
      </w:r>
    </w:p>
  </w:footnote>
  <w:footnote w:id="11">
    <w:p w14:paraId="62715DE4"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color w:val="000000" w:themeColor="text1"/>
          <w:sz w:val="24"/>
          <w:lang w:val="pt-PT"/>
        </w:rPr>
        <w:t xml:space="preserve"> </w:t>
      </w:r>
      <w:r w:rsidR="0069033C" w:rsidRPr="0069033C">
        <w:rPr>
          <w:color w:val="000000" w:themeColor="text1"/>
          <w:sz w:val="24"/>
          <w:lang w:val="pt-PT"/>
        </w:rPr>
        <w:tab/>
      </w:r>
      <w:r w:rsidRPr="0069033C">
        <w:rPr>
          <w:color w:val="000000" w:themeColor="text1"/>
          <w:sz w:val="24"/>
          <w:lang w:val="pt-PT"/>
        </w:rPr>
        <w:t>«</w:t>
      </w:r>
      <w:proofErr w:type="spellStart"/>
      <w:r w:rsidRPr="0069033C">
        <w:rPr>
          <w:color w:val="000000" w:themeColor="text1"/>
          <w:sz w:val="24"/>
          <w:lang w:val="pt-PT"/>
        </w:rPr>
        <w:t>Strategic</w:t>
      </w:r>
      <w:proofErr w:type="spellEnd"/>
      <w:r w:rsidRPr="0069033C">
        <w:rPr>
          <w:color w:val="000000" w:themeColor="text1"/>
          <w:sz w:val="24"/>
          <w:lang w:val="pt-PT"/>
        </w:rPr>
        <w:t xml:space="preserve"> Dialogue </w:t>
      </w:r>
      <w:proofErr w:type="spellStart"/>
      <w:r w:rsidRPr="0069033C">
        <w:rPr>
          <w:color w:val="000000" w:themeColor="text1"/>
          <w:sz w:val="24"/>
          <w:lang w:val="pt-PT"/>
        </w:rPr>
        <w:t>on</w:t>
      </w:r>
      <w:proofErr w:type="spellEnd"/>
      <w:r w:rsidRPr="0069033C">
        <w:rPr>
          <w:color w:val="000000" w:themeColor="text1"/>
          <w:sz w:val="24"/>
          <w:lang w:val="pt-PT"/>
        </w:rPr>
        <w:t xml:space="preserve"> </w:t>
      </w:r>
      <w:proofErr w:type="spellStart"/>
      <w:r w:rsidRPr="0069033C">
        <w:rPr>
          <w:color w:val="000000" w:themeColor="text1"/>
          <w:sz w:val="24"/>
          <w:lang w:val="pt-PT"/>
        </w:rPr>
        <w:t>the</w:t>
      </w:r>
      <w:proofErr w:type="spellEnd"/>
      <w:r w:rsidRPr="0069033C">
        <w:rPr>
          <w:color w:val="000000" w:themeColor="text1"/>
          <w:sz w:val="24"/>
          <w:lang w:val="pt-PT"/>
        </w:rPr>
        <w:t xml:space="preserve"> Future </w:t>
      </w:r>
      <w:proofErr w:type="spellStart"/>
      <w:r w:rsidRPr="0069033C">
        <w:rPr>
          <w:color w:val="000000" w:themeColor="text1"/>
          <w:sz w:val="24"/>
          <w:lang w:val="pt-PT"/>
        </w:rPr>
        <w:t>of</w:t>
      </w:r>
      <w:proofErr w:type="spellEnd"/>
      <w:r w:rsidRPr="0069033C">
        <w:rPr>
          <w:color w:val="000000" w:themeColor="text1"/>
          <w:sz w:val="24"/>
          <w:lang w:val="pt-PT"/>
        </w:rPr>
        <w:t xml:space="preserve"> EU </w:t>
      </w:r>
      <w:proofErr w:type="spellStart"/>
      <w:r w:rsidRPr="0069033C">
        <w:rPr>
          <w:color w:val="000000" w:themeColor="text1"/>
          <w:sz w:val="24"/>
          <w:lang w:val="pt-PT"/>
        </w:rPr>
        <w:t>Agriculture</w:t>
      </w:r>
      <w:proofErr w:type="spellEnd"/>
      <w:r w:rsidRPr="0069033C">
        <w:rPr>
          <w:color w:val="000000" w:themeColor="text1"/>
          <w:sz w:val="24"/>
          <w:lang w:val="pt-PT"/>
        </w:rPr>
        <w:t xml:space="preserve"> – A </w:t>
      </w:r>
      <w:proofErr w:type="spellStart"/>
      <w:r w:rsidRPr="0069033C">
        <w:rPr>
          <w:color w:val="000000" w:themeColor="text1"/>
          <w:sz w:val="24"/>
          <w:lang w:val="pt-PT"/>
        </w:rPr>
        <w:t>shared</w:t>
      </w:r>
      <w:proofErr w:type="spellEnd"/>
      <w:r w:rsidRPr="0069033C">
        <w:rPr>
          <w:color w:val="000000" w:themeColor="text1"/>
          <w:sz w:val="24"/>
          <w:lang w:val="pt-PT"/>
        </w:rPr>
        <w:t xml:space="preserve"> perspetive for </w:t>
      </w:r>
      <w:proofErr w:type="spellStart"/>
      <w:r w:rsidRPr="0069033C">
        <w:rPr>
          <w:color w:val="000000" w:themeColor="text1"/>
          <w:sz w:val="24"/>
          <w:lang w:val="pt-PT"/>
        </w:rPr>
        <w:t>agriculture</w:t>
      </w:r>
      <w:proofErr w:type="spellEnd"/>
      <w:r w:rsidRPr="0069033C">
        <w:rPr>
          <w:color w:val="000000" w:themeColor="text1"/>
          <w:sz w:val="24"/>
          <w:lang w:val="pt-PT"/>
        </w:rPr>
        <w:t xml:space="preserve"> </w:t>
      </w:r>
      <w:proofErr w:type="spellStart"/>
      <w:r w:rsidRPr="0069033C">
        <w:rPr>
          <w:color w:val="000000" w:themeColor="text1"/>
          <w:sz w:val="24"/>
          <w:lang w:val="pt-PT"/>
        </w:rPr>
        <w:t>and</w:t>
      </w:r>
      <w:proofErr w:type="spellEnd"/>
      <w:r w:rsidRPr="0069033C">
        <w:rPr>
          <w:color w:val="000000" w:themeColor="text1"/>
          <w:sz w:val="24"/>
          <w:lang w:val="pt-PT"/>
        </w:rPr>
        <w:t xml:space="preserve"> </w:t>
      </w:r>
      <w:proofErr w:type="spellStart"/>
      <w:r w:rsidRPr="0069033C">
        <w:rPr>
          <w:color w:val="000000" w:themeColor="text1"/>
          <w:sz w:val="24"/>
          <w:lang w:val="pt-PT"/>
        </w:rPr>
        <w:t>food</w:t>
      </w:r>
      <w:proofErr w:type="spellEnd"/>
      <w:r w:rsidRPr="0069033C">
        <w:rPr>
          <w:color w:val="000000" w:themeColor="text1"/>
          <w:sz w:val="24"/>
          <w:lang w:val="pt-PT"/>
        </w:rPr>
        <w:t xml:space="preserve"> in </w:t>
      </w:r>
      <w:proofErr w:type="spellStart"/>
      <w:r w:rsidRPr="0069033C">
        <w:rPr>
          <w:color w:val="000000" w:themeColor="text1"/>
          <w:sz w:val="24"/>
          <w:lang w:val="pt-PT"/>
        </w:rPr>
        <w:t>Europe</w:t>
      </w:r>
      <w:proofErr w:type="spellEnd"/>
      <w:r w:rsidRPr="0069033C">
        <w:rPr>
          <w:color w:val="000000" w:themeColor="text1"/>
          <w:sz w:val="24"/>
          <w:lang w:val="pt-PT"/>
        </w:rPr>
        <w:t>»</w:t>
      </w:r>
      <w:r w:rsidRPr="0069033C">
        <w:rPr>
          <w:sz w:val="24"/>
          <w:lang w:val="pt-PT"/>
        </w:rPr>
        <w:t xml:space="preserve"> [Diálogo estratégico sobre o futuro da agricultura na UE: uma perspetiva partilhada para a agricultura e a alimentação na Europa], setembro de 2024, </w:t>
      </w:r>
      <w:hyperlink r:id="rId12" w:history="1">
        <w:r w:rsidRPr="008D4D16">
          <w:rPr>
            <w:rStyle w:val="Hyperlink"/>
            <w:sz w:val="24"/>
            <w:szCs w:val="24"/>
            <w:lang w:val="pt-PT"/>
          </w:rPr>
          <w:t>https://agriculture.ec.europa.eu/document/download/171329ff</w:t>
        </w:r>
        <w:r w:rsidRPr="008D4D16">
          <w:rPr>
            <w:rStyle w:val="Hyperlink"/>
            <w:sz w:val="24"/>
            <w:szCs w:val="24"/>
            <w:lang w:val="pt-PT"/>
          </w:rPr>
          <w:noBreakHyphen/>
          <w:t>0f50</w:t>
        </w:r>
        <w:r w:rsidRPr="008D4D16">
          <w:rPr>
            <w:rStyle w:val="Hyperlink"/>
            <w:sz w:val="24"/>
            <w:szCs w:val="24"/>
            <w:lang w:val="pt-PT"/>
          </w:rPr>
          <w:noBreakHyphen/>
          <w:t>4fa5</w:t>
        </w:r>
        <w:r w:rsidRPr="008D4D16">
          <w:rPr>
            <w:rStyle w:val="Hyperlink"/>
            <w:sz w:val="24"/>
            <w:szCs w:val="24"/>
            <w:lang w:val="pt-PT"/>
          </w:rPr>
          <w:noBreakHyphen/>
          <w:t>946f</w:t>
        </w:r>
        <w:r w:rsidRPr="008D4D16">
          <w:rPr>
            <w:rStyle w:val="Hyperlink"/>
            <w:sz w:val="24"/>
            <w:szCs w:val="24"/>
            <w:lang w:val="pt-PT"/>
          </w:rPr>
          <w:noBreakHyphen/>
          <w:t>aea11032172e_en?filename=strategic</w:t>
        </w:r>
        <w:r w:rsidRPr="008D4D16">
          <w:rPr>
            <w:rStyle w:val="Hyperlink"/>
            <w:sz w:val="24"/>
            <w:szCs w:val="24"/>
            <w:lang w:val="pt-PT"/>
          </w:rPr>
          <w:noBreakHyphen/>
          <w:t>dialogue</w:t>
        </w:r>
        <w:r w:rsidRPr="008D4D16">
          <w:rPr>
            <w:rStyle w:val="Hyperlink"/>
            <w:sz w:val="24"/>
            <w:szCs w:val="24"/>
            <w:lang w:val="pt-PT"/>
          </w:rPr>
          <w:noBreakHyphen/>
          <w:t>report</w:t>
        </w:r>
        <w:r w:rsidRPr="008D4D16">
          <w:rPr>
            <w:rStyle w:val="Hyperlink"/>
            <w:sz w:val="24"/>
            <w:szCs w:val="24"/>
            <w:lang w:val="pt-PT"/>
          </w:rPr>
          <w:noBreakHyphen/>
          <w:t>2024_en.pdf</w:t>
        </w:r>
      </w:hyperlink>
      <w:r w:rsidRPr="0069033C">
        <w:rPr>
          <w:sz w:val="24"/>
          <w:lang w:val="pt-PT"/>
        </w:rPr>
        <w:t>.</w:t>
      </w:r>
    </w:p>
  </w:footnote>
  <w:footnote w:id="12">
    <w:p w14:paraId="322BE4D2"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sz w:val="24"/>
          <w:lang w:val="pt-PT"/>
        </w:rPr>
        <w:t xml:space="preserve"> </w:t>
      </w:r>
      <w:r w:rsidR="0069033C" w:rsidRPr="0069033C">
        <w:rPr>
          <w:sz w:val="24"/>
          <w:lang w:val="pt-PT"/>
        </w:rPr>
        <w:tab/>
      </w:r>
      <w:hyperlink r:id="rId13" w:history="1">
        <w:r w:rsidRPr="008D4D16">
          <w:rPr>
            <w:rStyle w:val="Hyperlink"/>
            <w:sz w:val="24"/>
            <w:szCs w:val="24"/>
            <w:lang w:val="pt-PT"/>
          </w:rPr>
          <w:t>https://www.ohchr.org/en/documents/thematic</w:t>
        </w:r>
        <w:r w:rsidRPr="008D4D16">
          <w:rPr>
            <w:rStyle w:val="Hyperlink"/>
            <w:sz w:val="24"/>
            <w:szCs w:val="24"/>
            <w:lang w:val="pt-PT"/>
          </w:rPr>
          <w:noBreakHyphen/>
          <w:t>reports/ahrc3448</w:t>
        </w:r>
        <w:r w:rsidRPr="008D4D16">
          <w:rPr>
            <w:rStyle w:val="Hyperlink"/>
            <w:sz w:val="24"/>
            <w:szCs w:val="24"/>
            <w:lang w:val="pt-PT"/>
          </w:rPr>
          <w:noBreakHyphen/>
          <w:t>report</w:t>
        </w:r>
        <w:r w:rsidRPr="008D4D16">
          <w:rPr>
            <w:rStyle w:val="Hyperlink"/>
            <w:sz w:val="24"/>
            <w:szCs w:val="24"/>
            <w:lang w:val="pt-PT"/>
          </w:rPr>
          <w:noBreakHyphen/>
          <w:t>special</w:t>
        </w:r>
        <w:r w:rsidRPr="008D4D16">
          <w:rPr>
            <w:rStyle w:val="Hyperlink"/>
            <w:sz w:val="24"/>
            <w:szCs w:val="24"/>
            <w:lang w:val="pt-PT"/>
          </w:rPr>
          <w:noBreakHyphen/>
          <w:t>rapporteur</w:t>
        </w:r>
        <w:r w:rsidRPr="008D4D16">
          <w:rPr>
            <w:rStyle w:val="Hyperlink"/>
            <w:sz w:val="24"/>
            <w:szCs w:val="24"/>
            <w:lang w:val="pt-PT"/>
          </w:rPr>
          <w:noBreakHyphen/>
          <w:t>right</w:t>
        </w:r>
        <w:r w:rsidRPr="008D4D16">
          <w:rPr>
            <w:rStyle w:val="Hyperlink"/>
            <w:sz w:val="24"/>
            <w:szCs w:val="24"/>
            <w:lang w:val="pt-PT"/>
          </w:rPr>
          <w:noBreakHyphen/>
          <w:t>food</w:t>
        </w:r>
      </w:hyperlink>
      <w:r w:rsidRPr="0069033C">
        <w:rPr>
          <w:color w:val="000000" w:themeColor="text1"/>
          <w:sz w:val="24"/>
          <w:lang w:val="pt-PT"/>
        </w:rPr>
        <w:t>.</w:t>
      </w:r>
    </w:p>
  </w:footnote>
  <w:footnote w:id="13">
    <w:p w14:paraId="58F622D4" w14:textId="77777777" w:rsidR="00ED0430" w:rsidRPr="0069033C" w:rsidRDefault="00ED0430" w:rsidP="0069033C">
      <w:pPr>
        <w:pStyle w:val="FootnoteText"/>
        <w:ind w:left="567" w:hanging="567"/>
        <w:rPr>
          <w:sz w:val="24"/>
          <w:lang w:val="pt-PT"/>
        </w:rPr>
      </w:pPr>
      <w:r w:rsidRPr="0069033C">
        <w:rPr>
          <w:rStyle w:val="FootnoteReference"/>
          <w:sz w:val="24"/>
          <w:lang w:val="pt-PT"/>
        </w:rPr>
        <w:footnoteRef/>
      </w:r>
      <w:r w:rsidR="0069033C" w:rsidRPr="0069033C">
        <w:rPr>
          <w:sz w:val="24"/>
          <w:lang w:val="pt-PT"/>
        </w:rPr>
        <w:t xml:space="preserve"> </w:t>
      </w:r>
      <w:r w:rsidR="0069033C" w:rsidRPr="0069033C">
        <w:rPr>
          <w:sz w:val="24"/>
          <w:lang w:val="pt-PT"/>
        </w:rPr>
        <w:tab/>
      </w:r>
      <w:hyperlink r:id="rId14" w:history="1">
        <w:r w:rsidRPr="0069033C">
          <w:rPr>
            <w:rStyle w:val="Hyperlink"/>
            <w:sz w:val="24"/>
            <w:lang w:val="pt-PT"/>
          </w:rPr>
          <w:t>https://indicators.report/targets/3</w:t>
        </w:r>
        <w:r w:rsidRPr="0069033C">
          <w:rPr>
            <w:rStyle w:val="Hyperlink"/>
            <w:sz w:val="24"/>
            <w:lang w:val="pt-PT"/>
          </w:rPr>
          <w:noBreakHyphen/>
          <w:t>9/</w:t>
        </w:r>
      </w:hyperlink>
      <w:r w:rsidRPr="0069033C">
        <w:rPr>
          <w:rStyle w:val="Hyperlink"/>
          <w:sz w:val="24"/>
          <w:lang w:val="pt-PT"/>
        </w:rPr>
        <w:t>.</w:t>
      </w:r>
    </w:p>
  </w:footnote>
  <w:footnote w:id="14">
    <w:p w14:paraId="75A31759"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sz w:val="24"/>
          <w:lang w:val="pt-PT"/>
        </w:rPr>
        <w:t xml:space="preserve"> </w:t>
      </w:r>
      <w:r w:rsidR="0069033C" w:rsidRPr="0069033C">
        <w:rPr>
          <w:sz w:val="24"/>
          <w:lang w:val="pt-PT"/>
        </w:rPr>
        <w:tab/>
      </w:r>
      <w:r w:rsidRPr="0069033C">
        <w:rPr>
          <w:sz w:val="24"/>
          <w:lang w:val="pt-PT"/>
        </w:rPr>
        <w:t xml:space="preserve">Ver: </w:t>
      </w:r>
      <w:hyperlink r:id="rId15" w:history="1">
        <w:r w:rsidRPr="0069033C">
          <w:rPr>
            <w:rStyle w:val="Hyperlink"/>
            <w:sz w:val="24"/>
            <w:lang w:val="pt-PT"/>
          </w:rPr>
          <w:t>https://ec.europa.eu/commission/presscorner/detail/pt/ip_22_7834</w:t>
        </w:r>
      </w:hyperlink>
      <w:r w:rsidRPr="0069033C">
        <w:rPr>
          <w:sz w:val="24"/>
          <w:lang w:val="pt-PT"/>
        </w:rPr>
        <w:t>.</w:t>
      </w:r>
    </w:p>
  </w:footnote>
  <w:footnote w:id="15">
    <w:p w14:paraId="0CC3A699"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sz w:val="24"/>
          <w:lang w:val="pt-PT"/>
        </w:rPr>
        <w:t xml:space="preserve"> </w:t>
      </w:r>
      <w:r w:rsidR="0069033C" w:rsidRPr="0069033C">
        <w:rPr>
          <w:sz w:val="24"/>
          <w:lang w:val="pt-PT"/>
        </w:rPr>
        <w:tab/>
      </w:r>
      <w:hyperlink r:id="rId16" w:history="1">
        <w:r w:rsidRPr="008D4D16">
          <w:rPr>
            <w:rStyle w:val="Hyperlink"/>
            <w:sz w:val="24"/>
            <w:szCs w:val="24"/>
            <w:lang w:val="pt-PT"/>
          </w:rPr>
          <w:t>https://commission.europa.eu/document/2c64e540</w:t>
        </w:r>
        <w:r w:rsidRPr="008D4D16">
          <w:rPr>
            <w:rStyle w:val="Hyperlink"/>
            <w:sz w:val="24"/>
            <w:szCs w:val="24"/>
            <w:lang w:val="pt-PT"/>
          </w:rPr>
          <w:noBreakHyphen/>
          <w:t>c07a</w:t>
        </w:r>
        <w:r w:rsidRPr="008D4D16">
          <w:rPr>
            <w:rStyle w:val="Hyperlink"/>
            <w:sz w:val="24"/>
            <w:szCs w:val="24"/>
            <w:lang w:val="pt-PT"/>
          </w:rPr>
          <w:noBreakHyphen/>
          <w:t>4376</w:t>
        </w:r>
        <w:r w:rsidRPr="008D4D16">
          <w:rPr>
            <w:rStyle w:val="Hyperlink"/>
            <w:sz w:val="24"/>
            <w:szCs w:val="24"/>
            <w:lang w:val="pt-PT"/>
          </w:rPr>
          <w:noBreakHyphen/>
          <w:t>a1da</w:t>
        </w:r>
        <w:r w:rsidRPr="008D4D16">
          <w:rPr>
            <w:rStyle w:val="Hyperlink"/>
            <w:sz w:val="24"/>
            <w:szCs w:val="24"/>
            <w:lang w:val="pt-PT"/>
          </w:rPr>
          <w:noBreakHyphen/>
          <w:t>368d289f4afe_en</w:t>
        </w:r>
      </w:hyperlink>
      <w:r w:rsidRPr="0069033C">
        <w:rPr>
          <w:rStyle w:val="Hyperlink"/>
          <w:color w:val="000000" w:themeColor="text1"/>
          <w:sz w:val="24"/>
          <w:lang w:val="pt-PT"/>
        </w:rPr>
        <w:t>.</w:t>
      </w:r>
    </w:p>
  </w:footnote>
  <w:footnote w:id="16">
    <w:p w14:paraId="48DAF966"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color w:val="000000" w:themeColor="text1"/>
          <w:sz w:val="24"/>
          <w:lang w:val="pt-PT"/>
        </w:rPr>
        <w:t xml:space="preserve"> </w:t>
      </w:r>
      <w:r w:rsidR="0069033C" w:rsidRPr="0069033C">
        <w:rPr>
          <w:color w:val="000000" w:themeColor="text1"/>
          <w:sz w:val="24"/>
          <w:lang w:val="pt-PT"/>
        </w:rPr>
        <w:tab/>
      </w:r>
      <w:r w:rsidRPr="0069033C">
        <w:rPr>
          <w:color w:val="000000" w:themeColor="text1"/>
          <w:sz w:val="24"/>
          <w:lang w:val="pt-PT"/>
        </w:rPr>
        <w:t xml:space="preserve">A Comissão «pode», e não </w:t>
      </w:r>
      <w:proofErr w:type="gramStart"/>
      <w:r w:rsidRPr="0069033C">
        <w:rPr>
          <w:color w:val="000000" w:themeColor="text1"/>
          <w:sz w:val="24"/>
          <w:lang w:val="pt-PT"/>
        </w:rPr>
        <w:t>«deve», conceder</w:t>
      </w:r>
      <w:proofErr w:type="gramEnd"/>
      <w:r w:rsidRPr="0069033C">
        <w:rPr>
          <w:color w:val="000000" w:themeColor="text1"/>
          <w:sz w:val="24"/>
          <w:lang w:val="pt-PT"/>
        </w:rPr>
        <w:t xml:space="preserve"> uma autorização se não existir uma maioria qualificada de Estados‑Membros a favor no Comité de Recurso, em conformidade com o artigo 6.º, n.º 3, do Regulamento (UE) n.º 182/2011.</w:t>
      </w:r>
    </w:p>
  </w:footnote>
  <w:footnote w:id="17">
    <w:p w14:paraId="139E9247"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color w:val="000000" w:themeColor="text1"/>
          <w:sz w:val="24"/>
          <w:lang w:val="pt-PT"/>
        </w:rPr>
        <w:t xml:space="preserve"> </w:t>
      </w:r>
      <w:r w:rsidR="0069033C" w:rsidRPr="0069033C">
        <w:rPr>
          <w:color w:val="000000" w:themeColor="text1"/>
          <w:sz w:val="24"/>
          <w:lang w:val="pt-PT"/>
        </w:rPr>
        <w:tab/>
      </w:r>
      <w:r w:rsidRPr="0069033C">
        <w:rPr>
          <w:color w:val="000000" w:themeColor="text1"/>
          <w:sz w:val="24"/>
          <w:lang w:val="pt-PT"/>
        </w:rPr>
        <w:t>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ELI: </w:t>
      </w:r>
      <w:hyperlink r:id="rId17" w:tgtFrame="Gives access to this document through its ELI URI." w:history="1">
        <w:r w:rsidRPr="008D4D16">
          <w:rPr>
            <w:rStyle w:val="Hyperlink"/>
            <w:sz w:val="24"/>
            <w:szCs w:val="24"/>
            <w:lang w:val="pt-PT"/>
          </w:rPr>
          <w:t>http://data.europa.eu/eli/reg/2002/178/oj</w:t>
        </w:r>
      </w:hyperlink>
      <w:r w:rsidRPr="0069033C">
        <w:rPr>
          <w:color w:val="000000" w:themeColor="text1"/>
          <w:sz w:val="24"/>
          <w:lang w:val="pt-PT"/>
        </w:rPr>
        <w:t>).</w:t>
      </w:r>
    </w:p>
  </w:footnote>
  <w:footnote w:id="18">
    <w:p w14:paraId="455E6790" w14:textId="77777777" w:rsidR="00ED0430" w:rsidRPr="0069033C" w:rsidRDefault="00ED0430" w:rsidP="0069033C">
      <w:pPr>
        <w:pStyle w:val="FootnoteText"/>
        <w:ind w:left="567" w:hanging="567"/>
        <w:rPr>
          <w:color w:val="000000" w:themeColor="text1"/>
          <w:sz w:val="24"/>
          <w:lang w:val="pt-PT"/>
        </w:rPr>
      </w:pPr>
      <w:r w:rsidRPr="0069033C">
        <w:rPr>
          <w:rStyle w:val="FootnoteReference"/>
          <w:color w:val="000000" w:themeColor="text1"/>
          <w:sz w:val="24"/>
          <w:lang w:val="pt-PT"/>
        </w:rPr>
        <w:footnoteRef/>
      </w:r>
      <w:r w:rsidR="0069033C" w:rsidRPr="0069033C">
        <w:rPr>
          <w:color w:val="000000" w:themeColor="text1"/>
          <w:sz w:val="24"/>
          <w:lang w:val="pt-PT"/>
        </w:rPr>
        <w:t xml:space="preserve"> </w:t>
      </w:r>
      <w:r w:rsidR="0069033C" w:rsidRPr="0069033C">
        <w:rPr>
          <w:color w:val="000000" w:themeColor="text1"/>
          <w:sz w:val="24"/>
          <w:lang w:val="pt-PT"/>
        </w:rPr>
        <w:tab/>
      </w:r>
      <w:r w:rsidRPr="0069033C">
        <w:rPr>
          <w:color w:val="000000" w:themeColor="text1"/>
          <w:sz w:val="24"/>
          <w:lang w:val="pt-PT"/>
        </w:rPr>
        <w:t>Conforme descrito no anexo da comunicação da Comissão, de 14 de outubro de 2020, intitulada «Estratégia para a sustentabilidade dos produtos químicos – rumo a um ambiente sem substâncias tóxicas», COM(2020)0667,</w:t>
      </w:r>
      <w:r w:rsidRPr="0069033C">
        <w:rPr>
          <w:sz w:val="24"/>
          <w:lang w:val="pt-PT"/>
        </w:rPr>
        <w:t xml:space="preserve"> </w:t>
      </w:r>
      <w:hyperlink r:id="rId18" w:anchor="document2" w:history="1">
        <w:r w:rsidRPr="008D4D16">
          <w:rPr>
            <w:rStyle w:val="Hyperlink"/>
            <w:sz w:val="24"/>
            <w:szCs w:val="24"/>
            <w:lang w:val="pt-PT"/>
          </w:rPr>
          <w:t>https://eur</w:t>
        </w:r>
        <w:r w:rsidRPr="008D4D16">
          <w:rPr>
            <w:rStyle w:val="Hyperlink"/>
            <w:sz w:val="24"/>
            <w:szCs w:val="24"/>
            <w:lang w:val="pt-PT"/>
          </w:rPr>
          <w:noBreakHyphen/>
          <w:t>lex.europa.eu/legal</w:t>
        </w:r>
        <w:r w:rsidRPr="008D4D16">
          <w:rPr>
            <w:rStyle w:val="Hyperlink"/>
            <w:sz w:val="24"/>
            <w:szCs w:val="24"/>
            <w:lang w:val="pt-PT"/>
          </w:rPr>
          <w:noBreakHyphen/>
          <w:t>content/PT/TXT/?uri=COM%3A2020%3A667%3AFIN#document2</w:t>
        </w:r>
      </w:hyperlink>
      <w:r w:rsidRPr="0069033C">
        <w:rPr>
          <w:color w:val="000000" w:themeColor="text1"/>
          <w:sz w:val="24"/>
          <w:lang w:val="pt-PT"/>
        </w:rPr>
        <w:t xml:space="preserve">. </w:t>
      </w:r>
    </w:p>
  </w:footnote>
  <w:footnote w:id="19">
    <w:p w14:paraId="51B7DAE0"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sz w:val="24"/>
          <w:lang w:val="pt-PT"/>
        </w:rPr>
        <w:t xml:space="preserve"> </w:t>
      </w:r>
      <w:r w:rsidR="0069033C" w:rsidRPr="0069033C">
        <w:rPr>
          <w:sz w:val="24"/>
          <w:lang w:val="pt-PT"/>
        </w:rPr>
        <w:tab/>
      </w:r>
      <w:hyperlink r:id="rId19" w:history="1">
        <w:r w:rsidRPr="008D4D16">
          <w:rPr>
            <w:rStyle w:val="Hyperlink"/>
            <w:sz w:val="24"/>
            <w:szCs w:val="24"/>
            <w:lang w:val="pt-PT"/>
          </w:rPr>
          <w:t>https://tillymetz.lu/wp</w:t>
        </w:r>
        <w:r w:rsidRPr="008D4D16">
          <w:rPr>
            <w:rStyle w:val="Hyperlink"/>
            <w:sz w:val="24"/>
            <w:szCs w:val="24"/>
            <w:lang w:val="pt-PT"/>
          </w:rPr>
          <w:noBreakHyphen/>
          <w:t>content/uploads/2020/09/Co</w:t>
        </w:r>
        <w:r w:rsidRPr="008D4D16">
          <w:rPr>
            <w:rStyle w:val="Hyperlink"/>
            <w:sz w:val="24"/>
            <w:szCs w:val="24"/>
            <w:lang w:val="pt-PT"/>
          </w:rPr>
          <w:noBreakHyphen/>
          <w:t>signed</w:t>
        </w:r>
        <w:r w:rsidRPr="008D4D16">
          <w:rPr>
            <w:rStyle w:val="Hyperlink"/>
            <w:sz w:val="24"/>
            <w:szCs w:val="24"/>
            <w:lang w:val="pt-PT"/>
          </w:rPr>
          <w:noBreakHyphen/>
          <w:t>letter</w:t>
        </w:r>
        <w:r w:rsidRPr="008D4D16">
          <w:rPr>
            <w:rStyle w:val="Hyperlink"/>
            <w:sz w:val="24"/>
            <w:szCs w:val="24"/>
            <w:lang w:val="pt-PT"/>
          </w:rPr>
          <w:noBreakHyphen/>
          <w:t>MEP</w:t>
        </w:r>
        <w:r w:rsidRPr="008D4D16">
          <w:rPr>
            <w:rStyle w:val="Hyperlink"/>
            <w:sz w:val="24"/>
            <w:szCs w:val="24"/>
            <w:lang w:val="pt-PT"/>
          </w:rPr>
          <w:noBreakHyphen/>
          <w:t>Metz.pdf</w:t>
        </w:r>
      </w:hyperlink>
      <w:r w:rsidRPr="0069033C">
        <w:rPr>
          <w:rStyle w:val="Hyperlink"/>
          <w:color w:val="000000" w:themeColor="text1"/>
          <w:sz w:val="24"/>
          <w:lang w:val="pt-PT"/>
        </w:rPr>
        <w:t>.</w:t>
      </w:r>
    </w:p>
  </w:footnote>
  <w:footnote w:id="20">
    <w:p w14:paraId="15549BDE" w14:textId="77777777" w:rsidR="00ED0430" w:rsidRPr="0069033C" w:rsidRDefault="00ED0430" w:rsidP="0069033C">
      <w:pPr>
        <w:pStyle w:val="FootnoteText"/>
        <w:ind w:left="567" w:hanging="567"/>
        <w:rPr>
          <w:color w:val="000000" w:themeColor="text1"/>
          <w:sz w:val="24"/>
          <w:lang w:val="pt-PT"/>
        </w:rPr>
      </w:pPr>
      <w:r w:rsidRPr="0069033C">
        <w:rPr>
          <w:rStyle w:val="Funotenzeichen"/>
          <w:color w:val="000000" w:themeColor="text1"/>
          <w:sz w:val="24"/>
          <w:lang w:val="pt-PT"/>
        </w:rPr>
        <w:footnoteRef/>
      </w:r>
      <w:r w:rsidR="0069033C" w:rsidRPr="0069033C">
        <w:rPr>
          <w:color w:val="000000" w:themeColor="text1"/>
          <w:sz w:val="24"/>
          <w:lang w:val="pt-PT"/>
        </w:rPr>
        <w:t xml:space="preserve"> </w:t>
      </w:r>
      <w:r w:rsidR="0069033C" w:rsidRPr="0069033C">
        <w:rPr>
          <w:color w:val="000000" w:themeColor="text1"/>
          <w:sz w:val="24"/>
          <w:lang w:val="pt-PT"/>
        </w:rPr>
        <w:tab/>
      </w:r>
      <w:r w:rsidRPr="0069033C">
        <w:rPr>
          <w:color w:val="000000" w:themeColor="text1"/>
          <w:sz w:val="24"/>
          <w:lang w:val="pt-PT"/>
        </w:rPr>
        <w:t>Resolução do Parlamento Europeu, de 15 de janeiro de 2020, sobre o Pacto Ecológico Europeu (JO C 270 de 7.7.2021, p. 2), n.º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PT"/>
    <w:docVar w:name="dvnumam" w:val="0"/>
    <w:docVar w:name="dvpe" w:val="766.932"/>
    <w:docVar w:name="dvtitre" w:val="Resolução do Parlamento Europeu, de ... de ... de 2025,_x000d__x000a_ sobre o projeto de decisão de execução da Comissão que autoriza a colocação no mercado de produtos que contenham, sejam constituídos por, ou produzidos a partir de milho geneticamente modificado DP910521, nos termos do Regulamento (CE) n.º 1829/2003 do Parlamento Europeu e do Conselho(D102174/03 – 2024/3010(RSP))"/>
  </w:docVars>
  <w:rsids>
    <w:rsidRoot w:val="00C65C4B"/>
    <w:rsid w:val="00002272"/>
    <w:rsid w:val="00053A29"/>
    <w:rsid w:val="00064002"/>
    <w:rsid w:val="000677B9"/>
    <w:rsid w:val="000831BA"/>
    <w:rsid w:val="000A42CC"/>
    <w:rsid w:val="000E7DD9"/>
    <w:rsid w:val="0010095E"/>
    <w:rsid w:val="00125B37"/>
    <w:rsid w:val="00187494"/>
    <w:rsid w:val="001F32AE"/>
    <w:rsid w:val="0025080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FE5"/>
    <w:rsid w:val="005F1B17"/>
    <w:rsid w:val="006037C0"/>
    <w:rsid w:val="006631B6"/>
    <w:rsid w:val="00680577"/>
    <w:rsid w:val="0069033C"/>
    <w:rsid w:val="006F74FA"/>
    <w:rsid w:val="00715CFC"/>
    <w:rsid w:val="00731ADD"/>
    <w:rsid w:val="00734777"/>
    <w:rsid w:val="00747932"/>
    <w:rsid w:val="00751A4A"/>
    <w:rsid w:val="00756632"/>
    <w:rsid w:val="00762C74"/>
    <w:rsid w:val="00786EC0"/>
    <w:rsid w:val="007C7AA9"/>
    <w:rsid w:val="007D1690"/>
    <w:rsid w:val="007E22AD"/>
    <w:rsid w:val="00817416"/>
    <w:rsid w:val="00842779"/>
    <w:rsid w:val="00865F67"/>
    <w:rsid w:val="00881A7B"/>
    <w:rsid w:val="008840E5"/>
    <w:rsid w:val="00887B3E"/>
    <w:rsid w:val="008C2AC6"/>
    <w:rsid w:val="008D4D16"/>
    <w:rsid w:val="00930C23"/>
    <w:rsid w:val="0093193B"/>
    <w:rsid w:val="009509D8"/>
    <w:rsid w:val="00950B64"/>
    <w:rsid w:val="009678ED"/>
    <w:rsid w:val="00981893"/>
    <w:rsid w:val="00A1687D"/>
    <w:rsid w:val="00A43E52"/>
    <w:rsid w:val="00A4678D"/>
    <w:rsid w:val="00A778C7"/>
    <w:rsid w:val="00AB441E"/>
    <w:rsid w:val="00AB6293"/>
    <w:rsid w:val="00AE0928"/>
    <w:rsid w:val="00AF1863"/>
    <w:rsid w:val="00AF3B82"/>
    <w:rsid w:val="00B12E95"/>
    <w:rsid w:val="00B22876"/>
    <w:rsid w:val="00B558F0"/>
    <w:rsid w:val="00BD48FE"/>
    <w:rsid w:val="00BD7BD8"/>
    <w:rsid w:val="00BE6ADC"/>
    <w:rsid w:val="00C03573"/>
    <w:rsid w:val="00C05BFE"/>
    <w:rsid w:val="00C23CD4"/>
    <w:rsid w:val="00C5752A"/>
    <w:rsid w:val="00C61C0C"/>
    <w:rsid w:val="00C65C4B"/>
    <w:rsid w:val="00C941CB"/>
    <w:rsid w:val="00CB1A32"/>
    <w:rsid w:val="00CC2357"/>
    <w:rsid w:val="00CF071A"/>
    <w:rsid w:val="00D058B8"/>
    <w:rsid w:val="00D56C11"/>
    <w:rsid w:val="00D834A0"/>
    <w:rsid w:val="00D872DF"/>
    <w:rsid w:val="00D91E21"/>
    <w:rsid w:val="00DA7FCD"/>
    <w:rsid w:val="00E365E1"/>
    <w:rsid w:val="00E820A4"/>
    <w:rsid w:val="00EB006A"/>
    <w:rsid w:val="00EB4772"/>
    <w:rsid w:val="00ED0430"/>
    <w:rsid w:val="00ED169E"/>
    <w:rsid w:val="00ED4235"/>
    <w:rsid w:val="00F04346"/>
    <w:rsid w:val="00F075DC"/>
    <w:rsid w:val="00F149E9"/>
    <w:rsid w:val="00F5134D"/>
    <w:rsid w:val="00F74202"/>
    <w:rsid w:val="00F87713"/>
    <w:rsid w:val="00FB4360"/>
    <w:rsid w:val="00FC382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D1ED6"/>
  <w15:chartTrackingRefBased/>
  <w15:docId w15:val="{DF042DEB-FE11-46FF-9A5A-7BC821B1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ED0430"/>
    <w:pPr>
      <w:spacing w:before="480" w:after="240"/>
    </w:pPr>
  </w:style>
  <w:style w:type="paragraph" w:customStyle="1" w:styleId="NormalHanging12a">
    <w:name w:val="NormalHanging12a"/>
    <w:basedOn w:val="Normal"/>
    <w:qFormat/>
    <w:rsid w:val="00ED0430"/>
    <w:pPr>
      <w:spacing w:after="240"/>
      <w:ind w:left="567" w:hanging="567"/>
    </w:pPr>
  </w:style>
  <w:style w:type="character" w:styleId="Hyperlink">
    <w:name w:val="Hyperlink"/>
    <w:basedOn w:val="DefaultParagraphFont"/>
    <w:uiPriority w:val="99"/>
    <w:rsid w:val="00ED0430"/>
    <w:rPr>
      <w:color w:val="0563C1" w:themeColor="hyperlink"/>
      <w:u w:val="single"/>
    </w:rPr>
  </w:style>
  <w:style w:type="character" w:customStyle="1" w:styleId="Funotenzeichen">
    <w:name w:val="Fußnotenzeichen"/>
    <w:qFormat/>
    <w:rsid w:val="00ED0430"/>
    <w:rPr>
      <w:vertAlign w:val="superscript"/>
    </w:rPr>
  </w:style>
  <w:style w:type="character" w:styleId="CommentReference">
    <w:name w:val="annotation reference"/>
    <w:basedOn w:val="DefaultParagraphFont"/>
    <w:rsid w:val="007C7AA9"/>
    <w:rPr>
      <w:sz w:val="16"/>
      <w:szCs w:val="16"/>
    </w:rPr>
  </w:style>
  <w:style w:type="paragraph" w:styleId="CommentText">
    <w:name w:val="annotation text"/>
    <w:basedOn w:val="Normal"/>
    <w:link w:val="CommentTextChar"/>
    <w:rsid w:val="007C7AA9"/>
    <w:rPr>
      <w:sz w:val="20"/>
    </w:rPr>
  </w:style>
  <w:style w:type="character" w:customStyle="1" w:styleId="CommentTextChar">
    <w:name w:val="Comment Text Char"/>
    <w:basedOn w:val="DefaultParagraphFont"/>
    <w:link w:val="CommentText"/>
    <w:rsid w:val="007C7AA9"/>
    <w:rPr>
      <w:lang w:val="pt-PT"/>
    </w:rPr>
  </w:style>
  <w:style w:type="paragraph" w:styleId="CommentSubject">
    <w:name w:val="annotation subject"/>
    <w:basedOn w:val="CommentText"/>
    <w:next w:val="CommentText"/>
    <w:link w:val="CommentSubjectChar"/>
    <w:rsid w:val="007C7AA9"/>
    <w:rPr>
      <w:b/>
      <w:bCs/>
    </w:rPr>
  </w:style>
  <w:style w:type="character" w:customStyle="1" w:styleId="CommentSubjectChar">
    <w:name w:val="Comment Subject Char"/>
    <w:basedOn w:val="CommentTextChar"/>
    <w:link w:val="CommentSubject"/>
    <w:rsid w:val="007C7AA9"/>
    <w:rPr>
      <w:b/>
      <w:bCs/>
      <w:lang w:val="pt-PT"/>
    </w:rPr>
  </w:style>
  <w:style w:type="paragraph" w:styleId="BalloonText">
    <w:name w:val="Balloon Text"/>
    <w:basedOn w:val="Normal"/>
    <w:link w:val="BalloonTextChar"/>
    <w:rsid w:val="007C7AA9"/>
    <w:rPr>
      <w:rFonts w:ascii="Segoe UI" w:hAnsi="Segoe UI" w:cs="Segoe UI"/>
      <w:sz w:val="18"/>
      <w:szCs w:val="18"/>
    </w:rPr>
  </w:style>
  <w:style w:type="character" w:customStyle="1" w:styleId="BalloonTextChar">
    <w:name w:val="Balloon Text Char"/>
    <w:basedOn w:val="DefaultParagraphFont"/>
    <w:link w:val="BalloonText"/>
    <w:rsid w:val="007C7AA9"/>
    <w:rPr>
      <w:rFonts w:ascii="Segoe UI" w:hAnsi="Segoe UI" w:cs="Segoe UI"/>
      <w:sz w:val="18"/>
      <w:szCs w:val="18"/>
      <w:lang w:val="pt-PT"/>
    </w:rPr>
  </w:style>
  <w:style w:type="character" w:styleId="FollowedHyperlink">
    <w:name w:val="FollowedHyperlink"/>
    <w:basedOn w:val="DefaultParagraphFont"/>
    <w:rsid w:val="00C575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PT/TXT/?uri=COM:2020:667:FIN"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pt/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E5C9F-3A82-4E53-8AE4-746DB5CF7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2532</Words>
  <Characters>13645</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GARCIA RODRIGUEZ Viviana</cp:lastModifiedBy>
  <cp:revision>2</cp:revision>
  <cp:lastPrinted>2004-11-19T15:42:00Z</cp:lastPrinted>
  <dcterms:created xsi:type="dcterms:W3CDTF">2025-03-10T08:10:00Z</dcterms:created>
  <dcterms:modified xsi:type="dcterms:W3CDTF">2025-03-10T08:10:00Z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B10-0061/2025</vt:lpwstr>
  </property>
  <property fmtid="{D5CDD505-2E9C-101B-9397-08002B2CF9AE}" pid="4" name="&lt;Type&gt;">
    <vt:lpwstr>RR</vt:lpwstr>
  </property>
</Properties>
</file>