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9F4" w:rsidTr="0010095E">
        <w:trPr>
          <w:trHeight w:hRule="exact" w:val="1418"/>
        </w:trPr>
        <w:tc>
          <w:tcPr>
            <w:tcW w:w="6804" w:type="dxa"/>
            <w:shd w:val="clear" w:color="auto" w:fill="auto"/>
            <w:vAlign w:val="center"/>
          </w:tcPr>
          <w:p w:rsidR="00751A4A" w:rsidRPr="003E19F4" w:rsidRDefault="008D416D" w:rsidP="0010095E">
            <w:pPr>
              <w:pStyle w:val="EPName"/>
            </w:pPr>
            <w:r w:rsidRPr="003E19F4">
              <w:t>Parlamentul European</w:t>
            </w:r>
          </w:p>
          <w:p w:rsidR="00751A4A" w:rsidRPr="003E19F4" w:rsidRDefault="005F1B17" w:rsidP="005F1B17">
            <w:pPr>
              <w:pStyle w:val="EPTerm"/>
              <w:rPr>
                <w:rStyle w:val="HideTWBExt"/>
                <w:noProof w:val="0"/>
                <w:vanish w:val="0"/>
                <w:color w:val="auto"/>
              </w:rPr>
            </w:pPr>
            <w:r w:rsidRPr="003E19F4">
              <w:t>2024</w:t>
            </w:r>
            <w:r w:rsidR="00817416" w:rsidRPr="003E19F4">
              <w:t>-202</w:t>
            </w:r>
            <w:r w:rsidRPr="003E19F4">
              <w:t>9</w:t>
            </w:r>
          </w:p>
        </w:tc>
        <w:tc>
          <w:tcPr>
            <w:tcW w:w="2268" w:type="dxa"/>
            <w:shd w:val="clear" w:color="auto" w:fill="auto"/>
          </w:tcPr>
          <w:p w:rsidR="00751A4A" w:rsidRPr="003E19F4" w:rsidRDefault="00187494" w:rsidP="0010095E">
            <w:pPr>
              <w:pStyle w:val="EPLogo"/>
            </w:pPr>
            <w:r w:rsidRPr="003E19F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19F4" w:rsidRDefault="00D058B8" w:rsidP="004C5D52">
      <w:pPr>
        <w:pStyle w:val="LineTop"/>
      </w:pPr>
    </w:p>
    <w:p w:rsidR="00680577" w:rsidRPr="003E19F4" w:rsidRDefault="008D416D" w:rsidP="00680577">
      <w:pPr>
        <w:pStyle w:val="EPBodyTA1"/>
      </w:pPr>
      <w:r w:rsidRPr="003E19F4">
        <w:t>TEXTE ADOPTATE</w:t>
      </w:r>
    </w:p>
    <w:p w:rsidR="00D058B8" w:rsidRPr="003E19F4" w:rsidRDefault="00D058B8" w:rsidP="00D058B8">
      <w:pPr>
        <w:pStyle w:val="LineBottom"/>
      </w:pPr>
    </w:p>
    <w:p w:rsidR="008D416D" w:rsidRPr="003E19F4" w:rsidRDefault="008D416D" w:rsidP="008D416D">
      <w:pPr>
        <w:pStyle w:val="ATHeading1"/>
      </w:pPr>
      <w:bookmarkStart w:id="0" w:name="TANumber"/>
      <w:r w:rsidRPr="003E19F4">
        <w:t>P10_TA(2025)</w:t>
      </w:r>
      <w:bookmarkEnd w:id="0"/>
      <w:r w:rsidR="00396E95" w:rsidRPr="003E19F4">
        <w:t>0014</w:t>
      </w:r>
    </w:p>
    <w:p w:rsidR="008D416D" w:rsidRPr="003E19F4" w:rsidRDefault="008D416D" w:rsidP="008D416D">
      <w:pPr>
        <w:pStyle w:val="ATHeading2"/>
      </w:pPr>
      <w:bookmarkStart w:id="1" w:name="title"/>
      <w:r w:rsidRPr="003E19F4">
        <w:t>Porumbul modificat genetic DP910521</w:t>
      </w:r>
      <w:bookmarkEnd w:id="1"/>
    </w:p>
    <w:p w:rsidR="008D416D" w:rsidRPr="003E19F4" w:rsidRDefault="008D416D" w:rsidP="008D416D">
      <w:pPr>
        <w:rPr>
          <w:i/>
          <w:vanish/>
        </w:rPr>
      </w:pPr>
      <w:r w:rsidRPr="003E19F4">
        <w:rPr>
          <w:i/>
        </w:rPr>
        <w:fldChar w:fldCharType="begin"/>
      </w:r>
      <w:r w:rsidRPr="003E19F4">
        <w:rPr>
          <w:i/>
        </w:rPr>
        <w:instrText xml:space="preserve"> TC"(</w:instrText>
      </w:r>
      <w:bookmarkStart w:id="2" w:name="DocNumber"/>
      <w:r w:rsidRPr="003E19F4">
        <w:rPr>
          <w:i/>
        </w:rPr>
        <w:instrText>B10-0061/2025</w:instrText>
      </w:r>
      <w:bookmarkEnd w:id="2"/>
      <w:r w:rsidRPr="003E19F4">
        <w:rPr>
          <w:i/>
        </w:rPr>
        <w:instrText xml:space="preserve">)"\l3 \n&gt; \* MERGEFORMAT </w:instrText>
      </w:r>
      <w:r w:rsidRPr="003E19F4">
        <w:rPr>
          <w:i/>
        </w:rPr>
        <w:fldChar w:fldCharType="end"/>
      </w:r>
    </w:p>
    <w:p w:rsidR="008D416D" w:rsidRPr="003E19F4" w:rsidRDefault="008D416D" w:rsidP="008D416D">
      <w:pPr>
        <w:rPr>
          <w:vanish/>
        </w:rPr>
      </w:pPr>
      <w:bookmarkStart w:id="3" w:name="PE"/>
      <w:r w:rsidRPr="003E19F4">
        <w:rPr>
          <w:vanish/>
        </w:rPr>
        <w:t>PE766.932</w:t>
      </w:r>
      <w:bookmarkEnd w:id="3"/>
    </w:p>
    <w:p w:rsidR="008D416D" w:rsidRPr="003E19F4" w:rsidRDefault="008D416D" w:rsidP="00486CCE">
      <w:pPr>
        <w:pStyle w:val="ATHeading3"/>
      </w:pPr>
      <w:bookmarkStart w:id="4" w:name="Sujet"/>
      <w:r w:rsidRPr="003E19F4">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w:t>
      </w:r>
      <w:bookmarkEnd w:id="4"/>
      <w:r w:rsidRPr="003E19F4">
        <w:t xml:space="preserve"> </w:t>
      </w:r>
      <w:bookmarkStart w:id="5" w:name="References"/>
      <w:r w:rsidRPr="003E19F4">
        <w:t>(D102174/03 – 2024/3010(RSP))</w:t>
      </w:r>
      <w:bookmarkEnd w:id="5"/>
    </w:p>
    <w:p w:rsidR="00C6391A" w:rsidRPr="003E19F4" w:rsidRDefault="00C6391A" w:rsidP="00C6391A">
      <w:pPr>
        <w:pStyle w:val="EPComma"/>
      </w:pPr>
      <w:bookmarkStart w:id="6" w:name="TextBodyBegin"/>
      <w:bookmarkEnd w:id="6"/>
      <w:r w:rsidRPr="003E19F4">
        <w:rPr>
          <w:i/>
          <w:iCs/>
        </w:rPr>
        <w:t>Parlamentul European</w:t>
      </w:r>
      <w:r w:rsidRPr="003E19F4">
        <w:t>,</w:t>
      </w:r>
    </w:p>
    <w:p w:rsidR="00C6391A" w:rsidRPr="003E19F4" w:rsidRDefault="00C6391A" w:rsidP="00C6391A">
      <w:pPr>
        <w:pStyle w:val="NormalHanging12a"/>
      </w:pPr>
      <w:r w:rsidRPr="003E19F4">
        <w:t>–</w:t>
      </w:r>
      <w:r w:rsidRPr="003E19F4">
        <w:tab/>
        <w:t>având în vedere proiectul de decizie de punere în aplicare a Comisiei de autorizare a introducerii pe piață a produselor care conțin, sunt compuse sau fabricate din porumb modificat genetic DP910521, în temeiul Regulamentului (CE) nr. 1829/2003 al Parlamentului European și al Consiliului (D102174/03),</w:t>
      </w:r>
    </w:p>
    <w:p w:rsidR="00C6391A" w:rsidRPr="003E19F4" w:rsidRDefault="00C6391A" w:rsidP="00C6391A">
      <w:pPr>
        <w:pStyle w:val="NormalHanging12a"/>
        <w:rPr>
          <w:szCs w:val="24"/>
        </w:rPr>
      </w:pPr>
      <w:r w:rsidRPr="003E19F4">
        <w:t>–</w:t>
      </w:r>
      <w:r w:rsidRPr="003E19F4">
        <w:tab/>
        <w:t>având în vedere Regulamentul (CE) nr. 1829/2003 al Parlamentului European și al Consiliului din 22 septembrie 2003 privind produsele alimentare și furajele modificate genetic</w:t>
      </w:r>
      <w:r w:rsidRPr="003E19F4">
        <w:rPr>
          <w:rStyle w:val="FootnoteReference"/>
          <w:szCs w:val="24"/>
        </w:rPr>
        <w:footnoteReference w:id="1"/>
      </w:r>
      <w:r w:rsidRPr="003E19F4">
        <w:t>, în special articolul 7 alineatul (3) și articolul 19 alineatul (3),</w:t>
      </w:r>
    </w:p>
    <w:p w:rsidR="00C6391A" w:rsidRPr="003E19F4" w:rsidRDefault="00C6391A" w:rsidP="00C6391A">
      <w:pPr>
        <w:pStyle w:val="NormalHanging12a"/>
        <w:rPr>
          <w:szCs w:val="24"/>
        </w:rPr>
      </w:pPr>
      <w:r w:rsidRPr="003E19F4">
        <w:t>–</w:t>
      </w:r>
      <w:r w:rsidRPr="003E19F4">
        <w:tab/>
        <w:t>având în vedere votul</w:t>
      </w:r>
      <w:r w:rsidRPr="003E19F4">
        <w:rPr>
          <w:shd w:val="clear" w:color="auto" w:fill="FFFFFF"/>
        </w:rPr>
        <w:t xml:space="preserve"> Comitetului permanent pentru plante, animale, produse alimentare și hrană pentru animale, menționat la articolul 35 din Regulamentul (CE) nr. 1829/2003, din 22 noiembrie 2024, în urma căruia nu a fost emis niciun aviz, și votul Comitetului de apel din 17 decembrie 2024, în urma căruia, din nou, nu </w:t>
      </w:r>
      <w:r w:rsidRPr="003E19F4">
        <w:t>a fost emis niciun aviz,</w:t>
      </w:r>
    </w:p>
    <w:p w:rsidR="00C6391A" w:rsidRPr="003E19F4" w:rsidRDefault="00C6391A" w:rsidP="00C6391A">
      <w:pPr>
        <w:pStyle w:val="NormalHanging12a"/>
        <w:rPr>
          <w:szCs w:val="24"/>
        </w:rPr>
      </w:pPr>
      <w:r w:rsidRPr="003E19F4">
        <w:t>–</w:t>
      </w:r>
      <w:r w:rsidRPr="003E19F4">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3E19F4">
        <w:rPr>
          <w:rStyle w:val="FootnoteReference"/>
          <w:szCs w:val="24"/>
        </w:rPr>
        <w:footnoteReference w:id="2"/>
      </w:r>
      <w:r w:rsidRPr="003E19F4">
        <w:t>,</w:t>
      </w:r>
    </w:p>
    <w:p w:rsidR="00C6391A" w:rsidRPr="003E19F4" w:rsidRDefault="00C6391A" w:rsidP="00C6391A">
      <w:pPr>
        <w:pStyle w:val="NormalHanging12a"/>
        <w:rPr>
          <w:szCs w:val="24"/>
        </w:rPr>
      </w:pPr>
      <w:r w:rsidRPr="003E19F4">
        <w:t>–</w:t>
      </w:r>
      <w:r w:rsidRPr="003E19F4">
        <w:tab/>
        <w:t xml:space="preserve">având în vedere avizul adoptat de Autoritatea Europeană pentru Siguranța Alimentară </w:t>
      </w:r>
      <w:r w:rsidRPr="003E19F4">
        <w:lastRenderedPageBreak/>
        <w:t>(EFSA) la 19 iunie 2024 și publicat la 1 august 2024</w:t>
      </w:r>
      <w:r w:rsidRPr="003E19F4">
        <w:rPr>
          <w:rStyle w:val="FootnoteReference"/>
          <w:szCs w:val="24"/>
        </w:rPr>
        <w:footnoteReference w:id="3"/>
      </w:r>
      <w:r w:rsidRPr="003E19F4">
        <w:t>,</w:t>
      </w:r>
    </w:p>
    <w:p w:rsidR="00C6391A" w:rsidRPr="003E19F4" w:rsidRDefault="00C6391A" w:rsidP="00C6391A">
      <w:pPr>
        <w:pStyle w:val="NormalHanging12a"/>
        <w:rPr>
          <w:szCs w:val="24"/>
        </w:rPr>
      </w:pPr>
      <w:r w:rsidRPr="003E19F4">
        <w:t>–</w:t>
      </w:r>
      <w:r w:rsidRPr="003E19F4">
        <w:tab/>
      </w:r>
      <w:r w:rsidRPr="003E19F4">
        <w:rPr>
          <w:shd w:val="clear" w:color="auto" w:fill="FFFFFF"/>
        </w:rPr>
        <w:t>având în vedere rezoluțiile sale anterioare în care se opune autorizării unor organisme modificate genetic („OMG”)</w:t>
      </w:r>
      <w:r w:rsidRPr="003E19F4">
        <w:rPr>
          <w:rStyle w:val="FootnoteReference"/>
          <w:szCs w:val="24"/>
          <w:shd w:val="clear" w:color="auto" w:fill="FFFFFF"/>
        </w:rPr>
        <w:footnoteReference w:id="4"/>
      </w:r>
      <w:r w:rsidRPr="003E19F4">
        <w:rPr>
          <w:shd w:val="clear" w:color="auto" w:fill="FFFFFF"/>
        </w:rPr>
        <w:t>,</w:t>
      </w:r>
    </w:p>
    <w:p w:rsidR="00C6391A" w:rsidRPr="003E19F4" w:rsidRDefault="00C6391A" w:rsidP="00C6391A">
      <w:pPr>
        <w:pStyle w:val="NormalHanging12a"/>
        <w:rPr>
          <w:szCs w:val="24"/>
        </w:rPr>
      </w:pPr>
      <w:r w:rsidRPr="003E19F4">
        <w:lastRenderedPageBreak/>
        <w:t>–</w:t>
      </w:r>
      <w:r w:rsidRPr="003E19F4">
        <w:tab/>
        <w:t>având în vedere articolul 115 alineatele (2) și (3) din Regulamentul său de procedură,</w:t>
      </w:r>
    </w:p>
    <w:p w:rsidR="00C6391A" w:rsidRPr="003E19F4" w:rsidRDefault="00C6391A" w:rsidP="00C6391A">
      <w:pPr>
        <w:pStyle w:val="NormalHanging12a"/>
        <w:rPr>
          <w:szCs w:val="24"/>
        </w:rPr>
      </w:pPr>
      <w:r w:rsidRPr="003E19F4">
        <w:t>–</w:t>
      </w:r>
      <w:r w:rsidRPr="003E19F4">
        <w:tab/>
        <w:t xml:space="preserve">având în vedere propunerea de rezoluție a Comisiei pentru mediu, </w:t>
      </w:r>
      <w:r w:rsidR="00486CCE" w:rsidRPr="003E19F4">
        <w:t xml:space="preserve">climă </w:t>
      </w:r>
      <w:r w:rsidRPr="003E19F4">
        <w:t>și siguranță alimentară,</w:t>
      </w:r>
    </w:p>
    <w:p w:rsidR="00C6391A" w:rsidRPr="003E19F4" w:rsidRDefault="00C6391A" w:rsidP="00C6391A">
      <w:pPr>
        <w:pStyle w:val="NormalHanging12a"/>
        <w:rPr>
          <w:szCs w:val="24"/>
        </w:rPr>
      </w:pPr>
      <w:r w:rsidRPr="003E19F4">
        <w:t>A.</w:t>
      </w:r>
      <w:r w:rsidRPr="003E19F4">
        <w:tab/>
        <w:t xml:space="preserve">întrucât, la 27 iunie 2022, Corteva Agriscience Belgium B.V., cu sediul în Belgia, în numele Corteva Agriscience LLC, cu sediul în Statele Unite, a depus </w:t>
      </w:r>
      <w:r w:rsidRPr="003E19F4">
        <w:rPr>
          <w:snapToGrid w:val="0"/>
        </w:rPr>
        <w:t>la autoritatea națională competentă din Țările de Jos o cerere de</w:t>
      </w:r>
      <w:r w:rsidRPr="003E19F4">
        <w:t xml:space="preserve"> introducere pe piață a unor produse alimentare, ingrediente alimentare și furaje care conțin, sunt compuse sau fabricate din porumb modificat genetic DP910521 (denumit în continuare „porumb modificat genetic”);</w:t>
      </w:r>
    </w:p>
    <w:p w:rsidR="00C6391A" w:rsidRPr="003E19F4" w:rsidRDefault="00C6391A" w:rsidP="00C6391A">
      <w:pPr>
        <w:pStyle w:val="NormalHanging12a"/>
        <w:rPr>
          <w:szCs w:val="24"/>
        </w:rPr>
      </w:pPr>
      <w:r w:rsidRPr="003E19F4">
        <w:t>B.</w:t>
      </w:r>
      <w:r w:rsidRPr="003E19F4">
        <w:tab/>
        <w:t>întrucât porumbul modificat genetic produce toxina Cry1B.34 și este rezistent la erbicidul glufosinat;</w:t>
      </w:r>
    </w:p>
    <w:p w:rsidR="00C6391A" w:rsidRPr="003E19F4" w:rsidRDefault="00C6391A" w:rsidP="00C6391A">
      <w:pPr>
        <w:pStyle w:val="NormalHanging12a"/>
        <w:tabs>
          <w:tab w:val="left" w:pos="0"/>
        </w:tabs>
        <w:suppressAutoHyphens/>
        <w:rPr>
          <w:szCs w:val="24"/>
        </w:rPr>
      </w:pPr>
      <w:r w:rsidRPr="003E19F4">
        <w:t>C.</w:t>
      </w:r>
      <w:r w:rsidRPr="003E19F4">
        <w:tab/>
        <w:t>întrucât glufosinatul este clasificat drept toxic pentru reproducere în categoria 1B și îndeplinește astfel criteriile de excludere prevăzute în Regulamentul (CE) nr. 1107/2009 al Parlamentului European și al Consiliului</w:t>
      </w:r>
      <w:r w:rsidRPr="003E19F4">
        <w:rPr>
          <w:rStyle w:val="FootnoteReference"/>
          <w:szCs w:val="24"/>
        </w:rPr>
        <w:footnoteReference w:id="5"/>
      </w:r>
      <w:r w:rsidRPr="003E19F4">
        <w:t>; întrucât autorizarea utilizării glufosinatului în Uniune a expirat la 31 iulie 2018;</w:t>
      </w:r>
    </w:p>
    <w:p w:rsidR="00C6391A" w:rsidRPr="003E19F4" w:rsidRDefault="00C6391A" w:rsidP="00C6391A">
      <w:pPr>
        <w:pStyle w:val="NormalHanging12a"/>
        <w:tabs>
          <w:tab w:val="left" w:pos="0"/>
        </w:tabs>
        <w:suppressAutoHyphens/>
        <w:rPr>
          <w:szCs w:val="24"/>
        </w:rPr>
      </w:pPr>
      <w:r w:rsidRPr="003E19F4">
        <w:t>D.</w:t>
      </w:r>
      <w:r w:rsidRPr="003E19F4">
        <w:tab/>
        <w:t>întrucât Cry1B.34 este o proteină de fuziune sintetică, care combină Cry1B, Cry1Ca1 și Cry9Db1, concepută pentru a asigura rezistența împotriva insectelor dăunătoare din ordinul lepidopterelor, fără specificitate demonstrată pentru speciile țintă;</w:t>
      </w:r>
    </w:p>
    <w:p w:rsidR="00C6391A" w:rsidRPr="003E19F4" w:rsidRDefault="00C6391A" w:rsidP="00C6391A">
      <w:pPr>
        <w:pStyle w:val="NormalHanging12a"/>
        <w:tabs>
          <w:tab w:val="left" w:pos="0"/>
        </w:tabs>
        <w:suppressAutoHyphens/>
        <w:rPr>
          <w:szCs w:val="24"/>
        </w:rPr>
      </w:pPr>
      <w:r w:rsidRPr="003E19F4">
        <w:t>E.</w:t>
      </w:r>
      <w:r w:rsidRPr="003E19F4">
        <w:tab/>
        <w:t>întrucât modificarea genetică include un proces în două etape, constând în utilizarea CRISPR/Cas9 pentru a introduce o „platformă de aterizare”, urmată de un bombardament cu microproiectile pentru introducerea unei casete de expresie genică;</w:t>
      </w:r>
    </w:p>
    <w:p w:rsidR="00C6391A" w:rsidRPr="003E19F4" w:rsidRDefault="00C6391A" w:rsidP="00C6391A">
      <w:pPr>
        <w:pStyle w:val="NormalHanging12a"/>
        <w:rPr>
          <w:b/>
          <w:i/>
          <w:szCs w:val="24"/>
        </w:rPr>
      </w:pPr>
      <w:r w:rsidRPr="003E19F4">
        <w:rPr>
          <w:b/>
          <w:i/>
        </w:rPr>
        <w:t>Absența evaluării erbicidului complementar</w:t>
      </w:r>
    </w:p>
    <w:p w:rsidR="00C6391A" w:rsidRPr="003E19F4" w:rsidRDefault="00C6391A" w:rsidP="00C6391A">
      <w:pPr>
        <w:pStyle w:val="NormalHanging12a"/>
        <w:tabs>
          <w:tab w:val="left" w:pos="0"/>
        </w:tabs>
        <w:suppressAutoHyphens/>
        <w:rPr>
          <w:szCs w:val="24"/>
        </w:rPr>
      </w:pPr>
      <w:r w:rsidRPr="003E19F4">
        <w:t>F.</w:t>
      </w:r>
      <w:r w:rsidRPr="003E19F4">
        <w:tab/>
        <w:t>întrucât Regulamentul de punere în aplicare (UE) nr. 503/2013 al Comisiei</w:t>
      </w:r>
      <w:r w:rsidRPr="003E19F4">
        <w:rPr>
          <w:rStyle w:val="FootnoteReference"/>
          <w:szCs w:val="24"/>
        </w:rPr>
        <w:footnoteReference w:id="6"/>
      </w:r>
      <w:r w:rsidRPr="003E19F4">
        <w:t xml:space="preserve"> prevede o evaluare a măsurii în care practicile agricole preconizate influențează rezultatele criteriilor studiate; întrucât, în conformitate cu regulamentul de punere în aplicare menționat, acest lucru este deosebit de relevant în cazul plantelor tolerante la erbicide;</w:t>
      </w:r>
    </w:p>
    <w:p w:rsidR="00C6391A" w:rsidRPr="003E19F4" w:rsidRDefault="00C6391A" w:rsidP="00C6391A">
      <w:pPr>
        <w:pStyle w:val="NormalHanging12a"/>
        <w:tabs>
          <w:tab w:val="left" w:pos="0"/>
        </w:tabs>
        <w:suppressAutoHyphens/>
        <w:rPr>
          <w:szCs w:val="24"/>
        </w:rPr>
      </w:pPr>
      <w:r w:rsidRPr="003E19F4">
        <w:t>G.</w:t>
      </w:r>
      <w:r w:rsidRPr="003E19F4">
        <w:tab/>
        <w:t xml:space="preserve">întrucât marea majoritate a culturilor modificate genetic au fost modificate genetic astfel </w:t>
      </w:r>
      <w:r w:rsidRPr="003E19F4">
        <w:lastRenderedPageBreak/>
        <w:t>încât să fie tolerante la unul sau mai multe erbicide „complementare” care pot fi utilizate pe parcursul întregului ciclu de viață al culturii modificate genetic, fără ca aceasta să moară, cum ar fi cazul unei culturi care nu este tolerantă la erbicide; întrucât, potrivit mai multor studii, culturile modificate genetic cu toleranță la erbicide duc la o utilizare mai extinsă a erbicidelor complementare, în mare parte din cauza apariției unor buruieni tolerante la erbicide</w:t>
      </w:r>
      <w:r w:rsidRPr="003E19F4">
        <w:rPr>
          <w:rStyle w:val="FootnoteReference"/>
          <w:szCs w:val="24"/>
        </w:rPr>
        <w:footnoteReference w:id="7"/>
      </w:r>
      <w:r w:rsidRPr="003E19F4">
        <w:t>;</w:t>
      </w:r>
    </w:p>
    <w:p w:rsidR="00C6391A" w:rsidRPr="003E19F4" w:rsidRDefault="00C6391A" w:rsidP="00C6391A">
      <w:pPr>
        <w:pStyle w:val="NormalHanging12a"/>
        <w:tabs>
          <w:tab w:val="left" w:pos="0"/>
        </w:tabs>
        <w:suppressAutoHyphens/>
        <w:rPr>
          <w:szCs w:val="24"/>
        </w:rPr>
      </w:pPr>
      <w:r w:rsidRPr="003E19F4">
        <w:t>H.</w:t>
      </w:r>
      <w:r w:rsidRPr="003E19F4">
        <w:tab/>
        <w:t>întrucât culturile modificate genetic tolerante la erbicide imobilizează agricultorii într-un sistem de gestionare a buruienilor care depinde în mare măsură sau în totalitate de erbicide, deoarece semințele modificate genetic au un preț mai mare, care poate fi justificat doar dacă agricultorii care cumpără aceste semințe recurg și la pulverizarea erbicidelor complementare; întrucât dependența sporită de erbicidele complementare în fermele care plantează culturi modificate genetic accelerează apariția și răspândirea unor buruieni rezistente la erbicidele respective, determinând astfel creșterea nevoii utilizării lor, un cerc vicios cunoscut sub numele de „spirala erbicidelor”;</w:t>
      </w:r>
    </w:p>
    <w:p w:rsidR="00C6391A" w:rsidRPr="003E19F4" w:rsidRDefault="00C6391A" w:rsidP="00C6391A">
      <w:pPr>
        <w:pStyle w:val="NormalHanging12a"/>
        <w:tabs>
          <w:tab w:val="left" w:pos="0"/>
        </w:tabs>
        <w:suppressAutoHyphens/>
        <w:rPr>
          <w:szCs w:val="24"/>
        </w:rPr>
      </w:pPr>
      <w:r w:rsidRPr="003E19F4">
        <w:t>I.</w:t>
      </w:r>
      <w:r w:rsidRPr="003E19F4">
        <w:tab/>
        <w:t>întrucât efectele dăunătoare ale dependenței excesive de erbicide asupra sănătății solului, calității apei și biodiversității din sol și de deasupra solului se vor agrava și vor amplifica expunerea oamenilor și a animalelor, eventual și prin creșterea cantității de reziduuri de erbicide în alimente și furaje;</w:t>
      </w:r>
    </w:p>
    <w:p w:rsidR="00C6391A" w:rsidRPr="003E19F4" w:rsidRDefault="00C6391A" w:rsidP="00C6391A">
      <w:pPr>
        <w:pStyle w:val="NormalHanging12a"/>
        <w:tabs>
          <w:tab w:val="left" w:pos="0"/>
        </w:tabs>
        <w:suppressAutoHyphens/>
        <w:rPr>
          <w:szCs w:val="24"/>
        </w:rPr>
      </w:pPr>
      <w:r w:rsidRPr="003E19F4">
        <w:t>J.</w:t>
      </w:r>
      <w:r w:rsidRPr="003E19F4">
        <w:tab/>
        <w:t>întrucât se consideră că evaluarea reziduurilor de erbicide și a metaboliților acestora prezenți în plantele modificate genetic nu intră în sfera de competență a Grupului EFSA pentru organisme modificate genetic (Grupul EFSA pentru OMG) și, prin urmare, nu este efectuată în cadrul procesului de autorizare a organismelor modificate genetic;</w:t>
      </w:r>
    </w:p>
    <w:p w:rsidR="00C6391A" w:rsidRPr="003E19F4" w:rsidRDefault="00C6391A" w:rsidP="00C6391A">
      <w:pPr>
        <w:pStyle w:val="NormalHanging12a"/>
        <w:rPr>
          <w:b/>
          <w:i/>
          <w:szCs w:val="24"/>
        </w:rPr>
      </w:pPr>
      <w:r w:rsidRPr="003E19F4">
        <w:rPr>
          <w:b/>
          <w:i/>
        </w:rPr>
        <w:t>Chestiuni nesoluționate privind toxinele Bt</w:t>
      </w:r>
    </w:p>
    <w:p w:rsidR="00C6391A" w:rsidRPr="003E19F4" w:rsidRDefault="00C6391A" w:rsidP="00C6391A">
      <w:pPr>
        <w:pStyle w:val="NormalHanging12a"/>
        <w:tabs>
          <w:tab w:val="left" w:pos="0"/>
        </w:tabs>
        <w:suppressAutoHyphens/>
        <w:rPr>
          <w:szCs w:val="24"/>
        </w:rPr>
      </w:pPr>
      <w:r w:rsidRPr="003E19F4">
        <w:t>K.</w:t>
      </w:r>
      <w:r w:rsidRPr="003E19F4">
        <w:tab/>
        <w:t>întrucât mai multe studii arată că au fost observate efecte secundare care pot afecta sistemul imunitar după expunerea la toxinele Bt și că anumite toxine Bt pot avea proprietăți adjuvante</w:t>
      </w:r>
      <w:r w:rsidRPr="003E19F4">
        <w:rPr>
          <w:rStyle w:val="FootnoteReference"/>
          <w:szCs w:val="24"/>
        </w:rPr>
        <w:footnoteReference w:id="8"/>
      </w:r>
      <w:r w:rsidRPr="003E19F4">
        <w:t>, ceea ce înseamnă că pot să amplifice caracterul alergen al altor proteine cu care intră în contact;</w:t>
      </w:r>
    </w:p>
    <w:p w:rsidR="00C6391A" w:rsidRPr="003E19F4" w:rsidRDefault="00C6391A" w:rsidP="00C6391A">
      <w:pPr>
        <w:pStyle w:val="NormalHanging12a"/>
        <w:tabs>
          <w:tab w:val="left" w:pos="0"/>
        </w:tabs>
        <w:suppressAutoHyphens/>
        <w:rPr>
          <w:szCs w:val="24"/>
        </w:rPr>
      </w:pPr>
      <w:r w:rsidRPr="003E19F4">
        <w:t>L.</w:t>
      </w:r>
      <w:r w:rsidRPr="003E19F4">
        <w:tab/>
        <w:t xml:space="preserve">întrucât un studiu științific a constatat că toxicitatea toxinelor Bt poate fi amplificată și prin interacțiunea cu reziduurile rezultate în urma pulverizării cu erbicide și întrucât este nevoie de mai multe studii despre efectele combinatorii ale evenimentelor „cu acumulare de gene” (culturi modificate genetic pentru a fi tolerante la erbicide și a </w:t>
      </w:r>
      <w:r w:rsidRPr="003E19F4">
        <w:lastRenderedPageBreak/>
        <w:t>produce insecticide sub formă de toxine Bt)</w:t>
      </w:r>
      <w:r w:rsidRPr="003E19F4">
        <w:rPr>
          <w:rStyle w:val="FootnoteReference"/>
          <w:szCs w:val="24"/>
        </w:rPr>
        <w:footnoteReference w:id="9"/>
      </w:r>
      <w:r w:rsidRPr="003E19F4">
        <w:t>; întrucât se consideră că evaluarea posibilelor interacțiuni ale reziduurilor de erbicide și ale metaboliților lor cu toxinele Bt nu intră în sfera de competență a Grupului EFSA pentru OMG și, prin urmare, nu este efectuată în cadrul evaluării riscurilor;</w:t>
      </w:r>
    </w:p>
    <w:p w:rsidR="00C6391A" w:rsidRPr="003E19F4" w:rsidRDefault="00C6391A" w:rsidP="00C6391A">
      <w:pPr>
        <w:pStyle w:val="NormalHanging12a"/>
        <w:rPr>
          <w:b/>
          <w:i/>
          <w:szCs w:val="24"/>
        </w:rPr>
      </w:pPr>
      <w:r w:rsidRPr="003E19F4">
        <w:rPr>
          <w:b/>
          <w:i/>
        </w:rPr>
        <w:t>Culturile Bt: efecte asupra organismelor nevizate</w:t>
      </w:r>
    </w:p>
    <w:p w:rsidR="00C6391A" w:rsidRPr="003E19F4" w:rsidRDefault="00C6391A" w:rsidP="00C6391A">
      <w:pPr>
        <w:pStyle w:val="NormalHanging12a"/>
        <w:tabs>
          <w:tab w:val="left" w:pos="0"/>
        </w:tabs>
        <w:suppressAutoHyphens/>
        <w:rPr>
          <w:szCs w:val="24"/>
        </w:rPr>
      </w:pPr>
      <w:r w:rsidRPr="003E19F4">
        <w:t>M.</w:t>
      </w:r>
      <w:r w:rsidRPr="003E19F4">
        <w:tab/>
        <w:t>întrucât, spre deosebire de utilizarea insecticidelor, unde expunerea are loc în momentul pulverizării și, ulterior, pentru o perioadă limitată, utilizarea culturilor modificate genetic Bt conduce la expunerea continuă a organismelor vizate și a celor nevizate la toxinele Bt;</w:t>
      </w:r>
    </w:p>
    <w:p w:rsidR="00C6391A" w:rsidRPr="003E19F4" w:rsidRDefault="00C6391A" w:rsidP="00C6391A">
      <w:pPr>
        <w:pStyle w:val="NormalHanging12a"/>
        <w:tabs>
          <w:tab w:val="left" w:pos="0"/>
        </w:tabs>
        <w:suppressAutoHyphens/>
        <w:rPr>
          <w:szCs w:val="24"/>
        </w:rPr>
      </w:pPr>
      <w:r w:rsidRPr="003E19F4">
        <w:t>N.</w:t>
      </w:r>
      <w:r w:rsidRPr="003E19F4">
        <w:tab/>
        <w:t>întrucât ipoteza că toxinele Bt prezintă un singur model de acțiune specific țintei nu mai poate fi considerată corectă, iar efectele asupra organismelor nevizate nu pot fi excluse; întrucât se semnalează faptul că din ce în ce mai multe organisme nevizate sunt afectate în numeroase moduri;</w:t>
      </w:r>
    </w:p>
    <w:p w:rsidR="00C6391A" w:rsidRPr="003E19F4" w:rsidRDefault="00C6391A" w:rsidP="00C6391A">
      <w:pPr>
        <w:pStyle w:val="NormalHanging12a"/>
        <w:rPr>
          <w:b/>
          <w:i/>
          <w:szCs w:val="24"/>
        </w:rPr>
      </w:pPr>
      <w:r w:rsidRPr="003E19F4">
        <w:rPr>
          <w:b/>
          <w:i/>
        </w:rPr>
        <w:t>Observațiile statelor membre și ale părților interesate</w:t>
      </w:r>
    </w:p>
    <w:p w:rsidR="00C6391A" w:rsidRPr="003E19F4" w:rsidRDefault="00C6391A" w:rsidP="00C6391A">
      <w:pPr>
        <w:pStyle w:val="NormalHanging12a"/>
        <w:tabs>
          <w:tab w:val="left" w:pos="0"/>
        </w:tabs>
        <w:suppressAutoHyphens/>
        <w:rPr>
          <w:szCs w:val="24"/>
        </w:rPr>
      </w:pPr>
      <w:r w:rsidRPr="003E19F4">
        <w:t>O.</w:t>
      </w:r>
      <w:r w:rsidRPr="003E19F4">
        <w:tab/>
        <w:t>întrucât statele membre au trimis EFSA numeroase observații critice în timpul perioadei de consultare de trei luni</w:t>
      </w:r>
      <w:r w:rsidRPr="003E19F4">
        <w:rPr>
          <w:rStyle w:val="FootnoteReference"/>
          <w:szCs w:val="24"/>
        </w:rPr>
        <w:footnoteReference w:id="10"/>
      </w:r>
      <w:r w:rsidRPr="003E19F4">
        <w:t xml:space="preserve">, inclusiv că lista studiilor relevante, identificate în recenzia datelor din literatura de specialitate efectuată de solicitant, nu includea studii privind evoluția proteinelor Bt în mediu sau privind potențialele efecte ale reziduurilor de culturi Bt asupra organismelor nevizate, în ciuda faptului că există astfel de studii; </w:t>
      </w:r>
    </w:p>
    <w:p w:rsidR="00C6391A" w:rsidRPr="003E19F4" w:rsidRDefault="00C6391A" w:rsidP="00C6391A">
      <w:pPr>
        <w:pStyle w:val="NormalHanging12a"/>
        <w:tabs>
          <w:tab w:val="left" w:pos="0"/>
        </w:tabs>
        <w:suppressAutoHyphens/>
        <w:rPr>
          <w:szCs w:val="24"/>
        </w:rPr>
      </w:pPr>
      <w:bookmarkStart w:id="8" w:name="_GoBack_Copy_1"/>
      <w:bookmarkEnd w:id="8"/>
      <w:r w:rsidRPr="003E19F4">
        <w:t>P.</w:t>
      </w:r>
      <w:r w:rsidRPr="003E19F4">
        <w:tab/>
        <w:t>întrucât studiile efectuate pe teren pentru analiza compoziției și a fenotipului porumbului modificat genetic nu au luat în considerare diversele condiții de mediu și contextele genotipice relevante pentru cultivarea sa, în special în țări precum Brazilia;</w:t>
      </w:r>
    </w:p>
    <w:p w:rsidR="00C6391A" w:rsidRPr="003E19F4" w:rsidRDefault="00C6391A" w:rsidP="00C6391A">
      <w:pPr>
        <w:pStyle w:val="NormalHanging12a"/>
        <w:tabs>
          <w:tab w:val="left" w:pos="0"/>
        </w:tabs>
        <w:suppressAutoHyphens/>
        <w:rPr>
          <w:szCs w:val="24"/>
        </w:rPr>
      </w:pPr>
      <w:r w:rsidRPr="003E19F4">
        <w:t>Q.</w:t>
      </w:r>
      <w:r w:rsidRPr="003E19F4">
        <w:tab/>
        <w:t>întrucât evaluarea toxicității Cry1B.34 nu ia în considerare efectele combinatorii cu constituenți ai plantelor sau cu reziduuri rezultate în urma aplicării de erbicide;</w:t>
      </w:r>
    </w:p>
    <w:p w:rsidR="00C6391A" w:rsidRPr="003E19F4" w:rsidRDefault="00C6391A" w:rsidP="00C6391A">
      <w:pPr>
        <w:pStyle w:val="NormalHanging12a"/>
        <w:tabs>
          <w:tab w:val="left" w:pos="0"/>
        </w:tabs>
        <w:suppressAutoHyphens/>
        <w:rPr>
          <w:szCs w:val="24"/>
        </w:rPr>
      </w:pPr>
      <w:r w:rsidRPr="003E19F4">
        <w:t>R.</w:t>
      </w:r>
      <w:r w:rsidRPr="003E19F4">
        <w:tab/>
        <w:t>întrucât glufosinatul, erbicidul complementar, este asociat cu riscuri semnificative pentru biodiversitate, pentru calitatea solului și a apei și pentru sănătatea ecosistemelor pe termen lung;</w:t>
      </w:r>
    </w:p>
    <w:p w:rsidR="00C6391A" w:rsidRPr="003E19F4" w:rsidRDefault="00C6391A" w:rsidP="00C6391A">
      <w:pPr>
        <w:pStyle w:val="NormalHanging12a"/>
        <w:tabs>
          <w:tab w:val="left" w:pos="0"/>
        </w:tabs>
        <w:suppressAutoHyphens/>
        <w:rPr>
          <w:szCs w:val="24"/>
        </w:rPr>
      </w:pPr>
      <w:r w:rsidRPr="003E19F4">
        <w:t>S.</w:t>
      </w:r>
      <w:r w:rsidRPr="003E19F4">
        <w:tab/>
        <w:t>întrucât riscul fluxului genetic către plante înrudite sălbatice, cum ar fi teosintul, raportat în Spania și Franța, ridică semne de întrebare cu privire la persistența transgenelor și la efectele asupra mediului;</w:t>
      </w:r>
    </w:p>
    <w:p w:rsidR="00C6391A" w:rsidRPr="003E19F4" w:rsidRDefault="00C6391A" w:rsidP="00C6391A">
      <w:pPr>
        <w:pStyle w:val="NormalHanging12a"/>
        <w:tabs>
          <w:tab w:val="left" w:pos="0"/>
        </w:tabs>
        <w:suppressAutoHyphens/>
        <w:rPr>
          <w:szCs w:val="24"/>
        </w:rPr>
      </w:pPr>
      <w:r w:rsidRPr="003E19F4">
        <w:t>T.</w:t>
      </w:r>
      <w:r w:rsidRPr="003E19F4">
        <w:tab/>
        <w:t>întrucât cerințele de monitorizare prevăzute în Regulamentul de punere în aplicare (UE) nr. 503/2013 al Comisiei sunt abordate în mod inadecvat, fără verificarea independentă a datelor furnizate;</w:t>
      </w:r>
    </w:p>
    <w:p w:rsidR="00C6391A" w:rsidRPr="003E19F4" w:rsidRDefault="00C6391A" w:rsidP="00C6391A">
      <w:pPr>
        <w:pStyle w:val="NormalHanging12a"/>
        <w:rPr>
          <w:b/>
          <w:i/>
          <w:szCs w:val="24"/>
        </w:rPr>
      </w:pPr>
      <w:r w:rsidRPr="003E19F4">
        <w:rPr>
          <w:b/>
          <w:i/>
        </w:rPr>
        <w:t xml:space="preserve">Asigurarea unor condiții de concurență echitabile la nivel mondial și respectarea </w:t>
      </w:r>
      <w:r w:rsidRPr="003E19F4">
        <w:rPr>
          <w:b/>
          <w:i/>
        </w:rPr>
        <w:lastRenderedPageBreak/>
        <w:t>obligațiilor internaționale ale Uniunii</w:t>
      </w:r>
    </w:p>
    <w:p w:rsidR="00C6391A" w:rsidRPr="003E19F4" w:rsidRDefault="00C6391A" w:rsidP="00C6391A">
      <w:pPr>
        <w:pStyle w:val="NormalHanging12a"/>
        <w:tabs>
          <w:tab w:val="left" w:pos="0"/>
        </w:tabs>
        <w:suppressAutoHyphens/>
        <w:rPr>
          <w:szCs w:val="24"/>
        </w:rPr>
      </w:pPr>
      <w:r w:rsidRPr="003E19F4">
        <w:t>U.</w:t>
      </w:r>
      <w:r w:rsidRPr="003E19F4">
        <w:tab/>
        <w:t>întrucât în concluziile dialogului strategic privind viitorul agriculturii UE</w:t>
      </w:r>
      <w:r w:rsidRPr="003E19F4">
        <w:rPr>
          <w:vertAlign w:val="superscript"/>
        </w:rPr>
        <w:footnoteReference w:id="11"/>
      </w:r>
      <w:r w:rsidRPr="003E19F4">
        <w:t>, Comisia este invitată să își reevalueze abordarea privind accesul pe piață pentru importurile și exporturile agroalimentare, dată fiind problema standardelor divergente ale Uniunii și ale partenerilor săi comerciali; întrucât relațiile comerciale mai echitabile, la nivel mondial, coerente cu obiectivele pentru un mediu sănătos, au fost una dintre principalele solicitări ale fermierilor în timpul demonstrațiilor din 2023 și 2024;</w:t>
      </w:r>
    </w:p>
    <w:p w:rsidR="00C6391A" w:rsidRPr="003E19F4" w:rsidRDefault="00C6391A" w:rsidP="00C6391A">
      <w:pPr>
        <w:pStyle w:val="NormalHanging12a"/>
        <w:tabs>
          <w:tab w:val="left" w:pos="0"/>
        </w:tabs>
        <w:suppressAutoHyphens/>
        <w:rPr>
          <w:szCs w:val="24"/>
        </w:rPr>
      </w:pPr>
      <w:r w:rsidRPr="003E19F4">
        <w:t>V.</w:t>
      </w:r>
      <w:r w:rsidRPr="003E19F4">
        <w:tab/>
        <w:t>întrucât într-un raport din 2017 al Raportorului special al ONU privind dreptul la alimentație se afirmă că, în special în țările în curs de dezvoltare, pesticidele periculoase au un impact dezastruos asupra sănătății</w:t>
      </w:r>
      <w:r w:rsidRPr="003E19F4">
        <w:rPr>
          <w:vertAlign w:val="superscript"/>
        </w:rPr>
        <w:footnoteReference w:id="12"/>
      </w:r>
      <w:r w:rsidRPr="003E19F4">
        <w:t>; întrucât Obiectivul de dezvoltare durabilă 3.9 al ONU (ODD al ONU) își propune să reducă simțitor, până în 2030, numărul deceselor și bolilor provocate de produsele chimice periculoase și de poluarea și contaminarea aerului, apei și solului</w:t>
      </w:r>
      <w:r w:rsidRPr="003E19F4">
        <w:rPr>
          <w:rStyle w:val="FootnoteReference"/>
          <w:szCs w:val="24"/>
        </w:rPr>
        <w:footnoteReference w:id="13"/>
      </w:r>
      <w:r w:rsidRPr="003E19F4">
        <w:t>;</w:t>
      </w:r>
    </w:p>
    <w:p w:rsidR="00AB41B3" w:rsidRPr="003E19F4" w:rsidRDefault="00C6391A" w:rsidP="00AB41B3">
      <w:pPr>
        <w:pStyle w:val="NormalHanging12a"/>
        <w:tabs>
          <w:tab w:val="left" w:pos="0"/>
        </w:tabs>
        <w:suppressAutoHyphens/>
      </w:pPr>
      <w:r w:rsidRPr="003E19F4">
        <w:t>W.</w:t>
      </w:r>
      <w:r w:rsidRPr="003E19F4">
        <w:tab/>
      </w:r>
      <w:r w:rsidR="00AB41B3" w:rsidRPr="003E19F4">
        <w:t>întrucât acordul comercial dintre UE și Mercosur va stimula importurile în Uniune de alimente și furaje care conțin, constau în sau sunt produse din organisme modificate genetic</w:t>
      </w:r>
      <w:r w:rsidR="00175745" w:rsidRPr="003E19F4">
        <w:t>;</w:t>
      </w:r>
      <w:r w:rsidR="00AB41B3" w:rsidRPr="003E19F4">
        <w:t xml:space="preserve"> întrucât Brazilia și Argentina se numără printre principalii producători și utilizatori de OMG-uri din lume, inclusiv OMG-uri și pesticide interzise în Uniune din motive de sănătate sau de mediu;</w:t>
      </w:r>
    </w:p>
    <w:p w:rsidR="00C6391A" w:rsidRPr="003E19F4" w:rsidRDefault="00AB41B3" w:rsidP="00C6391A">
      <w:pPr>
        <w:pStyle w:val="NormalHanging12a"/>
        <w:tabs>
          <w:tab w:val="left" w:pos="0"/>
        </w:tabs>
        <w:suppressAutoHyphens/>
        <w:rPr>
          <w:szCs w:val="24"/>
        </w:rPr>
      </w:pPr>
      <w:r w:rsidRPr="003E19F4">
        <w:t xml:space="preserve">X. </w:t>
      </w:r>
      <w:r w:rsidRPr="003E19F4">
        <w:tab/>
      </w:r>
      <w:r w:rsidR="00C6391A" w:rsidRPr="003E19F4">
        <w:t>întrucât Cadrul mondial pentru biodiversitate de la Kunming-Montreal, convenit la reuniunea COP15 a părților la Convenția ONU privind diversitatea biologică (CBD a ONU) din decembrie 2022, include un obiectiv global de reducere a riscului asociat pesticidelor cu cel puțin 50 % până în 2030</w:t>
      </w:r>
      <w:r w:rsidR="00C6391A" w:rsidRPr="003E19F4">
        <w:rPr>
          <w:vertAlign w:val="superscript"/>
        </w:rPr>
        <w:footnoteReference w:id="14"/>
      </w:r>
      <w:r w:rsidR="00C6391A" w:rsidRPr="003E19F4">
        <w:t>;</w:t>
      </w:r>
    </w:p>
    <w:p w:rsidR="00C6391A" w:rsidRPr="003E19F4" w:rsidRDefault="00AB41B3" w:rsidP="00C6391A">
      <w:pPr>
        <w:pStyle w:val="NormalHanging12a"/>
        <w:tabs>
          <w:tab w:val="left" w:pos="0"/>
        </w:tabs>
        <w:suppressAutoHyphens/>
        <w:rPr>
          <w:szCs w:val="24"/>
        </w:rPr>
      </w:pPr>
      <w:r w:rsidRPr="003E19F4">
        <w:t>Y</w:t>
      </w:r>
      <w:r w:rsidR="00C6391A" w:rsidRPr="003E19F4">
        <w:t>.</w:t>
      </w:r>
      <w:r w:rsidR="00C6391A" w:rsidRPr="003E19F4">
        <w:tab/>
        <w:t>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astfel de factori legitimi ar trebui să includă obligațiile Uniunii în temeiul ODD ale ONU și al CBD a ONU;</w:t>
      </w:r>
    </w:p>
    <w:p w:rsidR="00C6391A" w:rsidRPr="003E19F4" w:rsidRDefault="00C6391A" w:rsidP="00C6391A">
      <w:pPr>
        <w:pStyle w:val="NormalHanging12a"/>
        <w:rPr>
          <w:b/>
          <w:i/>
          <w:szCs w:val="24"/>
        </w:rPr>
      </w:pPr>
      <w:r w:rsidRPr="003E19F4">
        <w:rPr>
          <w:b/>
          <w:i/>
        </w:rPr>
        <w:t>Reducerea dependenței de furajele importate</w:t>
      </w:r>
    </w:p>
    <w:p w:rsidR="00C6391A" w:rsidRPr="003E19F4" w:rsidRDefault="00175745" w:rsidP="00C6391A">
      <w:pPr>
        <w:pStyle w:val="NormalHanging12a"/>
        <w:tabs>
          <w:tab w:val="left" w:pos="0"/>
        </w:tabs>
        <w:suppressAutoHyphens/>
        <w:rPr>
          <w:b/>
          <w:i/>
          <w:szCs w:val="24"/>
        </w:rPr>
      </w:pPr>
      <w:r w:rsidRPr="003E19F4">
        <w:t>Z</w:t>
      </w:r>
      <w:r w:rsidR="00C6391A" w:rsidRPr="003E19F4">
        <w:t>.</w:t>
      </w:r>
      <w:r w:rsidR="00C6391A" w:rsidRPr="003E19F4">
        <w:tab/>
        <w:t>întrucât una dintre lecțiile învățate în urma crizei provocate de pandemia de COVID-19 și a războiului în curs din Ucraina a fost că Uniunea trebuie să pună capăt dependenței de unele materii critice; întrucât, în scrisoarea de misiune adresată comisarului desemnat Christophe Hansen, Președinta Comisiei, Ursula von der Leyen, îi solicită acestuia să analizeze cum pot fi reduse importurile de produse critice</w:t>
      </w:r>
      <w:r w:rsidR="00C6391A" w:rsidRPr="003E19F4">
        <w:rPr>
          <w:rStyle w:val="FootnoteReference"/>
          <w:szCs w:val="24"/>
        </w:rPr>
        <w:footnoteReference w:id="15"/>
      </w:r>
      <w:r w:rsidR="00C6391A" w:rsidRPr="003E19F4">
        <w:t xml:space="preserve">; </w:t>
      </w:r>
    </w:p>
    <w:p w:rsidR="00C6391A" w:rsidRPr="003E19F4" w:rsidRDefault="00C6391A" w:rsidP="00C6391A">
      <w:pPr>
        <w:pStyle w:val="NormalHanging12a"/>
        <w:rPr>
          <w:b/>
          <w:i/>
          <w:szCs w:val="24"/>
        </w:rPr>
      </w:pPr>
      <w:r w:rsidRPr="003E19F4">
        <w:rPr>
          <w:b/>
          <w:i/>
        </w:rPr>
        <w:lastRenderedPageBreak/>
        <w:t>Un proces decizional nedemocratic</w:t>
      </w:r>
    </w:p>
    <w:p w:rsidR="00C6391A" w:rsidRPr="003E19F4" w:rsidRDefault="00175745" w:rsidP="00C6391A">
      <w:pPr>
        <w:pStyle w:val="NormalHanging12a"/>
        <w:tabs>
          <w:tab w:val="left" w:pos="0"/>
        </w:tabs>
        <w:suppressAutoHyphens/>
        <w:rPr>
          <w:szCs w:val="24"/>
        </w:rPr>
      </w:pPr>
      <w:r w:rsidRPr="003E19F4">
        <w:t>AA</w:t>
      </w:r>
      <w:r w:rsidR="00C6391A" w:rsidRPr="003E19F4">
        <w:t>.</w:t>
      </w:r>
      <w:r w:rsidR="00C6391A" w:rsidRPr="003E19F4">
        <w:tab/>
        <w:t>întrucât, în cea de a opta legislatură, Parlamentul a adoptat în total 36 de rezoluții prin care se opune introducerii pe piață a unor OMG-uri pentru alimente și furaje (33 de rezoluții) și cultivării de OMG-uri în Uniune (3 rezoluții); întrucât, în cea de a noua legislatură, Parlamentul a adoptat 38 de rezoluții prin care se opune introducerii de OMG-uri pe piață și, deja, în cea de a zecea legislatură, aflată în curs, a adoptat încă 8 rezoluții prin care se opune introducerii de OMG-uri pe piață;</w:t>
      </w:r>
    </w:p>
    <w:p w:rsidR="00C6391A" w:rsidRPr="003E19F4" w:rsidRDefault="00175745" w:rsidP="00C6391A">
      <w:pPr>
        <w:pStyle w:val="NormalHanging12a"/>
        <w:tabs>
          <w:tab w:val="left" w:pos="0"/>
        </w:tabs>
        <w:suppressAutoHyphens/>
        <w:rPr>
          <w:szCs w:val="24"/>
        </w:rPr>
      </w:pPr>
      <w:r w:rsidRPr="003E19F4">
        <w:t>AB</w:t>
      </w:r>
      <w:r w:rsidR="00C6391A" w:rsidRPr="003E19F4">
        <w:t>.</w:t>
      </w:r>
      <w:r w:rsidR="00C6391A" w:rsidRPr="003E19F4">
        <w:tab/>
        <w:t>întrucât, deși ea însăși recunoaște deficitul democratic, lipsa de susținere din partea statelor membre și obiecțiile Parlamentului, Comisia continuă să autorizeze OMG-uri;</w:t>
      </w:r>
    </w:p>
    <w:p w:rsidR="00C6391A" w:rsidRPr="003E19F4" w:rsidRDefault="00175745" w:rsidP="00C6391A">
      <w:pPr>
        <w:pStyle w:val="NormalHanging12a"/>
        <w:tabs>
          <w:tab w:val="left" w:pos="0"/>
        </w:tabs>
        <w:suppressAutoHyphens/>
        <w:rPr>
          <w:szCs w:val="24"/>
        </w:rPr>
      </w:pPr>
      <w:r w:rsidRPr="003E19F4">
        <w:t>AC</w:t>
      </w:r>
      <w:r w:rsidR="00C6391A" w:rsidRPr="003E19F4">
        <w:t>.</w:t>
      </w:r>
      <w:r w:rsidR="00C6391A" w:rsidRPr="003E19F4">
        <w:tab/>
        <w:t>întrucât nu este necesar să se modifice legislația pentru a permite Comisiei să refuze autorizarea de OMG-uri atunci când nu există o majoritate calificată a statelor membre în Comitetul de apel care să susțină o decizie favorabilă</w:t>
      </w:r>
      <w:r w:rsidR="00C6391A" w:rsidRPr="003E19F4">
        <w:rPr>
          <w:rStyle w:val="FootnoteReference"/>
          <w:szCs w:val="24"/>
        </w:rPr>
        <w:footnoteReference w:id="16"/>
      </w:r>
      <w:r w:rsidR="00C6391A" w:rsidRPr="003E19F4">
        <w:t>;</w:t>
      </w:r>
    </w:p>
    <w:p w:rsidR="00C6391A" w:rsidRPr="003E19F4" w:rsidRDefault="00175745" w:rsidP="00C6391A">
      <w:pPr>
        <w:suppressAutoHyphens/>
        <w:spacing w:after="240"/>
        <w:ind w:left="567" w:hanging="567"/>
        <w:rPr>
          <w:szCs w:val="24"/>
          <w:shd w:val="clear" w:color="auto" w:fill="FFFFFF"/>
        </w:rPr>
      </w:pPr>
      <w:r w:rsidRPr="003E19F4">
        <w:t>AD</w:t>
      </w:r>
      <w:r w:rsidR="00C6391A" w:rsidRPr="003E19F4">
        <w:t>.</w:t>
      </w:r>
      <w:r w:rsidR="00C6391A" w:rsidRPr="003E19F4">
        <w:tab/>
      </w:r>
      <w:r w:rsidR="00C6391A" w:rsidRPr="003E19F4">
        <w:rPr>
          <w:shd w:val="clear" w:color="auto" w:fill="FFFFFF"/>
        </w:rPr>
        <w:t>întrucât, în urma votului din 22 noiembrie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Comitetul de apel nu a emis un aviz în urma votului din 17 decembrie 2024,</w:t>
      </w:r>
    </w:p>
    <w:p w:rsidR="00C6391A" w:rsidRPr="003E19F4" w:rsidRDefault="00C6391A" w:rsidP="00C6391A">
      <w:pPr>
        <w:pStyle w:val="NormalHanging12a"/>
        <w:rPr>
          <w:szCs w:val="24"/>
        </w:rPr>
      </w:pPr>
      <w:r w:rsidRPr="003E19F4">
        <w:t>1.</w:t>
      </w:r>
      <w:r w:rsidRPr="003E19F4">
        <w:tab/>
        <w:t>consideră că proiectul de decizie de punere în aplicare a Comisiei depășește competențele de executare prevăzute în Regulamentul (CE) nr. 1829/2003;</w:t>
      </w:r>
    </w:p>
    <w:p w:rsidR="00C6391A" w:rsidRPr="003E19F4" w:rsidRDefault="00C6391A" w:rsidP="00C6391A">
      <w:pPr>
        <w:pStyle w:val="NormalHanging12a"/>
        <w:rPr>
          <w:szCs w:val="24"/>
        </w:rPr>
      </w:pPr>
      <w:r w:rsidRPr="003E19F4">
        <w:t>2.</w:t>
      </w:r>
      <w:r w:rsidRPr="003E19F4">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3E19F4">
        <w:rPr>
          <w:rStyle w:val="FootnoteReference"/>
          <w:szCs w:val="24"/>
        </w:rPr>
        <w:footnoteReference w:id="17"/>
      </w:r>
      <w:r w:rsidRPr="003E19F4">
        <w:t>,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rsidR="00C6391A" w:rsidRPr="003E19F4" w:rsidRDefault="00C6391A" w:rsidP="00C6391A">
      <w:pPr>
        <w:pStyle w:val="NormalHanging12a"/>
        <w:rPr>
          <w:szCs w:val="24"/>
        </w:rPr>
      </w:pPr>
      <w:r w:rsidRPr="003E19F4">
        <w:t>3.</w:t>
      </w:r>
      <w:r w:rsidRPr="003E19F4">
        <w:tab/>
        <w:t>solicită Comisiei să își retragă proiectul de decizie de punere în aplicare și să prezinte comitetului un nou proiect;</w:t>
      </w:r>
    </w:p>
    <w:p w:rsidR="00C6391A" w:rsidRPr="003E19F4" w:rsidRDefault="00C6391A" w:rsidP="00C6391A">
      <w:pPr>
        <w:pStyle w:val="NormalHanging12a"/>
        <w:rPr>
          <w:szCs w:val="24"/>
        </w:rPr>
      </w:pPr>
      <w:r w:rsidRPr="003E19F4">
        <w:t>4.</w:t>
      </w:r>
      <w:r w:rsidRPr="003E19F4">
        <w:tab/>
        <w:t>invită Comisia să asigure convergența dintre standardele Uniunii și cele ale partenerilor săi în cadrul negocierilor privind acordurile de liber schimb, pentru a se respecta standardele de siguranță ale Uniunii;</w:t>
      </w:r>
    </w:p>
    <w:p w:rsidR="00C6391A" w:rsidRPr="003E19F4" w:rsidRDefault="00C6391A" w:rsidP="00C6391A">
      <w:pPr>
        <w:pStyle w:val="NormalHanging12a"/>
        <w:rPr>
          <w:szCs w:val="24"/>
        </w:rPr>
      </w:pPr>
      <w:r w:rsidRPr="003E19F4">
        <w:t>5.</w:t>
      </w:r>
      <w:r w:rsidRPr="003E19F4">
        <w:tab/>
        <w:t xml:space="preserve">invită Comisia să nu autorizeze porumbul modificat genetic din cauza riscurilor crescute pentru biodiversitate, siguranța alimentară și sănătatea lucrătorilor, în conformitate cu </w:t>
      </w:r>
      <w:r w:rsidRPr="003E19F4">
        <w:lastRenderedPageBreak/>
        <w:t>abordarea de tip „O singură sănătate”;</w:t>
      </w:r>
    </w:p>
    <w:p w:rsidR="00C6391A" w:rsidRPr="003E19F4" w:rsidRDefault="00C6391A" w:rsidP="00C6391A">
      <w:pPr>
        <w:pStyle w:val="NormalHanging12a"/>
        <w:rPr>
          <w:szCs w:val="24"/>
        </w:rPr>
      </w:pPr>
      <w:r w:rsidRPr="003E19F4">
        <w:t>6.</w:t>
      </w:r>
      <w:r w:rsidRPr="003E19F4">
        <w:tab/>
        <w:t>așteaptă din partea Comisiei să își îndeplinească de urgență angajamentul</w:t>
      </w:r>
      <w:r w:rsidRPr="003E19F4">
        <w:rPr>
          <w:rStyle w:val="FootnoteReference"/>
          <w:szCs w:val="24"/>
        </w:rPr>
        <w:footnoteReference w:id="18"/>
      </w:r>
      <w:r w:rsidRPr="003E19F4">
        <w:t xml:space="preserve"> de a prezenta o propunere care să garanteze că substanțele chimice periculoase interzise în Uniune nu sunt produse pentru export;</w:t>
      </w:r>
    </w:p>
    <w:p w:rsidR="00C6391A" w:rsidRPr="003E19F4" w:rsidRDefault="00C6391A" w:rsidP="00C6391A">
      <w:pPr>
        <w:pStyle w:val="NormalHanging12a"/>
        <w:rPr>
          <w:szCs w:val="24"/>
        </w:rPr>
      </w:pPr>
      <w:r w:rsidRPr="003E19F4">
        <w:t>7.</w:t>
      </w:r>
      <w:r w:rsidRPr="003E19F4">
        <w:tab/>
        <w:t>salută faptul că Comisia a recunoscut în sfârșit, în scrisoarea din 11 septembrie 2020 adresată deputaților, necesitatea de a ține seama de sustenabilitate în deciziile de autorizare a OMG-urilor</w:t>
      </w:r>
      <w:r w:rsidRPr="003E19F4">
        <w:rPr>
          <w:rStyle w:val="FootnoteReference"/>
          <w:szCs w:val="24"/>
        </w:rPr>
        <w:footnoteReference w:id="19"/>
      </w:r>
      <w:r w:rsidRPr="003E19F4">
        <w:t>; își exprimă totuși dezamăgirea profundă față de faptul că de atunci Comisia a continuat să autorizeze importul de OMG-uri în Uniune, în pofida obiecțiilor continue formulate de Parlament și a faptului că majoritatea statelor membre au votat împotrivă;</w:t>
      </w:r>
    </w:p>
    <w:p w:rsidR="00C6391A" w:rsidRPr="003E19F4" w:rsidRDefault="00C6391A" w:rsidP="00C6391A">
      <w:pPr>
        <w:pStyle w:val="NormalHanging12a"/>
      </w:pPr>
      <w:r w:rsidRPr="003E19F4">
        <w:t>8.</w:t>
      </w:r>
      <w:r w:rsidRPr="003E19F4">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aduce prejudicii”</w:t>
      </w:r>
      <w:r w:rsidRPr="003E19F4">
        <w:rPr>
          <w:rStyle w:val="FootnoteReference"/>
          <w:szCs w:val="24"/>
        </w:rPr>
        <w:footnoteReference w:id="20"/>
      </w:r>
      <w:r w:rsidRPr="003E19F4">
        <w:t xml:space="preserve">; </w:t>
      </w:r>
    </w:p>
    <w:p w:rsidR="007F3EDC" w:rsidRPr="003E19F4" w:rsidRDefault="00C6391A" w:rsidP="007F3EDC">
      <w:pPr>
        <w:pStyle w:val="NormalHanging12a"/>
      </w:pPr>
      <w:r w:rsidRPr="003E19F4">
        <w:t>9.</w:t>
      </w:r>
      <w:r w:rsidRPr="003E19F4">
        <w:tab/>
        <w:t>încredințează Președintei sarcina de a transmite prezenta rezoluție Consiliului și Comisiei, precum și guvernelor și parlamentelor statelor membre.</w:t>
      </w:r>
    </w:p>
    <w:p w:rsidR="00E365E1" w:rsidRPr="003E19F4" w:rsidRDefault="00E365E1" w:rsidP="008D416D"/>
    <w:sectPr w:rsidR="00E365E1" w:rsidRPr="003E19F4" w:rsidSect="007F3E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16D" w:rsidRPr="007F3EDC" w:rsidRDefault="008D416D">
      <w:r w:rsidRPr="007F3EDC">
        <w:separator/>
      </w:r>
    </w:p>
  </w:endnote>
  <w:endnote w:type="continuationSeparator" w:id="0">
    <w:p w:rsidR="008D416D" w:rsidRPr="007F3EDC" w:rsidRDefault="008D416D">
      <w:r w:rsidRPr="007F3E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16D" w:rsidRPr="007F3EDC" w:rsidRDefault="008D416D">
      <w:r w:rsidRPr="007F3EDC">
        <w:separator/>
      </w:r>
    </w:p>
  </w:footnote>
  <w:footnote w:type="continuationSeparator" w:id="0">
    <w:p w:rsidR="008D416D" w:rsidRPr="007F3EDC" w:rsidRDefault="008D416D">
      <w:r w:rsidRPr="007F3EDC">
        <w:continuationSeparator/>
      </w:r>
    </w:p>
  </w:footnote>
  <w:footnote w:id="1">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color w:val="000000" w:themeColor="text1"/>
          <w:sz w:val="24"/>
          <w:lang w:val="ro-RO"/>
        </w:rPr>
        <w:t xml:space="preserve"> </w:t>
      </w:r>
      <w:r w:rsidR="007F3EDC" w:rsidRPr="007F3EDC">
        <w:rPr>
          <w:color w:val="000000" w:themeColor="text1"/>
          <w:sz w:val="24"/>
          <w:lang w:val="ro-RO"/>
        </w:rPr>
        <w:tab/>
      </w:r>
      <w:r w:rsidRPr="007F3EDC">
        <w:rPr>
          <w:color w:val="000000" w:themeColor="text1"/>
          <w:sz w:val="24"/>
          <w:lang w:val="ro-RO"/>
        </w:rPr>
        <w:t>JO L 268, 18.10.2003, p. 1, ELI: </w:t>
      </w:r>
      <w:hyperlink r:id="rId1" w:tgtFrame="Gives access to this document through its ELI URI." w:history="1">
        <w:r w:rsidRPr="007F3EDC">
          <w:rPr>
            <w:rStyle w:val="Hyperlink"/>
            <w:color w:val="000000" w:themeColor="text1"/>
            <w:sz w:val="24"/>
            <w:lang w:val="ro-RO"/>
          </w:rPr>
          <w:t>http://data.europa.eu/eli/reg/2003/1829/oj</w:t>
        </w:r>
      </w:hyperlink>
      <w:r w:rsidRPr="007F3EDC">
        <w:rPr>
          <w:color w:val="000000" w:themeColor="text1"/>
          <w:sz w:val="24"/>
          <w:lang w:val="ro-RO"/>
        </w:rPr>
        <w:t>.</w:t>
      </w:r>
    </w:p>
  </w:footnote>
  <w:footnote w:id="2">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color w:val="000000" w:themeColor="text1"/>
          <w:sz w:val="24"/>
          <w:lang w:val="ro-RO"/>
        </w:rPr>
        <w:t xml:space="preserve"> </w:t>
      </w:r>
      <w:r w:rsidR="007F3EDC" w:rsidRPr="007F3EDC">
        <w:rPr>
          <w:color w:val="000000" w:themeColor="text1"/>
          <w:sz w:val="24"/>
          <w:lang w:val="ro-RO"/>
        </w:rPr>
        <w:tab/>
      </w:r>
      <w:r w:rsidRPr="007F3EDC">
        <w:rPr>
          <w:color w:val="000000" w:themeColor="text1"/>
          <w:sz w:val="24"/>
          <w:lang w:val="ro-RO"/>
        </w:rPr>
        <w:t>JO L 55, 28.2.2011, p. 13, ELI: </w:t>
      </w:r>
      <w:hyperlink r:id="rId2" w:tgtFrame="Gives access to this document through its ELI URI." w:history="1">
        <w:r w:rsidRPr="007F3EDC">
          <w:rPr>
            <w:rStyle w:val="Hyperlink"/>
            <w:color w:val="000000" w:themeColor="text1"/>
            <w:sz w:val="24"/>
            <w:lang w:val="ro-RO"/>
          </w:rPr>
          <w:t>http://data.europa.eu/eli/reg/2011/182/oj</w:t>
        </w:r>
      </w:hyperlink>
      <w:r w:rsidRPr="007F3EDC">
        <w:rPr>
          <w:color w:val="000000" w:themeColor="text1"/>
          <w:sz w:val="24"/>
          <w:lang w:val="ro-RO"/>
        </w:rPr>
        <w:t>.</w:t>
      </w:r>
    </w:p>
  </w:footnote>
  <w:footnote w:id="3">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Avizul științific al Grupului EFSA pentru organisme modificate genetic intitulat „Assessment of genetically modified maize DP910521 (application GMFF-2021-2473)”, EFSA Journal 2024; </w:t>
      </w:r>
      <w:r w:rsidRPr="007F3EDC">
        <w:rPr>
          <w:color w:val="000000" w:themeColor="text1"/>
          <w:sz w:val="24"/>
          <w:lang w:val="ro-RO"/>
        </w:rPr>
        <w:t xml:space="preserve">22(8):e8887, </w:t>
      </w:r>
      <w:hyperlink r:id="rId3" w:history="1">
        <w:r w:rsidRPr="007F3EDC">
          <w:rPr>
            <w:rStyle w:val="Hyperlink"/>
            <w:color w:val="000000" w:themeColor="text1"/>
            <w:sz w:val="24"/>
            <w:lang w:val="ro-RO"/>
          </w:rPr>
          <w:t>https://doi.org/10.2903/j.efsa.2024.8887</w:t>
        </w:r>
      </w:hyperlink>
      <w:r w:rsidRPr="007F3EDC">
        <w:rPr>
          <w:color w:val="000000" w:themeColor="text1"/>
          <w:sz w:val="24"/>
          <w:lang w:val="ro-RO"/>
        </w:rPr>
        <w:t xml:space="preserve">. </w:t>
      </w:r>
    </w:p>
  </w:footnote>
  <w:footnote w:id="4">
    <w:p w:rsidR="00C6391A" w:rsidRPr="007F3EDC" w:rsidRDefault="00C6391A" w:rsidP="007F3EDC">
      <w:pPr>
        <w:pStyle w:val="FootnoteText"/>
        <w:ind w:left="567" w:hanging="567"/>
        <w:rPr>
          <w:color w:val="000000" w:themeColor="text1"/>
          <w:sz w:val="24"/>
          <w:vertAlign w:val="superscript"/>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În cea de a opta legislatură, Parlamentul a adoptat 36 de rezoluții, iar în cea de a noua legislatură, Parlamentul a adoptat 38 de rezoluții în care se opune autorizării unor OMG-uri.</w:t>
      </w:r>
      <w:r w:rsidRPr="007F3EDC">
        <w:rPr>
          <w:color w:val="000000" w:themeColor="text1"/>
          <w:sz w:val="24"/>
          <w:lang w:val="ro-RO"/>
        </w:rPr>
        <w:t xml:space="preserve"> În plus, în cea de a zecea legislatură a sa, Parlamentul a adoptat următoarele rezoluții:</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a Comisiei (UE) 2024/2628 privind reînnoirea autorizației pentru introducerea pe piață a produselor care conțin, sunt compuse sau fabricate din porumb modificat genetic MON 89034 × 1507 × NK603, în temeiul Regulamentului (CE) nr. 1829/2003 al Parlamentului European și al Consiliului (P10_TA(2024)0038).</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(UE) 2024/2627 a Comisiei de autorizare a introducerii pe piață a produselor care conțin, sunt compuse sau fabricate din bumbac modificat genetic COT102 în temeiul Regulamentului (CE) nr. 1829/2003 al Parlamentului European și al Consiliului (P10_TA(2024)0039).</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a Comisiei (UE) 2024/2629 privind reînnoirea autorizației pentru introducerea pe piață a produselor care conțin, sunt compuse sau fabricate din porumb modificat genetic MON 89034 × 1507 × MON 88017 × 59122 și opt dintre subcombinațiile acestuia, în temeiul Regulamentului (CE) nr. 1829/2003 al Parlamentului European și al Consiliului (P10_TA(2024)0040).</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 xml:space="preserve">Rezoluția Parlamentului European din 26 noiembrie 2024 referitoare la Decizia de punere în aplicare (UE) 2024/1828 a Comisiei </w:t>
      </w:r>
      <w:bookmarkStart w:id="7" w:name="_GoBack"/>
      <w:bookmarkEnd w:id="7"/>
      <w:r w:rsidR="00C6391A" w:rsidRPr="007F3EDC">
        <w:rPr>
          <w:color w:val="000000" w:themeColor="text1"/>
          <w:sz w:val="24"/>
          <w:lang w:val="ro-RO"/>
        </w:rPr>
        <w:t>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(P10_TA(2024)0041).</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(P10_TA(2024)0042).</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(P10_TA(2024)0043).</w:t>
      </w:r>
    </w:p>
    <w:p w:rsidR="00C6391A" w:rsidRPr="007F3EDC" w:rsidRDefault="007F3EDC" w:rsidP="007F3EDC">
      <w:pPr>
        <w:pStyle w:val="FootnoteText"/>
        <w:ind w:left="567" w:hanging="567"/>
        <w:rPr>
          <w:color w:val="000000" w:themeColor="text1"/>
          <w:sz w:val="24"/>
          <w:vertAlign w:val="superscript"/>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(P10_TA(2024)0044).</w:t>
      </w:r>
    </w:p>
    <w:p w:rsidR="00C6391A" w:rsidRPr="007F3EDC" w:rsidRDefault="007F3EDC" w:rsidP="007F3EDC">
      <w:pPr>
        <w:pStyle w:val="FootnoteText"/>
        <w:ind w:left="567" w:hanging="567"/>
        <w:rPr>
          <w:color w:val="000000" w:themeColor="text1"/>
          <w:sz w:val="24"/>
          <w:lang w:val="ro-RO"/>
        </w:rPr>
      </w:pPr>
      <w:r w:rsidRPr="007F3EDC">
        <w:rPr>
          <w:color w:val="000000" w:themeColor="text1"/>
          <w:sz w:val="24"/>
          <w:lang w:val="ro-RO"/>
        </w:rPr>
        <w:t xml:space="preserve"> </w:t>
      </w:r>
      <w:r w:rsidRPr="007F3EDC">
        <w:rPr>
          <w:color w:val="000000" w:themeColor="text1"/>
          <w:sz w:val="24"/>
          <w:lang w:val="ro-RO"/>
        </w:rPr>
        <w:tab/>
      </w:r>
      <w:r w:rsidR="00C6391A" w:rsidRPr="007F3EDC">
        <w:rPr>
          <w:color w:val="000000" w:themeColor="text1"/>
          <w:sz w:val="24"/>
          <w:lang w:val="ro-RO"/>
        </w:rPr>
        <w:t>–</w:t>
      </w:r>
      <w:r w:rsidR="00C6391A" w:rsidRPr="007F3EDC">
        <w:rPr>
          <w:color w:val="000000" w:themeColor="text1"/>
          <w:sz w:val="24"/>
          <w:lang w:val="ro-RO"/>
        </w:rPr>
        <w:tab/>
        <w:t>Rezoluția Parlamentului European din 26 noiembrie 2024 referitoare la proiectul de decizie de punere în aplicare a Comisiei de autorizare a introducerii pe piață a produselor care conțin, sunt compuse sau fabricate din porumb modificat genetic MON 94804, în temeiul Regulamentului (CE) nr. 1829/2003 al Parlamentului European și al Consiliului (P10_TA(2024)0045).</w:t>
      </w:r>
    </w:p>
  </w:footnote>
  <w:footnote w:id="5">
    <w:p w:rsidR="00C6391A" w:rsidRPr="007F3EDC" w:rsidRDefault="00C6391A" w:rsidP="007F3EDC">
      <w:pPr>
        <w:pStyle w:val="FootnoteText"/>
        <w:ind w:left="567" w:hanging="567"/>
        <w:rPr>
          <w:color w:val="000000" w:themeColor="text1"/>
          <w:sz w:val="24"/>
          <w:lang w:val="ro-RO"/>
        </w:rPr>
      </w:pPr>
      <w:r w:rsidRPr="007F3EDC">
        <w:rPr>
          <w:rStyle w:val="FootnoteReference"/>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1, ELI:</w:t>
      </w:r>
      <w:r w:rsidRPr="007F3EDC">
        <w:rPr>
          <w:color w:val="000000" w:themeColor="text1"/>
          <w:sz w:val="24"/>
          <w:lang w:val="ro-RO"/>
        </w:rPr>
        <w:t xml:space="preserve"> </w:t>
      </w:r>
      <w:hyperlink r:id="rId4" w:history="1">
        <w:r w:rsidRPr="007F3EDC">
          <w:rPr>
            <w:rStyle w:val="Hyperlink"/>
            <w:color w:val="000000" w:themeColor="text1"/>
            <w:sz w:val="24"/>
            <w:lang w:val="ro-RO"/>
          </w:rPr>
          <w:t>https://eur-lex.europa.eu/eli/reg/2009/1107/oj</w:t>
        </w:r>
      </w:hyperlink>
      <w:r w:rsidRPr="007F3EDC">
        <w:rPr>
          <w:rStyle w:val="Hyperlink"/>
          <w:color w:val="000000" w:themeColor="text1"/>
          <w:sz w:val="24"/>
          <w:lang w:val="ro-RO"/>
        </w:rPr>
        <w:t>).</w:t>
      </w:r>
    </w:p>
  </w:footnote>
  <w:footnote w:id="6">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1, ELI:</w:t>
      </w:r>
      <w:r w:rsidRPr="007F3EDC">
        <w:rPr>
          <w:color w:val="000000" w:themeColor="text1"/>
          <w:sz w:val="24"/>
          <w:lang w:val="ro-RO"/>
        </w:rPr>
        <w:t xml:space="preserve"> </w:t>
      </w:r>
      <w:hyperlink r:id="rId5" w:tgtFrame="Gives access to this document through its ELI URI." w:history="1">
        <w:r w:rsidRPr="007F3EDC">
          <w:rPr>
            <w:rStyle w:val="Hyperlink"/>
            <w:color w:val="000000" w:themeColor="text1"/>
            <w:sz w:val="24"/>
            <w:lang w:val="ro-RO"/>
          </w:rPr>
          <w:t>http://data.europa.eu/eli/reg_impl/2013/503/oj</w:t>
        </w:r>
      </w:hyperlink>
      <w:r w:rsidRPr="007F3EDC">
        <w:rPr>
          <w:color w:val="000000" w:themeColor="text1"/>
          <w:sz w:val="24"/>
          <w:lang w:val="ro-RO"/>
        </w:rPr>
        <w:t>).</w:t>
      </w:r>
    </w:p>
  </w:footnote>
  <w:footnote w:id="7">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A se vedea, de exemplu, Schulz, R., Bub, S., Petschick, L. L., Stehle, S., Wolfram, J. (2021), „Applied pesticide toxicity shifts toward plants and invertebrates, even in GM crops”, Science 372(6537), p. 81-84, </w:t>
      </w:r>
      <w:hyperlink r:id="rId6" w:history="1">
        <w:r w:rsidRPr="007F3EDC">
          <w:rPr>
            <w:rStyle w:val="Hyperlink"/>
            <w:color w:val="000000" w:themeColor="text1"/>
            <w:sz w:val="24"/>
            <w:lang w:val="ro-RO"/>
          </w:rPr>
          <w:t>https://doi.org/10.1126/science.abe1148</w:t>
        </w:r>
      </w:hyperlink>
      <w:r w:rsidRPr="007F3EDC">
        <w:rPr>
          <w:sz w:val="24"/>
          <w:lang w:val="ro-RO"/>
        </w:rPr>
        <w:t>;</w:t>
      </w:r>
      <w:r w:rsidRPr="007F3EDC">
        <w:rPr>
          <w:color w:val="000000" w:themeColor="text1"/>
          <w:sz w:val="24"/>
          <w:lang w:val="ro-RO"/>
        </w:rPr>
        <w:t xml:space="preserve"> Bonny, S., „Genetically Modified Herbicide-Tolerant Crops, Weeds, and Herbicides: Overview and Impact”, Environmental Management, ianuarie 2016;57(1), p. 31-48, </w:t>
      </w:r>
      <w:hyperlink r:id="rId7" w:history="1">
        <w:r w:rsidRPr="007F3EDC">
          <w:rPr>
            <w:rStyle w:val="Hyperlink"/>
            <w:color w:val="000000" w:themeColor="text1"/>
            <w:sz w:val="24"/>
            <w:lang w:val="ro-RO"/>
          </w:rPr>
          <w:t>https://www.ncbi.nlm.nih.gov/pubmed/26296738</w:t>
        </w:r>
      </w:hyperlink>
      <w:r w:rsidRPr="007F3EDC">
        <w:rPr>
          <w:rStyle w:val="Hyperlink"/>
          <w:color w:val="000000" w:themeColor="text1"/>
          <w:sz w:val="24"/>
          <w:lang w:val="ro-RO"/>
        </w:rPr>
        <w:t>;</w:t>
      </w:r>
      <w:r w:rsidRPr="007F3EDC">
        <w:rPr>
          <w:color w:val="000000" w:themeColor="text1"/>
          <w:sz w:val="24"/>
          <w:lang w:val="ro-RO"/>
        </w:rPr>
        <w:t xml:space="preserve"> </w:t>
      </w:r>
      <w:r w:rsidRPr="007F3EDC">
        <w:rPr>
          <w:sz w:val="24"/>
          <w:lang w:val="ro-RO"/>
        </w:rPr>
        <w:t xml:space="preserve">și Benbrook, C. M., „Impacts of genetically engineered crops on pesticide use in the U.S. – the first sixteen years”, Environmental Sciences Europe, 28 septembrie 2012, vol. 24(24), </w:t>
      </w:r>
      <w:hyperlink r:id="rId8" w:history="1">
        <w:r w:rsidRPr="007F3EDC">
          <w:rPr>
            <w:rStyle w:val="Hyperlink"/>
            <w:color w:val="000000" w:themeColor="text1"/>
            <w:sz w:val="24"/>
            <w:lang w:val="ro-RO"/>
          </w:rPr>
          <w:t>https://enveurope.springeropen.com/articles/10.1186/2190-4715-24-24</w:t>
        </w:r>
      </w:hyperlink>
      <w:r w:rsidRPr="007F3EDC">
        <w:rPr>
          <w:sz w:val="24"/>
          <w:lang w:val="ro-RO"/>
        </w:rPr>
        <w:t>.</w:t>
      </w:r>
    </w:p>
  </w:footnote>
  <w:footnote w:id="8">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Pentru o analiză, a se vedea Rubio-Infante, N., Moreno-Fierros, L., „An overview of the safety and biological effects of Bacillus thuringiensis Cry toxins in mammals” (Studiu asupra siguranței și efectelor biologice ale toxinelor Cry ale Bacillus thuringiensis la mamifere), Journal of Applied Toxicology, mai 2016, 36(5), p. 630 648, </w:t>
      </w:r>
      <w:hyperlink r:id="rId9" w:history="1">
        <w:r w:rsidRPr="007F3EDC">
          <w:rPr>
            <w:rStyle w:val="Hyperlink"/>
            <w:color w:val="000000" w:themeColor="text1"/>
            <w:sz w:val="24"/>
            <w:lang w:val="ro-RO"/>
          </w:rPr>
          <w:t>https://onlinelibrary.wiley.com/doi/full/10.1002/jat.3252</w:t>
        </w:r>
      </w:hyperlink>
      <w:r w:rsidRPr="007F3EDC">
        <w:rPr>
          <w:sz w:val="24"/>
          <w:lang w:val="ro-RO"/>
        </w:rPr>
        <w:t>.</w:t>
      </w:r>
    </w:p>
  </w:footnote>
  <w:footnote w:id="9">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Bøhn, T., Macagnan Rover, C., Semenchuk, P. R., „</w:t>
      </w:r>
      <w:r w:rsidRPr="007F3EDC">
        <w:rPr>
          <w:i/>
          <w:iCs/>
          <w:sz w:val="24"/>
          <w:lang w:val="ro-RO"/>
        </w:rPr>
        <w:t>Daphnia magna</w:t>
      </w:r>
      <w:r w:rsidRPr="007F3EDC">
        <w:rPr>
          <w:sz w:val="24"/>
          <w:lang w:val="ro-RO"/>
        </w:rPr>
        <w:t xml:space="preserve"> negativ of cronic exposure to purified Cry-toxins”, Food and Chemical Toxicology, mai 2016, volumul 91, p. 130-140, </w:t>
      </w:r>
      <w:hyperlink r:id="rId10" w:history="1">
        <w:r w:rsidRPr="007F3EDC">
          <w:rPr>
            <w:rStyle w:val="Hyperlink"/>
            <w:color w:val="000000" w:themeColor="text1"/>
            <w:sz w:val="24"/>
            <w:lang w:val="ro-RO"/>
          </w:rPr>
          <w:t>https://www.sciencedirect.com/science/article/pii/S0278691516300722</w:t>
        </w:r>
      </w:hyperlink>
      <w:r w:rsidRPr="007F3EDC">
        <w:rPr>
          <w:rStyle w:val="Hyperlink"/>
          <w:color w:val="000000" w:themeColor="text1"/>
          <w:sz w:val="24"/>
          <w:lang w:val="ro-RO"/>
        </w:rPr>
        <w:t>.</w:t>
      </w:r>
    </w:p>
  </w:footnote>
  <w:footnote w:id="10">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hyperlink r:id="rId11" w:history="1">
        <w:r w:rsidRPr="007F3EDC">
          <w:rPr>
            <w:rStyle w:val="Hyperlink"/>
            <w:color w:val="000000" w:themeColor="text1"/>
            <w:sz w:val="24"/>
            <w:lang w:val="ro-RO"/>
          </w:rPr>
          <w:t>https://efsa.onlinelibrary.wiley.com/action/downloadSupplement?doi=10.2903%2Fj.‌efsa.2024.8716&amp;file=efs28716-sup-0012-Annex8.pdf</w:t>
        </w:r>
      </w:hyperlink>
      <w:r w:rsidRPr="007F3EDC">
        <w:rPr>
          <w:rStyle w:val="Hyperlink"/>
          <w:color w:val="000000" w:themeColor="text1"/>
          <w:sz w:val="24"/>
          <w:lang w:val="ro-RO"/>
        </w:rPr>
        <w:t>.</w:t>
      </w:r>
    </w:p>
  </w:footnote>
  <w:footnote w:id="11">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„Strategic Dialogue on the Future of EU Agriculture – A shared prospect for farming and food in Europe”, septembrie 2024, </w:t>
      </w:r>
      <w:hyperlink r:id="rId12" w:history="1">
        <w:r w:rsidRPr="007F3EDC">
          <w:rPr>
            <w:rStyle w:val="Hyperlink"/>
            <w:color w:val="000000" w:themeColor="text1"/>
            <w:sz w:val="24"/>
            <w:lang w:val="ro-RO"/>
          </w:rPr>
          <w:t>https://agriculture.ec.europa.eu/document/download/171329ff-0f50-4fa5-946f-aea11032172e_en?filename=strategic-dialogue-report-2024_en.pdf</w:t>
        </w:r>
      </w:hyperlink>
      <w:r w:rsidRPr="007F3EDC">
        <w:rPr>
          <w:rStyle w:val="Hyperlink"/>
          <w:color w:val="000000" w:themeColor="text1"/>
          <w:sz w:val="24"/>
          <w:lang w:val="ro-RO"/>
        </w:rPr>
        <w:t>.</w:t>
      </w:r>
    </w:p>
  </w:footnote>
  <w:footnote w:id="12">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hyperlink r:id="rId13" w:history="1">
        <w:r w:rsidRPr="007F3EDC">
          <w:rPr>
            <w:rStyle w:val="Hyperlink"/>
            <w:color w:val="000000" w:themeColor="text1"/>
            <w:sz w:val="24"/>
            <w:lang w:val="ro-RO"/>
          </w:rPr>
          <w:t>https://www.ohchr.org/en/documents/thematic-reports/ahrc3448-report-special-rapporteur-right-food</w:t>
        </w:r>
      </w:hyperlink>
      <w:r w:rsidRPr="007F3EDC">
        <w:rPr>
          <w:color w:val="000000" w:themeColor="text1"/>
          <w:sz w:val="24"/>
          <w:lang w:val="ro-RO"/>
        </w:rPr>
        <w:t>.</w:t>
      </w:r>
    </w:p>
  </w:footnote>
  <w:footnote w:id="13">
    <w:p w:rsidR="00C6391A" w:rsidRPr="007F3EDC" w:rsidRDefault="00C6391A" w:rsidP="007F3EDC">
      <w:pPr>
        <w:pStyle w:val="FootnoteText"/>
        <w:ind w:left="567" w:hanging="567"/>
        <w:rPr>
          <w:sz w:val="24"/>
          <w:lang w:val="ro-RO"/>
        </w:rPr>
      </w:pPr>
      <w:r w:rsidRPr="007F3EDC">
        <w:rPr>
          <w:rStyle w:val="FootnoteReference"/>
          <w:sz w:val="24"/>
          <w:lang w:val="ro-RO"/>
        </w:rPr>
        <w:footnoteRef/>
      </w:r>
      <w:r w:rsidR="007F3EDC" w:rsidRPr="007F3EDC">
        <w:rPr>
          <w:sz w:val="24"/>
          <w:lang w:val="ro-RO"/>
        </w:rPr>
        <w:t xml:space="preserve"> </w:t>
      </w:r>
      <w:r w:rsidR="007F3EDC" w:rsidRPr="007F3EDC">
        <w:rPr>
          <w:sz w:val="24"/>
          <w:lang w:val="ro-RO"/>
        </w:rPr>
        <w:tab/>
      </w:r>
      <w:hyperlink r:id="rId14" w:history="1">
        <w:r w:rsidRPr="007F3EDC">
          <w:rPr>
            <w:rStyle w:val="Hyperlink"/>
            <w:sz w:val="24"/>
            <w:lang w:val="ro-RO"/>
          </w:rPr>
          <w:t>https://indicators.report/targets/3-9/</w:t>
        </w:r>
      </w:hyperlink>
      <w:r w:rsidRPr="007F3EDC">
        <w:rPr>
          <w:rStyle w:val="Hyperlink"/>
          <w:sz w:val="24"/>
          <w:lang w:val="ro-RO"/>
        </w:rPr>
        <w:t>.</w:t>
      </w:r>
    </w:p>
  </w:footnote>
  <w:footnote w:id="14">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a se vedea: </w:t>
      </w:r>
      <w:hyperlink r:id="rId15" w:history="1">
        <w:r w:rsidRPr="007F3EDC">
          <w:rPr>
            <w:rStyle w:val="Hyperlink"/>
            <w:sz w:val="24"/>
            <w:lang w:val="ro-RO"/>
          </w:rPr>
          <w:t>https://ec.europa.eu/commission/presscorner/detail/ro/ip_22_7834</w:t>
        </w:r>
      </w:hyperlink>
    </w:p>
  </w:footnote>
  <w:footnote w:id="15">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hyperlink r:id="rId16" w:history="1">
        <w:r w:rsidRPr="007F3EDC">
          <w:rPr>
            <w:rStyle w:val="Hyperlink"/>
            <w:color w:val="000000" w:themeColor="text1"/>
            <w:sz w:val="24"/>
            <w:lang w:val="ro-RO"/>
          </w:rPr>
          <w:t>https://commission.europa.eu/document/2c64e540-c07a-4376-a1da-368d289f4afe_en</w:t>
        </w:r>
      </w:hyperlink>
      <w:r w:rsidRPr="007F3EDC">
        <w:rPr>
          <w:rStyle w:val="Hyperlink"/>
          <w:color w:val="000000" w:themeColor="text1"/>
          <w:sz w:val="24"/>
          <w:lang w:val="ro-RO"/>
        </w:rPr>
        <w:t>.</w:t>
      </w:r>
    </w:p>
  </w:footnote>
  <w:footnote w:id="16">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17">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w:t>
      </w:r>
      <w:r w:rsidRPr="007F3EDC">
        <w:rPr>
          <w:color w:val="000000" w:themeColor="text1"/>
          <w:sz w:val="24"/>
          <w:lang w:val="ro-RO"/>
        </w:rPr>
        <w:t> </w:t>
      </w:r>
      <w:hyperlink r:id="rId17" w:tgtFrame="Gives access to this document through its ELI URI." w:history="1">
        <w:r w:rsidRPr="007F3EDC">
          <w:rPr>
            <w:rStyle w:val="Hyperlink"/>
            <w:color w:val="000000" w:themeColor="text1"/>
            <w:sz w:val="24"/>
            <w:lang w:val="ro-RO"/>
          </w:rPr>
          <w:t>http://data.europa.eu/eli/reg/2002/178/oj</w:t>
        </w:r>
      </w:hyperlink>
      <w:r w:rsidRPr="007F3EDC">
        <w:rPr>
          <w:color w:val="000000" w:themeColor="text1"/>
          <w:sz w:val="24"/>
          <w:lang w:val="ro-RO"/>
        </w:rPr>
        <w:t>).</w:t>
      </w:r>
    </w:p>
  </w:footnote>
  <w:footnote w:id="18">
    <w:p w:rsidR="00C6391A" w:rsidRPr="007F3EDC" w:rsidRDefault="00C6391A" w:rsidP="007F3EDC">
      <w:pPr>
        <w:pStyle w:val="FootnoteText"/>
        <w:ind w:left="567" w:hanging="567"/>
        <w:rPr>
          <w:color w:val="000000" w:themeColor="text1"/>
          <w:sz w:val="24"/>
          <w:lang w:val="ro-RO"/>
        </w:rPr>
      </w:pPr>
      <w:r w:rsidRPr="007F3EDC">
        <w:rPr>
          <w:rStyle w:val="FootnoteReference"/>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 xml:space="preserve">Astfel cum se indică în anexa la comunicarea Comisiei din 14 octombrie 2020 intitulată „Strategia pentru promovarea sustenabilității în domeniul substanțelor chimice – Către un mediu fără substanțe toxice”, COM(2020)0667, </w:t>
      </w:r>
      <w:hyperlink r:id="rId18" w:anchor="document2" w:history="1">
        <w:r w:rsidRPr="007F3EDC">
          <w:rPr>
            <w:rStyle w:val="Hyperlink"/>
            <w:color w:val="000000" w:themeColor="text1"/>
            <w:sz w:val="24"/>
            <w:lang w:val="ro-RO"/>
          </w:rPr>
          <w:t>https://eur-lex.europa.eu/legal-content/RO/TXT/?uri=COM%3A2020%3A667%3AFIN#document2</w:t>
        </w:r>
      </w:hyperlink>
      <w:r w:rsidRPr="007F3EDC">
        <w:rPr>
          <w:sz w:val="24"/>
          <w:lang w:val="ro-RO"/>
        </w:rPr>
        <w:t>.</w:t>
      </w:r>
      <w:r w:rsidRPr="007F3EDC">
        <w:rPr>
          <w:color w:val="000000" w:themeColor="text1"/>
          <w:sz w:val="24"/>
          <w:lang w:val="ro-RO"/>
        </w:rPr>
        <w:t xml:space="preserve"> </w:t>
      </w:r>
    </w:p>
  </w:footnote>
  <w:footnote w:id="19">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hyperlink r:id="rId19" w:history="1">
        <w:r w:rsidRPr="007F3EDC">
          <w:rPr>
            <w:rStyle w:val="Hyperlink"/>
            <w:color w:val="000000" w:themeColor="text1"/>
            <w:sz w:val="24"/>
            <w:lang w:val="ro-RO"/>
          </w:rPr>
          <w:t>https://tillymetz.lu/wp-content/uploads/2020/09/Co-signed-letter-MEP-Metz.pdf</w:t>
        </w:r>
      </w:hyperlink>
      <w:r w:rsidRPr="007F3EDC">
        <w:rPr>
          <w:rStyle w:val="Hyperlink"/>
          <w:color w:val="000000" w:themeColor="text1"/>
          <w:sz w:val="24"/>
          <w:lang w:val="ro-RO"/>
        </w:rPr>
        <w:t>.</w:t>
      </w:r>
    </w:p>
  </w:footnote>
  <w:footnote w:id="20">
    <w:p w:rsidR="00C6391A" w:rsidRPr="007F3EDC" w:rsidRDefault="00C6391A" w:rsidP="007F3EDC">
      <w:pPr>
        <w:pStyle w:val="FootnoteText"/>
        <w:ind w:left="567" w:hanging="567"/>
        <w:rPr>
          <w:color w:val="000000" w:themeColor="text1"/>
          <w:sz w:val="24"/>
          <w:lang w:val="ro-RO"/>
        </w:rPr>
      </w:pPr>
      <w:r w:rsidRPr="007F3EDC">
        <w:rPr>
          <w:rStyle w:val="Funotenzeichen"/>
          <w:color w:val="000000" w:themeColor="text1"/>
          <w:sz w:val="24"/>
          <w:lang w:val="ro-RO"/>
        </w:rPr>
        <w:footnoteRef/>
      </w:r>
      <w:r w:rsidR="007F3EDC" w:rsidRPr="007F3EDC">
        <w:rPr>
          <w:sz w:val="24"/>
          <w:lang w:val="ro-RO"/>
        </w:rPr>
        <w:t xml:space="preserve"> </w:t>
      </w:r>
      <w:r w:rsidR="007F3EDC" w:rsidRPr="007F3EDC">
        <w:rPr>
          <w:sz w:val="24"/>
          <w:lang w:val="ro-RO"/>
        </w:rPr>
        <w:tab/>
      </w:r>
      <w:r w:rsidRPr="007F3EDC">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E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RO"/>
    <w:docVar w:name="dvnumam" w:val="0"/>
    <w:docVar w:name="dvpe" w:val="766.932"/>
    <w:docVar w:name="dvtitre" w:val="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D102174/03 – 2024/3010(RSP))"/>
  </w:docVars>
  <w:rsids>
    <w:rsidRoot w:val="008D416D"/>
    <w:rsid w:val="00002272"/>
    <w:rsid w:val="00064002"/>
    <w:rsid w:val="000677B9"/>
    <w:rsid w:val="000831BA"/>
    <w:rsid w:val="000A42CC"/>
    <w:rsid w:val="000E7DD9"/>
    <w:rsid w:val="0010095E"/>
    <w:rsid w:val="00120A69"/>
    <w:rsid w:val="00125B37"/>
    <w:rsid w:val="00175745"/>
    <w:rsid w:val="00187494"/>
    <w:rsid w:val="001F32AE"/>
    <w:rsid w:val="002767FF"/>
    <w:rsid w:val="002B18FE"/>
    <w:rsid w:val="002B5493"/>
    <w:rsid w:val="00343214"/>
    <w:rsid w:val="00361C00"/>
    <w:rsid w:val="00395FA1"/>
    <w:rsid w:val="00396E95"/>
    <w:rsid w:val="003E15D4"/>
    <w:rsid w:val="003E19F4"/>
    <w:rsid w:val="00411CCE"/>
    <w:rsid w:val="0041666E"/>
    <w:rsid w:val="00421060"/>
    <w:rsid w:val="00471C19"/>
    <w:rsid w:val="004867E3"/>
    <w:rsid w:val="00486CCE"/>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EDC"/>
    <w:rsid w:val="00817416"/>
    <w:rsid w:val="00842779"/>
    <w:rsid w:val="00865F67"/>
    <w:rsid w:val="00881A7B"/>
    <w:rsid w:val="008840E5"/>
    <w:rsid w:val="00887B3E"/>
    <w:rsid w:val="008C2AC6"/>
    <w:rsid w:val="008D416D"/>
    <w:rsid w:val="00930C23"/>
    <w:rsid w:val="0093193B"/>
    <w:rsid w:val="009509D8"/>
    <w:rsid w:val="00950B64"/>
    <w:rsid w:val="00981893"/>
    <w:rsid w:val="00A1687D"/>
    <w:rsid w:val="00A43E52"/>
    <w:rsid w:val="00A4678D"/>
    <w:rsid w:val="00A778C7"/>
    <w:rsid w:val="00AB41B3"/>
    <w:rsid w:val="00AB441E"/>
    <w:rsid w:val="00AB6293"/>
    <w:rsid w:val="00AE0928"/>
    <w:rsid w:val="00AF3B82"/>
    <w:rsid w:val="00B12E95"/>
    <w:rsid w:val="00B22876"/>
    <w:rsid w:val="00B558F0"/>
    <w:rsid w:val="00BD48FE"/>
    <w:rsid w:val="00BD7BD8"/>
    <w:rsid w:val="00BE6ADC"/>
    <w:rsid w:val="00C05BFE"/>
    <w:rsid w:val="00C23CD4"/>
    <w:rsid w:val="00C61C0C"/>
    <w:rsid w:val="00C6391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60ED6F-C8E5-42B4-9BE8-C48A7712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C6391A"/>
    <w:pPr>
      <w:spacing w:before="480" w:after="240"/>
    </w:pPr>
  </w:style>
  <w:style w:type="paragraph" w:customStyle="1" w:styleId="NormalHanging12a">
    <w:name w:val="NormalHanging12a"/>
    <w:basedOn w:val="Normal"/>
    <w:qFormat/>
    <w:rsid w:val="00C6391A"/>
    <w:pPr>
      <w:spacing w:after="240"/>
      <w:ind w:left="567" w:hanging="567"/>
    </w:pPr>
  </w:style>
  <w:style w:type="character" w:styleId="Hyperlink">
    <w:name w:val="Hyperlink"/>
    <w:basedOn w:val="DefaultParagraphFont"/>
    <w:uiPriority w:val="99"/>
    <w:rsid w:val="00C6391A"/>
    <w:rPr>
      <w:color w:val="0563C1" w:themeColor="hyperlink"/>
      <w:u w:val="single"/>
    </w:rPr>
  </w:style>
  <w:style w:type="character" w:customStyle="1" w:styleId="Funotenzeichen">
    <w:name w:val="Fußnotenzeichen"/>
    <w:qFormat/>
    <w:rsid w:val="00C6391A"/>
    <w:rPr>
      <w:vertAlign w:val="superscript"/>
    </w:rPr>
  </w:style>
  <w:style w:type="paragraph" w:styleId="BalloonText">
    <w:name w:val="Balloon Text"/>
    <w:basedOn w:val="Normal"/>
    <w:link w:val="BalloonTextChar"/>
    <w:rsid w:val="00AB41B3"/>
    <w:rPr>
      <w:rFonts w:ascii="Segoe UI" w:hAnsi="Segoe UI" w:cs="Segoe UI"/>
      <w:sz w:val="18"/>
      <w:szCs w:val="18"/>
    </w:rPr>
  </w:style>
  <w:style w:type="character" w:customStyle="1" w:styleId="BalloonTextChar">
    <w:name w:val="Balloon Text Char"/>
    <w:basedOn w:val="DefaultParagraphFont"/>
    <w:link w:val="BalloonText"/>
    <w:rsid w:val="00AB41B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RO/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ro/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8D570-23F1-4B99-90DB-3B0BD8B18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2305</Words>
  <Characters>13401</Characters>
  <Application>Microsoft Office Word</Application>
  <DocSecurity>0</DocSecurity>
  <Lines>335</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2025-03-03T14:34:00Z</dcterms:created>
  <dcterms:modified xsi:type="dcterms:W3CDTF">2025-03-03T14:34:00Z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B10-0061/2025</vt:lpwstr>
  </property>
  <property fmtid="{D5CDD505-2E9C-101B-9397-08002B2CF9AE}" pid="4" name="&lt;Type&gt;">
    <vt:lpwstr>RR</vt:lpwstr>
  </property>
</Properties>
</file>