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77E7B" w:rsidTr="0010095E">
        <w:trPr>
          <w:trHeight w:hRule="exact" w:val="1418"/>
        </w:trPr>
        <w:tc>
          <w:tcPr>
            <w:tcW w:w="6804" w:type="dxa"/>
            <w:shd w:val="clear" w:color="auto" w:fill="auto"/>
            <w:vAlign w:val="center"/>
          </w:tcPr>
          <w:p w:rsidR="00751A4A" w:rsidRPr="00377E7B" w:rsidRDefault="006A6848" w:rsidP="0010095E">
            <w:pPr>
              <w:pStyle w:val="EPName"/>
            </w:pPr>
            <w:r w:rsidRPr="00377E7B">
              <w:t>Europaparlamentet</w:t>
            </w:r>
          </w:p>
          <w:p w:rsidR="00751A4A" w:rsidRPr="00377E7B" w:rsidRDefault="005F1B17" w:rsidP="005F1B17">
            <w:pPr>
              <w:pStyle w:val="EPTerm"/>
              <w:rPr>
                <w:rStyle w:val="HideTWBExt"/>
                <w:noProof w:val="0"/>
                <w:vanish w:val="0"/>
                <w:color w:val="auto"/>
              </w:rPr>
            </w:pPr>
            <w:r w:rsidRPr="00377E7B">
              <w:t>2024</w:t>
            </w:r>
            <w:r w:rsidR="00817416" w:rsidRPr="00377E7B">
              <w:t>-202</w:t>
            </w:r>
            <w:r w:rsidRPr="00377E7B">
              <w:t>9</w:t>
            </w:r>
          </w:p>
        </w:tc>
        <w:tc>
          <w:tcPr>
            <w:tcW w:w="2268" w:type="dxa"/>
            <w:shd w:val="clear" w:color="auto" w:fill="auto"/>
          </w:tcPr>
          <w:p w:rsidR="00751A4A" w:rsidRPr="00377E7B" w:rsidRDefault="00187494" w:rsidP="0010095E">
            <w:pPr>
              <w:pStyle w:val="EPLogo"/>
            </w:pPr>
            <w:r w:rsidRPr="00377E7B">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77E7B" w:rsidRDefault="00D058B8" w:rsidP="004C5D52">
      <w:pPr>
        <w:pStyle w:val="LineTop"/>
      </w:pPr>
    </w:p>
    <w:p w:rsidR="00680577" w:rsidRPr="00377E7B" w:rsidRDefault="006A6848" w:rsidP="00680577">
      <w:pPr>
        <w:pStyle w:val="EPBodyTA1"/>
      </w:pPr>
      <w:r w:rsidRPr="00377E7B">
        <w:t>ANTAGNA TEXTER</w:t>
      </w:r>
    </w:p>
    <w:p w:rsidR="00D058B8" w:rsidRPr="00377E7B" w:rsidRDefault="00D058B8" w:rsidP="00D058B8">
      <w:pPr>
        <w:pStyle w:val="LineBottom"/>
      </w:pPr>
    </w:p>
    <w:p w:rsidR="006A6848" w:rsidRPr="00377E7B" w:rsidRDefault="006A6848" w:rsidP="006A6848">
      <w:pPr>
        <w:pStyle w:val="ATHeading1"/>
      </w:pPr>
      <w:bookmarkStart w:id="0" w:name="TANumber"/>
      <w:r w:rsidRPr="00377E7B">
        <w:t>P10_TA(2025)00</w:t>
      </w:r>
      <w:bookmarkEnd w:id="0"/>
      <w:r w:rsidR="00533832">
        <w:t>14</w:t>
      </w:r>
    </w:p>
    <w:p w:rsidR="006A6848" w:rsidRPr="00377E7B" w:rsidRDefault="00894B34" w:rsidP="006A6848">
      <w:pPr>
        <w:pStyle w:val="ATHeading2"/>
      </w:pPr>
      <w:bookmarkStart w:id="1" w:name="title"/>
      <w:r>
        <w:t>G</w:t>
      </w:r>
      <w:r w:rsidR="006A6848" w:rsidRPr="00377E7B">
        <w:t>enetiskt modifierad majs DP910521</w:t>
      </w:r>
      <w:bookmarkEnd w:id="1"/>
    </w:p>
    <w:p w:rsidR="006A6848" w:rsidRPr="00377E7B" w:rsidRDefault="006A6848" w:rsidP="006A6848">
      <w:pPr>
        <w:rPr>
          <w:i/>
          <w:vanish/>
        </w:rPr>
      </w:pPr>
      <w:r w:rsidRPr="00377E7B">
        <w:rPr>
          <w:i/>
        </w:rPr>
        <w:fldChar w:fldCharType="begin"/>
      </w:r>
      <w:r w:rsidRPr="00377E7B">
        <w:rPr>
          <w:i/>
        </w:rPr>
        <w:instrText xml:space="preserve"> TC"(</w:instrText>
      </w:r>
      <w:bookmarkStart w:id="2" w:name="DocNumber"/>
      <w:r w:rsidRPr="00377E7B">
        <w:rPr>
          <w:i/>
        </w:rPr>
        <w:instrText>B10-0061/2025</w:instrText>
      </w:r>
      <w:bookmarkEnd w:id="2"/>
      <w:r w:rsidRPr="00377E7B">
        <w:rPr>
          <w:i/>
        </w:rPr>
        <w:instrText xml:space="preserve">)"\l3 \n&gt; \* MERGEFORMAT </w:instrText>
      </w:r>
      <w:r w:rsidRPr="00377E7B">
        <w:rPr>
          <w:i/>
        </w:rPr>
        <w:fldChar w:fldCharType="end"/>
      </w:r>
    </w:p>
    <w:p w:rsidR="006A6848" w:rsidRPr="00377E7B" w:rsidRDefault="006A6848" w:rsidP="006A6848">
      <w:pPr>
        <w:rPr>
          <w:vanish/>
        </w:rPr>
      </w:pPr>
      <w:bookmarkStart w:id="3" w:name="PE"/>
      <w:r w:rsidRPr="00377E7B">
        <w:rPr>
          <w:vanish/>
        </w:rPr>
        <w:t>PE766.932</w:t>
      </w:r>
      <w:bookmarkEnd w:id="3"/>
    </w:p>
    <w:p w:rsidR="006A6848" w:rsidRPr="00377E7B" w:rsidRDefault="006A6848" w:rsidP="006A6848">
      <w:pPr>
        <w:pStyle w:val="ATHeading3"/>
      </w:pPr>
      <w:bookmarkStart w:id="4" w:name="Sujet"/>
      <w:r w:rsidRPr="00377E7B">
        <w:t xml:space="preserve">Europaparlamentets resolution av den </w:t>
      </w:r>
      <w:r w:rsidR="00894B34">
        <w:t>12</w:t>
      </w:r>
      <w:r w:rsidR="00894B34" w:rsidRPr="00377E7B">
        <w:t xml:space="preserve"> </w:t>
      </w:r>
      <w:r w:rsidR="00894B34">
        <w:t>februari</w:t>
      </w:r>
      <w:r w:rsidR="00894B34" w:rsidRPr="00377E7B">
        <w:t xml:space="preserve"> </w:t>
      </w:r>
      <w:r w:rsidRPr="00377E7B">
        <w:t>2025 om utkastet till kommissionens genomförandebeslut om godkännande för utsläppande på marknaden av produkter som innehåller, består av eller har framställts av den genetiskt modifierade majsen DP910521, i enlighet med Europaparlamentets och rådets förordning (EG) nr 1829/2003</w:t>
      </w:r>
      <w:bookmarkEnd w:id="4"/>
      <w:r w:rsidRPr="00377E7B">
        <w:t xml:space="preserve"> </w:t>
      </w:r>
      <w:bookmarkStart w:id="5" w:name="References"/>
      <w:r w:rsidRPr="00377E7B">
        <w:t>(D102174/03 – 2024/3010(RSP))</w:t>
      </w:r>
      <w:bookmarkEnd w:id="5"/>
    </w:p>
    <w:p w:rsidR="00351C05" w:rsidRPr="00377E7B" w:rsidRDefault="00351C05" w:rsidP="00351C05">
      <w:pPr>
        <w:pStyle w:val="EPComma"/>
      </w:pPr>
      <w:bookmarkStart w:id="6" w:name="TextBodyBegin"/>
      <w:bookmarkEnd w:id="6"/>
      <w:r w:rsidRPr="00377E7B">
        <w:rPr>
          <w:i/>
          <w:iCs/>
        </w:rPr>
        <w:t>Europaparlamentet utfärdar denna resolution</w:t>
      </w:r>
    </w:p>
    <w:p w:rsidR="00351C05" w:rsidRPr="00377E7B" w:rsidRDefault="00351C05" w:rsidP="00351C05">
      <w:pPr>
        <w:pStyle w:val="NormalHanging12a"/>
      </w:pPr>
      <w:r w:rsidRPr="00377E7B">
        <w:t>–</w:t>
      </w:r>
      <w:r w:rsidRPr="00377E7B">
        <w:tab/>
        <w:t>med beaktande av utkastet till kommissionens genomförandebeslut om godkännande för utsläppande på marknaden av produkter som innehåller, består av eller har framställts av den genetiskt modifierade majsen DP910521, i enlighet med Europaparlamentets och rådets förordning (EG) nr 1829/2003 (D102174/03),</w:t>
      </w:r>
    </w:p>
    <w:p w:rsidR="00351C05" w:rsidRPr="00377E7B" w:rsidRDefault="00351C05" w:rsidP="00351C05">
      <w:pPr>
        <w:pStyle w:val="NormalHanging12a"/>
        <w:rPr>
          <w:szCs w:val="24"/>
        </w:rPr>
      </w:pPr>
      <w:r w:rsidRPr="00377E7B">
        <w:t>–</w:t>
      </w:r>
      <w:r w:rsidRPr="00377E7B">
        <w:tab/>
        <w:t>med beaktande av Europaparlamentets och rådets förordning (EG) nr 1829/2003 av den 22 september 2003 om genetiskt modifierade livsmedel och foder</w:t>
      </w:r>
      <w:r w:rsidRPr="00377E7B">
        <w:rPr>
          <w:rStyle w:val="FootnoteReference"/>
          <w:szCs w:val="24"/>
        </w:rPr>
        <w:footnoteReference w:id="1"/>
      </w:r>
      <w:r w:rsidRPr="00377E7B">
        <w:t>, särskilt artiklarna 7.3 och 19.3,</w:t>
      </w:r>
    </w:p>
    <w:p w:rsidR="00351C05" w:rsidRPr="00377E7B" w:rsidRDefault="00351C05" w:rsidP="00351C05">
      <w:pPr>
        <w:pStyle w:val="NormalHanging12a"/>
        <w:rPr>
          <w:szCs w:val="24"/>
        </w:rPr>
      </w:pPr>
      <w:r w:rsidRPr="00377E7B">
        <w:t>–</w:t>
      </w:r>
      <w:r w:rsidRPr="00377E7B">
        <w:tab/>
        <w:t xml:space="preserve">med beaktande av </w:t>
      </w:r>
      <w:r w:rsidRPr="00377E7B">
        <w:rPr>
          <w:shd w:val="clear" w:color="auto" w:fill="FFFFFF"/>
        </w:rPr>
        <w:t>omröstningen den 22 november 2024 i den ständiga kommitté för växter, djur, livsmedel och foder som avses i artikel 35 i förordning (EG) nr 1829/2003, där inget yttrande avgavs, samt omröstningen i omprövningskommittén den 17 december 2024, där det inte heller</w:t>
      </w:r>
      <w:r w:rsidRPr="00377E7B">
        <w:t xml:space="preserve"> avgavs något yttrande,</w:t>
      </w:r>
    </w:p>
    <w:p w:rsidR="00351C05" w:rsidRPr="00377E7B" w:rsidRDefault="00351C05" w:rsidP="00351C05">
      <w:pPr>
        <w:pStyle w:val="NormalHanging12a"/>
        <w:rPr>
          <w:szCs w:val="24"/>
        </w:rPr>
      </w:pPr>
      <w:r w:rsidRPr="00377E7B">
        <w:t>–</w:t>
      </w:r>
      <w:r w:rsidRPr="00377E7B">
        <w:tab/>
        <w:t>med beaktande av artikel 11 i Europaparlamentets och rådets förordning (EU) nr 182/2011 av den 16 februari 2011 om fastställande av allmänna regler och principer för medlemsstaternas kontroll av kommissionens utövande av sina genomförandebefogenheter</w:t>
      </w:r>
      <w:r w:rsidRPr="00377E7B">
        <w:rPr>
          <w:rStyle w:val="FootnoteReference"/>
          <w:szCs w:val="24"/>
        </w:rPr>
        <w:footnoteReference w:id="2"/>
      </w:r>
      <w:r w:rsidRPr="00377E7B">
        <w:t>,</w:t>
      </w:r>
    </w:p>
    <w:p w:rsidR="00351C05" w:rsidRPr="00377E7B" w:rsidRDefault="00351C05" w:rsidP="00351C05">
      <w:pPr>
        <w:pStyle w:val="NormalHanging12a"/>
        <w:rPr>
          <w:szCs w:val="24"/>
        </w:rPr>
      </w:pPr>
      <w:r w:rsidRPr="00377E7B">
        <w:t>–</w:t>
      </w:r>
      <w:r w:rsidRPr="00377E7B">
        <w:tab/>
        <w:t xml:space="preserve">med beaktande av det yttrande som antogs av Europeiska myndigheten för livsmedelssäkerhet (Efsa) den 19 juni 2024, och som offentliggjordes </w:t>
      </w:r>
      <w:r w:rsidRPr="00377E7B">
        <w:lastRenderedPageBreak/>
        <w:t>den 1 augusti 2024</w:t>
      </w:r>
      <w:r w:rsidRPr="00377E7B">
        <w:rPr>
          <w:rStyle w:val="FootnoteReference"/>
          <w:szCs w:val="24"/>
        </w:rPr>
        <w:footnoteReference w:id="3"/>
      </w:r>
      <w:r w:rsidRPr="00377E7B">
        <w:t>,</w:t>
      </w:r>
    </w:p>
    <w:p w:rsidR="00351C05" w:rsidRPr="00377E7B" w:rsidRDefault="00351C05" w:rsidP="00351C05">
      <w:pPr>
        <w:pStyle w:val="NormalHanging12a"/>
        <w:rPr>
          <w:szCs w:val="24"/>
        </w:rPr>
      </w:pPr>
      <w:r w:rsidRPr="00377E7B">
        <w:t>–</w:t>
      </w:r>
      <w:r w:rsidRPr="00377E7B">
        <w:tab/>
      </w:r>
      <w:r w:rsidRPr="00377E7B">
        <w:rPr>
          <w:shd w:val="clear" w:color="auto" w:fill="FFFFFF"/>
        </w:rPr>
        <w:t>med beaktande av sina tidigare resolutioner där parlamentet har invänt mot godkännandet av genetiskt modifierade organismer</w:t>
      </w:r>
      <w:r w:rsidRPr="00377E7B">
        <w:rPr>
          <w:rStyle w:val="FootnoteReference"/>
          <w:szCs w:val="24"/>
          <w:shd w:val="clear" w:color="auto" w:fill="FFFFFF"/>
        </w:rPr>
        <w:footnoteReference w:id="4"/>
      </w:r>
      <w:r w:rsidRPr="00377E7B">
        <w:rPr>
          <w:shd w:val="clear" w:color="auto" w:fill="FFFFFF"/>
        </w:rPr>
        <w:t>,</w:t>
      </w:r>
    </w:p>
    <w:p w:rsidR="00351C05" w:rsidRPr="00377E7B" w:rsidRDefault="00351C05" w:rsidP="00351C05">
      <w:pPr>
        <w:pStyle w:val="NormalHanging12a"/>
        <w:rPr>
          <w:szCs w:val="24"/>
        </w:rPr>
      </w:pPr>
      <w:r w:rsidRPr="00377E7B">
        <w:lastRenderedPageBreak/>
        <w:t>–</w:t>
      </w:r>
      <w:r w:rsidRPr="00377E7B">
        <w:tab/>
        <w:t>med beaktande av artikel 115.2 och 115.3 i arbetsordningen,</w:t>
      </w:r>
    </w:p>
    <w:p w:rsidR="00351C05" w:rsidRPr="00377E7B" w:rsidRDefault="00351C05" w:rsidP="00351C05">
      <w:pPr>
        <w:pStyle w:val="NormalHanging12a"/>
        <w:rPr>
          <w:szCs w:val="24"/>
        </w:rPr>
      </w:pPr>
      <w:r w:rsidRPr="00377E7B">
        <w:t>–</w:t>
      </w:r>
      <w:r w:rsidRPr="00377E7B">
        <w:tab/>
        <w:t xml:space="preserve">med beaktande av förslaget till resolution från utskottet för miljö, </w:t>
      </w:r>
      <w:r w:rsidR="00894B34">
        <w:t>klimat</w:t>
      </w:r>
      <w:r w:rsidR="00894B34" w:rsidRPr="00377E7B">
        <w:t xml:space="preserve"> </w:t>
      </w:r>
      <w:r w:rsidRPr="00377E7B">
        <w:t>och livsmedelssäkerhet, och av följande skäl:</w:t>
      </w:r>
    </w:p>
    <w:p w:rsidR="00351C05" w:rsidRPr="00377E7B" w:rsidRDefault="00351C05" w:rsidP="00351C05">
      <w:pPr>
        <w:pStyle w:val="NormalHanging12a"/>
        <w:rPr>
          <w:szCs w:val="24"/>
        </w:rPr>
      </w:pPr>
      <w:r w:rsidRPr="00377E7B">
        <w:t>A.</w:t>
      </w:r>
      <w:r w:rsidRPr="00377E7B">
        <w:tab/>
        <w:t xml:space="preserve">Den 27 juni 2022 lämnade Corteva Agriscience Belgium B.V., baserat i Belgien, på uppdrag av Corteva Agriscience LLC, baserat i Förenta staterna, in en ansökan </w:t>
      </w:r>
      <w:r w:rsidRPr="00377E7B">
        <w:rPr>
          <w:snapToGrid w:val="0"/>
        </w:rPr>
        <w:t>till Nederländernas behöriga myndighet om att få</w:t>
      </w:r>
      <w:r w:rsidRPr="00377E7B">
        <w:t xml:space="preserve"> släppa ut livsmedel, livsmedelsingredienser och foder som innehåller, består av eller har framställts av den genetiskt modifierade majsen DP910521 (</w:t>
      </w:r>
      <w:r w:rsidRPr="00377E7B">
        <w:rPr>
          <w:i/>
          <w:iCs/>
        </w:rPr>
        <w:t>den genetiskt modifierade majsen</w:t>
      </w:r>
      <w:r w:rsidRPr="00377E7B">
        <w:t>) på marknaden.</w:t>
      </w:r>
    </w:p>
    <w:p w:rsidR="00351C05" w:rsidRPr="00377E7B" w:rsidRDefault="00351C05" w:rsidP="00351C05">
      <w:pPr>
        <w:pStyle w:val="NormalHanging12a"/>
        <w:rPr>
          <w:szCs w:val="24"/>
        </w:rPr>
      </w:pPr>
      <w:r w:rsidRPr="00377E7B">
        <w:t>B.</w:t>
      </w:r>
      <w:r w:rsidRPr="00377E7B">
        <w:tab/>
        <w:t>Den genetiskt modifierade majsen producerar Cry1B.34-toxin och är resistent mot herbiciden glufosinat.</w:t>
      </w:r>
    </w:p>
    <w:p w:rsidR="00351C05" w:rsidRPr="00377E7B" w:rsidRDefault="00351C05" w:rsidP="00351C05">
      <w:pPr>
        <w:pStyle w:val="NormalHanging12a"/>
        <w:tabs>
          <w:tab w:val="left" w:pos="0"/>
        </w:tabs>
        <w:suppressAutoHyphens/>
        <w:rPr>
          <w:szCs w:val="24"/>
        </w:rPr>
      </w:pPr>
      <w:r w:rsidRPr="00377E7B">
        <w:t>C.</w:t>
      </w:r>
      <w:r w:rsidRPr="00377E7B">
        <w:tab/>
        <w:t>Glufosinat klassificeras som ett reproduktionstoxiskt ämne i kategori 1B och omfattas därför av uteslutningskriterierna i Europaparlamentets och rådets förordning (EG) nr 1107/2009</w:t>
      </w:r>
      <w:r w:rsidRPr="00377E7B">
        <w:rPr>
          <w:rStyle w:val="FootnoteReference"/>
          <w:szCs w:val="24"/>
        </w:rPr>
        <w:footnoteReference w:id="5"/>
      </w:r>
      <w:r w:rsidRPr="00377E7B">
        <w:t>. Godkännandet av glufosinat för användning i unionen löpte ut den 31 juli 2018.</w:t>
      </w:r>
    </w:p>
    <w:p w:rsidR="00351C05" w:rsidRPr="00377E7B" w:rsidRDefault="00351C05" w:rsidP="00351C05">
      <w:pPr>
        <w:pStyle w:val="NormalHanging12a"/>
        <w:tabs>
          <w:tab w:val="left" w:pos="0"/>
        </w:tabs>
        <w:suppressAutoHyphens/>
        <w:rPr>
          <w:szCs w:val="24"/>
        </w:rPr>
      </w:pPr>
      <w:r w:rsidRPr="00377E7B">
        <w:t>D.</w:t>
      </w:r>
      <w:r w:rsidRPr="00377E7B">
        <w:tab/>
        <w:t>Cry1B.34 är ett syntetiskt fusionsprotein som kombinerar Cry1B, Cry1Ca1 och Cry9Db1, konstruerat för insektsresistens mot skadedjur av ordningen fjärilar, utan påvisad specificitet för målarter.</w:t>
      </w:r>
    </w:p>
    <w:p w:rsidR="00351C05" w:rsidRPr="00377E7B" w:rsidRDefault="00351C05" w:rsidP="00351C05">
      <w:pPr>
        <w:pStyle w:val="NormalHanging12a"/>
        <w:tabs>
          <w:tab w:val="left" w:pos="0"/>
        </w:tabs>
        <w:suppressAutoHyphens/>
        <w:rPr>
          <w:szCs w:val="24"/>
        </w:rPr>
      </w:pPr>
      <w:r w:rsidRPr="00377E7B">
        <w:t>E.</w:t>
      </w:r>
      <w:r w:rsidRPr="00377E7B">
        <w:tab/>
        <w:t>Den genetiska modifieringen omfattar en process i två steg där CRISPR/Cas9 används för att införa en ”landningsplats”, följt av bombardering med mikroprojektiler för införande av en genuttryckskassett.</w:t>
      </w:r>
    </w:p>
    <w:p w:rsidR="00351C05" w:rsidRPr="00377E7B" w:rsidRDefault="00351C05" w:rsidP="00351C05">
      <w:pPr>
        <w:pStyle w:val="NormalHanging12a"/>
        <w:rPr>
          <w:b/>
          <w:i/>
          <w:szCs w:val="24"/>
        </w:rPr>
      </w:pPr>
      <w:r w:rsidRPr="00377E7B">
        <w:rPr>
          <w:b/>
          <w:i/>
        </w:rPr>
        <w:t>Bristande bedömning av den kompletterande herbiciden</w:t>
      </w:r>
    </w:p>
    <w:p w:rsidR="00351C05" w:rsidRPr="00377E7B" w:rsidRDefault="00351C05" w:rsidP="00351C05">
      <w:pPr>
        <w:pStyle w:val="NormalHanging12a"/>
        <w:tabs>
          <w:tab w:val="left" w:pos="0"/>
        </w:tabs>
        <w:suppressAutoHyphens/>
        <w:rPr>
          <w:szCs w:val="24"/>
        </w:rPr>
      </w:pPr>
      <w:r w:rsidRPr="00377E7B">
        <w:t>F.</w:t>
      </w:r>
      <w:r w:rsidRPr="00377E7B">
        <w:tab/>
        <w:t>Enligt kommissionens genomförandeförordning (EU) nr 503/2013</w:t>
      </w:r>
      <w:r w:rsidRPr="00377E7B">
        <w:rPr>
          <w:rStyle w:val="FootnoteReference"/>
          <w:szCs w:val="24"/>
        </w:rPr>
        <w:footnoteReference w:id="6"/>
      </w:r>
      <w:r w:rsidRPr="00377E7B">
        <w:t xml:space="preserve"> krävs det en bedömning av huruvida de förväntade jordbruksmetoderna påverkar resultatet av de studerade parametrarna (endpoints). Enligt den genomförandeförordningen är detta särskilt relevant för herbicidtoleranta växter.</w:t>
      </w:r>
    </w:p>
    <w:p w:rsidR="00351C05" w:rsidRPr="00377E7B" w:rsidRDefault="00351C05" w:rsidP="00351C05">
      <w:pPr>
        <w:pStyle w:val="NormalHanging12a"/>
        <w:tabs>
          <w:tab w:val="left" w:pos="0"/>
        </w:tabs>
        <w:suppressAutoHyphens/>
        <w:rPr>
          <w:szCs w:val="24"/>
        </w:rPr>
      </w:pPr>
      <w:r w:rsidRPr="00377E7B">
        <w:t>G.</w:t>
      </w:r>
      <w:r w:rsidRPr="00377E7B">
        <w:tab/>
        <w:t xml:space="preserve">De allra flesta genetiskt modifierade grödor har modifierats genetiskt så att de är toleranta mot en eller flera ”kompletterande” herbicider som kan användas under hela </w:t>
      </w:r>
      <w:r w:rsidRPr="00377E7B">
        <w:lastRenderedPageBreak/>
        <w:t>odlingen av den genetiskt modifierade grödan utan att grödan dör, vilket skulle vara fallet med icke-herbicidtoleranta grödor. Flera studier visar att herbicidtoleranta genetiskt modifierade grödor leder till en ökad användning av kompletterande herbicider, till stor del på grund av att det uppstår herbicidtolerant ogräs</w:t>
      </w:r>
      <w:r w:rsidRPr="00377E7B">
        <w:rPr>
          <w:rStyle w:val="FootnoteReference"/>
          <w:szCs w:val="24"/>
        </w:rPr>
        <w:footnoteReference w:id="7"/>
      </w:r>
      <w:r w:rsidRPr="00377E7B">
        <w:t>.</w:t>
      </w:r>
    </w:p>
    <w:p w:rsidR="00351C05" w:rsidRPr="00377E7B" w:rsidRDefault="00351C05" w:rsidP="00351C05">
      <w:pPr>
        <w:pStyle w:val="NormalHanging12a"/>
        <w:tabs>
          <w:tab w:val="left" w:pos="0"/>
        </w:tabs>
        <w:suppressAutoHyphens/>
        <w:rPr>
          <w:szCs w:val="24"/>
        </w:rPr>
      </w:pPr>
      <w:r w:rsidRPr="00377E7B">
        <w:t>H.</w:t>
      </w:r>
      <w:r w:rsidRPr="00377E7B">
        <w:tab/>
        <w:t>Herbicidtoleranta genetiskt modifierade grödor gör att jordbrukare fastnar i ett ogräsbekämpningssystem som till stor del eller helt och hållet är beroende av herbicider. Detta beror på att genetiskt modifierat utsäde kostar mer, vilket kan motiveras endast om de jordbrukare som köper sådant utsäde också besprutar med de kompletterande herbiciderna. Ett ökat beroende av kompletterande herbicider på gårdar som odlar genetiskt modifierade grödor kommer att påskynda uppkomsten och spridningen av ogräs som är resistenta mot dessa herbicider, vilket utlöser ett behov av ännu mer herbicider, en ond cirkel som kan kallas ”herbicidekorrhjulet”.</w:t>
      </w:r>
    </w:p>
    <w:p w:rsidR="00351C05" w:rsidRPr="00377E7B" w:rsidRDefault="00351C05" w:rsidP="00351C05">
      <w:pPr>
        <w:pStyle w:val="NormalHanging12a"/>
        <w:tabs>
          <w:tab w:val="left" w:pos="0"/>
        </w:tabs>
        <w:suppressAutoHyphens/>
        <w:rPr>
          <w:szCs w:val="24"/>
        </w:rPr>
      </w:pPr>
      <w:r w:rsidRPr="00377E7B">
        <w:t>I.</w:t>
      </w:r>
      <w:r w:rsidRPr="00377E7B">
        <w:tab/>
        <w:t>Ett alltför stort beroende av herbicider kommer att öka de negativa effekterna vad gäller markens hälsa, vattenkvaliteten och den biologiska mångfalden ovan och under marken, samt leda till ökad exponering för människor och djur, eventuellt även genom ökade herbicidrester på livsmedel och foder.</w:t>
      </w:r>
    </w:p>
    <w:p w:rsidR="00351C05" w:rsidRPr="00377E7B" w:rsidRDefault="00351C05" w:rsidP="00351C05">
      <w:pPr>
        <w:pStyle w:val="NormalHanging12a"/>
        <w:tabs>
          <w:tab w:val="left" w:pos="0"/>
        </w:tabs>
        <w:suppressAutoHyphens/>
        <w:rPr>
          <w:szCs w:val="24"/>
        </w:rPr>
      </w:pPr>
      <w:r w:rsidRPr="00377E7B">
        <w:t>J.</w:t>
      </w:r>
      <w:r w:rsidRPr="00377E7B">
        <w:tab/>
        <w:t>Bedömning av herbicidrester och deras metaboliter på genetiskt modifierade växter omfattas inte av behörighetsområdet för Efsas panel för genetiskt modifierade organismer (Efsas GMO-panel), och utförs därför inte som en del i godkännandeförfarandet för genetiskt modifierade organismer.</w:t>
      </w:r>
    </w:p>
    <w:p w:rsidR="00351C05" w:rsidRPr="00377E7B" w:rsidRDefault="00351C05" w:rsidP="00351C05">
      <w:pPr>
        <w:pStyle w:val="NormalHanging12a"/>
        <w:keepNext/>
        <w:keepLines/>
        <w:widowControl/>
        <w:rPr>
          <w:b/>
          <w:i/>
          <w:szCs w:val="24"/>
        </w:rPr>
      </w:pPr>
      <w:r w:rsidRPr="00377E7B">
        <w:rPr>
          <w:b/>
          <w:i/>
        </w:rPr>
        <w:t>Kvarstående frågor om Bt-toxiner</w:t>
      </w:r>
    </w:p>
    <w:p w:rsidR="00351C05" w:rsidRPr="00377E7B" w:rsidRDefault="00351C05" w:rsidP="00351C05">
      <w:pPr>
        <w:pStyle w:val="NormalHanging12a"/>
        <w:keepNext/>
        <w:keepLines/>
        <w:widowControl/>
        <w:tabs>
          <w:tab w:val="left" w:pos="0"/>
        </w:tabs>
        <w:suppressAutoHyphens/>
        <w:rPr>
          <w:szCs w:val="24"/>
        </w:rPr>
      </w:pPr>
      <w:r w:rsidRPr="00377E7B">
        <w:t>K.</w:t>
      </w:r>
      <w:r w:rsidRPr="00377E7B">
        <w:tab/>
        <w:t>Flera studier visar att biverkningar som kan påverka immunsystemet har observerats efter exponering för Bt-toxiner och att vissa Bt-toxiner kan ha adjuvansegenskaper</w:t>
      </w:r>
      <w:r w:rsidRPr="00377E7B">
        <w:rPr>
          <w:rStyle w:val="FootnoteReference"/>
          <w:szCs w:val="24"/>
        </w:rPr>
        <w:footnoteReference w:id="8"/>
      </w:r>
      <w:r w:rsidRPr="00377E7B">
        <w:t>, vilket innebär att de kan öka de allergiframkallande egenskaperna hos andra proteiner som de kommer i kontakt med.</w:t>
      </w:r>
    </w:p>
    <w:p w:rsidR="00351C05" w:rsidRPr="00377E7B" w:rsidRDefault="00351C05" w:rsidP="00351C05">
      <w:pPr>
        <w:pStyle w:val="NormalHanging12a"/>
        <w:tabs>
          <w:tab w:val="left" w:pos="0"/>
        </w:tabs>
        <w:suppressAutoHyphens/>
        <w:rPr>
          <w:szCs w:val="24"/>
        </w:rPr>
      </w:pPr>
      <w:r w:rsidRPr="00377E7B">
        <w:t>L.</w:t>
      </w:r>
      <w:r w:rsidRPr="00377E7B">
        <w:tab/>
        <w:t xml:space="preserve">En vetenskaplig studie visade att Bt-toxinernas toxicitet också kan öka genom växelverkan med rester från besprutning med herbicider och att det behövs ytterligare studier av de kombinerade effekterna av staplade händelser (genetiskt modifierade grödor som har modifierats för att vara herbicidtoleranta och för att producera </w:t>
      </w:r>
      <w:r w:rsidRPr="00377E7B">
        <w:lastRenderedPageBreak/>
        <w:t>insekticider i form av Bt-toxiner)</w:t>
      </w:r>
      <w:r w:rsidRPr="00377E7B">
        <w:rPr>
          <w:rStyle w:val="FootnoteReference"/>
          <w:szCs w:val="24"/>
        </w:rPr>
        <w:footnoteReference w:id="9"/>
      </w:r>
      <w:r w:rsidRPr="00377E7B">
        <w:t>. Bedömning av herbicidresters och deras metaboliters potentiella växelverkan med Bt-toxiner omfattas dock inte av behörighetsområdet för Efsas GMO-panel och utförs därför inte som en del av riskbedömningen.</w:t>
      </w:r>
    </w:p>
    <w:p w:rsidR="00351C05" w:rsidRPr="00377E7B" w:rsidRDefault="00351C05" w:rsidP="00351C05">
      <w:pPr>
        <w:pStyle w:val="NormalHanging12a"/>
        <w:rPr>
          <w:b/>
          <w:i/>
          <w:szCs w:val="24"/>
        </w:rPr>
      </w:pPr>
      <w:r w:rsidRPr="00377E7B">
        <w:rPr>
          <w:b/>
          <w:i/>
        </w:rPr>
        <w:t>Bt-grödor: effekter på icke-målorganismer</w:t>
      </w:r>
    </w:p>
    <w:p w:rsidR="00351C05" w:rsidRPr="00377E7B" w:rsidRDefault="00351C05" w:rsidP="00351C05">
      <w:pPr>
        <w:pStyle w:val="NormalHanging12a"/>
        <w:tabs>
          <w:tab w:val="left" w:pos="0"/>
        </w:tabs>
        <w:suppressAutoHyphens/>
        <w:rPr>
          <w:szCs w:val="24"/>
        </w:rPr>
      </w:pPr>
      <w:r w:rsidRPr="00377E7B">
        <w:t>M.</w:t>
      </w:r>
      <w:r w:rsidRPr="00377E7B">
        <w:tab/>
        <w:t>Till skillnad från användningen av insekticider, där exponering sker vid tidpunkten för besprutning och en begränsad tidsperiod därefter, innebär användningen av genetiskt modifierade Bt-grödor att mål- och icke-målorganismer kontinuerligt exponeras för Bt</w:t>
      </w:r>
      <w:r w:rsidRPr="00377E7B">
        <w:noBreakHyphen/>
        <w:t>toxiner.</w:t>
      </w:r>
    </w:p>
    <w:p w:rsidR="00351C05" w:rsidRPr="00377E7B" w:rsidRDefault="00351C05" w:rsidP="00351C05">
      <w:pPr>
        <w:pStyle w:val="NormalHanging12a"/>
        <w:tabs>
          <w:tab w:val="left" w:pos="0"/>
        </w:tabs>
        <w:suppressAutoHyphens/>
        <w:rPr>
          <w:szCs w:val="24"/>
        </w:rPr>
      </w:pPr>
      <w:r w:rsidRPr="00377E7B">
        <w:t>N.</w:t>
      </w:r>
      <w:r w:rsidRPr="00377E7B">
        <w:tab/>
        <w:t>Antagandet att Bt-toxiner uppvisar ett enskilt målspecifikt beteende kan inte längre anses vara korrekt och effekter på icke-målorganismer kan inte uteslutas. Ett ökande antal icke-målorganismer rapporteras ha påverkats på flera olika sätt.</w:t>
      </w:r>
    </w:p>
    <w:p w:rsidR="00351C05" w:rsidRPr="00377E7B" w:rsidRDefault="00351C05" w:rsidP="00351C05">
      <w:pPr>
        <w:pStyle w:val="NormalHanging12a"/>
        <w:rPr>
          <w:b/>
          <w:i/>
          <w:szCs w:val="24"/>
        </w:rPr>
      </w:pPr>
      <w:r w:rsidRPr="00377E7B">
        <w:rPr>
          <w:b/>
          <w:i/>
        </w:rPr>
        <w:t>Synpunkter från medlemsstaterna och berörda parter</w:t>
      </w:r>
    </w:p>
    <w:p w:rsidR="00351C05" w:rsidRPr="00377E7B" w:rsidRDefault="00351C05" w:rsidP="00351C05">
      <w:pPr>
        <w:pStyle w:val="NormalHanging12a"/>
        <w:tabs>
          <w:tab w:val="left" w:pos="0"/>
        </w:tabs>
        <w:suppressAutoHyphens/>
        <w:rPr>
          <w:szCs w:val="24"/>
        </w:rPr>
      </w:pPr>
      <w:r w:rsidRPr="00377E7B">
        <w:t>O.</w:t>
      </w:r>
      <w:r w:rsidRPr="00377E7B">
        <w:tab/>
        <w:t>Medlemsstaterna lämnade många kritiska synpunkter till Efsa under den tre månader långa samrådsperioden</w:t>
      </w:r>
      <w:r w:rsidRPr="00377E7B">
        <w:rPr>
          <w:rStyle w:val="FootnoteReference"/>
          <w:szCs w:val="24"/>
        </w:rPr>
        <w:footnoteReference w:id="10"/>
      </w:r>
      <w:r w:rsidRPr="00377E7B">
        <w:t xml:space="preserve">, bland annat att förteckningen över relevanta studier, som identifierats i den sökandes litteraturgenomgång, inte innehöll studier om Bt-proteiners omvandling, spridning och fördelning i miljön eller om potentiella effekter av resthalter av Bt-grödor på icke-målorganismer, trots att sådana studier finns. </w:t>
      </w:r>
    </w:p>
    <w:p w:rsidR="00351C05" w:rsidRPr="00377E7B" w:rsidRDefault="00351C05" w:rsidP="00351C05">
      <w:pPr>
        <w:pStyle w:val="NormalHanging12a"/>
        <w:tabs>
          <w:tab w:val="left" w:pos="0"/>
        </w:tabs>
        <w:suppressAutoHyphens/>
        <w:rPr>
          <w:szCs w:val="24"/>
        </w:rPr>
      </w:pPr>
      <w:bookmarkStart w:id="7" w:name="_GoBack_Copy_1"/>
      <w:bookmarkEnd w:id="7"/>
      <w:r w:rsidRPr="00377E7B">
        <w:t>P.</w:t>
      </w:r>
      <w:r w:rsidRPr="00377E7B">
        <w:tab/>
        <w:t>Fältförsöken för analys av sammansättningen och fenotyp för den genetiskt modifierade majsen tog inte hänsyn till olika miljöförhållanden och genetiska bakgrunder som är relevanta för dess odling, särskilt i länder som Brasilien.</w:t>
      </w:r>
    </w:p>
    <w:p w:rsidR="00351C05" w:rsidRPr="00377E7B" w:rsidRDefault="00351C05" w:rsidP="00351C05">
      <w:pPr>
        <w:pStyle w:val="NormalHanging12a"/>
        <w:tabs>
          <w:tab w:val="left" w:pos="0"/>
        </w:tabs>
        <w:suppressAutoHyphens/>
        <w:rPr>
          <w:szCs w:val="24"/>
        </w:rPr>
      </w:pPr>
      <w:r w:rsidRPr="00377E7B">
        <w:t>Q.</w:t>
      </w:r>
      <w:r w:rsidRPr="00377E7B">
        <w:tab/>
        <w:t>Toxicitetsbedömningen av Cry1B.34 tar inte hänsyn till kombinerade effekter med växtbeståndsdelar eller resthalter från appliceringar av herbicider.</w:t>
      </w:r>
    </w:p>
    <w:p w:rsidR="00351C05" w:rsidRPr="00377E7B" w:rsidRDefault="00351C05" w:rsidP="00351C05">
      <w:pPr>
        <w:pStyle w:val="NormalHanging12a"/>
        <w:keepNext/>
        <w:keepLines/>
        <w:widowControl/>
        <w:tabs>
          <w:tab w:val="left" w:pos="0"/>
        </w:tabs>
        <w:suppressAutoHyphens/>
        <w:rPr>
          <w:szCs w:val="24"/>
        </w:rPr>
      </w:pPr>
      <w:r w:rsidRPr="00377E7B">
        <w:t>R.</w:t>
      </w:r>
      <w:r w:rsidRPr="00377E7B">
        <w:tab/>
        <w:t>Glufosinat, den kompletterande herbiciden, är förknippat med betydande risker för den biologiska mångfalden, mark- och vattenkvaliteten och ekosystemens hälsa på lång sikt.</w:t>
      </w:r>
    </w:p>
    <w:p w:rsidR="00351C05" w:rsidRPr="00377E7B" w:rsidRDefault="00351C05" w:rsidP="00351C05">
      <w:pPr>
        <w:pStyle w:val="NormalHanging12a"/>
        <w:tabs>
          <w:tab w:val="left" w:pos="0"/>
        </w:tabs>
        <w:suppressAutoHyphens/>
        <w:rPr>
          <w:szCs w:val="24"/>
        </w:rPr>
      </w:pPr>
      <w:r w:rsidRPr="00377E7B">
        <w:t>S.</w:t>
      </w:r>
      <w:r w:rsidRPr="00377E7B">
        <w:tab/>
        <w:t>Risken för genflöde till vilda släktingar såsom teosinter, vilket rapporterats i Spanien och Frankrike, väcker oro över transgen persistens och miljöpåverkan.</w:t>
      </w:r>
    </w:p>
    <w:p w:rsidR="00351C05" w:rsidRPr="00377E7B" w:rsidRDefault="00351C05" w:rsidP="00351C05">
      <w:pPr>
        <w:pStyle w:val="NormalHanging12a"/>
        <w:tabs>
          <w:tab w:val="left" w:pos="0"/>
        </w:tabs>
        <w:suppressAutoHyphens/>
        <w:rPr>
          <w:szCs w:val="24"/>
        </w:rPr>
      </w:pPr>
      <w:r w:rsidRPr="00377E7B">
        <w:t>T.</w:t>
      </w:r>
      <w:r w:rsidRPr="00377E7B">
        <w:tab/>
        <w:t>Övervakningskraven enligt genomförandeförordning (EU) nr 503/2013 beaktas i otillräcklig mån, utan någon oberoende granskning av de data som tillhandahålls.</w:t>
      </w:r>
    </w:p>
    <w:p w:rsidR="00351C05" w:rsidRPr="00377E7B" w:rsidRDefault="00351C05" w:rsidP="00221922">
      <w:pPr>
        <w:pStyle w:val="NormalHanging12a"/>
        <w:ind w:left="0" w:firstLine="0"/>
        <w:rPr>
          <w:b/>
          <w:i/>
          <w:szCs w:val="24"/>
        </w:rPr>
      </w:pPr>
      <w:r w:rsidRPr="00377E7B">
        <w:rPr>
          <w:b/>
          <w:i/>
        </w:rPr>
        <w:t>Säkerställande av lika villkor på global nivå och upprätthållande av unionens internationella skyldigheter</w:t>
      </w:r>
    </w:p>
    <w:p w:rsidR="00351C05" w:rsidRPr="00377E7B" w:rsidRDefault="00351C05" w:rsidP="00351C05">
      <w:pPr>
        <w:pStyle w:val="NormalHanging12a"/>
        <w:tabs>
          <w:tab w:val="left" w:pos="0"/>
        </w:tabs>
        <w:suppressAutoHyphens/>
        <w:rPr>
          <w:szCs w:val="24"/>
        </w:rPr>
      </w:pPr>
      <w:r w:rsidRPr="00377E7B">
        <w:lastRenderedPageBreak/>
        <w:t>U.</w:t>
      </w:r>
      <w:r w:rsidRPr="00377E7B">
        <w:tab/>
        <w:t>I slutsatserna från den strategiska dialogen om framtiden för EU:s jordbruk</w:t>
      </w:r>
      <w:r w:rsidRPr="00377E7B">
        <w:rPr>
          <w:vertAlign w:val="superscript"/>
        </w:rPr>
        <w:footnoteReference w:id="11"/>
      </w:r>
      <w:r w:rsidRPr="00377E7B">
        <w:t xml:space="preserve"> uppmanas kommissionen att ompröva sin strategi för marknadstillträde för import och export av jordbruksbaserade livsmedel, med tanke på utmaningen med olika standarder för unionen och dess handelspartner. Rättvisare handelsförbindelser på global nivå som är förenliga med målen för en hälsosam miljö var ett av jordbrukarnas viktigaste krav under demonstrationerna 2023 och 2024.</w:t>
      </w:r>
    </w:p>
    <w:p w:rsidR="00351C05" w:rsidRDefault="00351C05" w:rsidP="00351C05">
      <w:pPr>
        <w:pStyle w:val="NormalHanging12a"/>
        <w:tabs>
          <w:tab w:val="left" w:pos="0"/>
        </w:tabs>
        <w:suppressAutoHyphens/>
      </w:pPr>
      <w:r w:rsidRPr="00377E7B">
        <w:t>V.</w:t>
      </w:r>
      <w:r w:rsidRPr="00377E7B">
        <w:tab/>
        <w:t>En rapport från 2017 från FN:s särskilda rapportör om rätten till mat visar att farliga pesticider har katastrofala hälsoeffekter, särskilt i utvecklingsländerna</w:t>
      </w:r>
      <w:r w:rsidRPr="00377E7B">
        <w:rPr>
          <w:vertAlign w:val="superscript"/>
        </w:rPr>
        <w:footnoteReference w:id="12"/>
      </w:r>
      <w:r w:rsidRPr="00377E7B">
        <w:t>. FN:s mål 3.9 för hållbar utveckling strävar efter att man senast 2030 avsevärt ska ha minskat antalet dödsfall och sjukdomar som orsakas av farliga kemikalier samt förorening och kontaminering av luft, vatten och mark</w:t>
      </w:r>
      <w:r w:rsidRPr="00377E7B">
        <w:rPr>
          <w:rStyle w:val="FootnoteReference"/>
          <w:szCs w:val="24"/>
        </w:rPr>
        <w:footnoteReference w:id="13"/>
      </w:r>
      <w:r w:rsidRPr="00377E7B">
        <w:t>.</w:t>
      </w:r>
    </w:p>
    <w:p w:rsidR="00533832" w:rsidRPr="00377E7B" w:rsidRDefault="00533832" w:rsidP="00351C05">
      <w:pPr>
        <w:pStyle w:val="NormalHanging12a"/>
        <w:tabs>
          <w:tab w:val="left" w:pos="0"/>
        </w:tabs>
        <w:suppressAutoHyphens/>
        <w:rPr>
          <w:szCs w:val="24"/>
        </w:rPr>
      </w:pPr>
      <w:r>
        <w:rPr>
          <w:szCs w:val="24"/>
        </w:rPr>
        <w:t>W</w:t>
      </w:r>
      <w:r w:rsidRPr="00533832">
        <w:rPr>
          <w:szCs w:val="24"/>
        </w:rPr>
        <w:t>.</w:t>
      </w:r>
      <w:r w:rsidRPr="00533832">
        <w:rPr>
          <w:szCs w:val="24"/>
        </w:rPr>
        <w:tab/>
        <w:t xml:space="preserve">Handelsavtalet mellan EU och </w:t>
      </w:r>
      <w:proofErr w:type="spellStart"/>
      <w:r w:rsidRPr="00533832">
        <w:rPr>
          <w:szCs w:val="24"/>
        </w:rPr>
        <w:t>Mercosur</w:t>
      </w:r>
      <w:proofErr w:type="spellEnd"/>
      <w:r w:rsidRPr="00533832">
        <w:rPr>
          <w:szCs w:val="24"/>
        </w:rPr>
        <w:t xml:space="preserve"> kommer att ge incitament </w:t>
      </w:r>
      <w:r w:rsidR="00406850">
        <w:rPr>
          <w:szCs w:val="24"/>
        </w:rPr>
        <w:t xml:space="preserve">att till unionen </w:t>
      </w:r>
      <w:r w:rsidRPr="00533832">
        <w:rPr>
          <w:szCs w:val="24"/>
        </w:rPr>
        <w:t>import</w:t>
      </w:r>
      <w:r w:rsidR="00406850">
        <w:rPr>
          <w:szCs w:val="24"/>
        </w:rPr>
        <w:t>era</w:t>
      </w:r>
      <w:r w:rsidRPr="00533832">
        <w:rPr>
          <w:szCs w:val="24"/>
        </w:rPr>
        <w:t xml:space="preserve"> livsmedel och foder som innehåller, består av eller har framställts av genetiskt modifierade organismer. Brasilien och Argentina hör till världens största producenter av genetiskt modifierade organismer och användare av bekämpningsmedel, däribland genetiskt modifierade organismer och bekämpningsmedel som av hälso- eller miljöskäl är förbjudna i unionen.</w:t>
      </w:r>
    </w:p>
    <w:p w:rsidR="00351C05" w:rsidRPr="00377E7B" w:rsidRDefault="00533832" w:rsidP="00351C05">
      <w:pPr>
        <w:pStyle w:val="NormalHanging12a"/>
        <w:tabs>
          <w:tab w:val="left" w:pos="0"/>
        </w:tabs>
        <w:suppressAutoHyphens/>
        <w:rPr>
          <w:szCs w:val="24"/>
        </w:rPr>
      </w:pPr>
      <w:r>
        <w:t>X</w:t>
      </w:r>
      <w:r w:rsidR="00351C05" w:rsidRPr="00377E7B">
        <w:t>.</w:t>
      </w:r>
      <w:r w:rsidR="00351C05" w:rsidRPr="00377E7B">
        <w:tab/>
        <w:t>Den globala Kunming-Montreal-ramen för biologisk mångfald, som antogs vid FN:s femtonde partskonferens (COP15) för konventionen om biologisk mångfald i december 2022, innehåller ett globalt mål om att minska riskerna med bekämpningsmedel med minst 50 % till 2030</w:t>
      </w:r>
      <w:r w:rsidR="00351C05" w:rsidRPr="00377E7B">
        <w:rPr>
          <w:vertAlign w:val="superscript"/>
        </w:rPr>
        <w:footnoteReference w:id="14"/>
      </w:r>
      <w:r w:rsidR="00351C05" w:rsidRPr="00377E7B">
        <w:t>.</w:t>
      </w:r>
    </w:p>
    <w:p w:rsidR="00351C05" w:rsidRPr="00377E7B" w:rsidRDefault="00533832" w:rsidP="00351C05">
      <w:pPr>
        <w:pStyle w:val="NormalHanging12a"/>
        <w:tabs>
          <w:tab w:val="left" w:pos="0"/>
        </w:tabs>
        <w:suppressAutoHyphens/>
        <w:rPr>
          <w:szCs w:val="24"/>
        </w:rPr>
      </w:pPr>
      <w:r>
        <w:t>Y</w:t>
      </w:r>
      <w:r w:rsidR="00351C05" w:rsidRPr="00377E7B">
        <w:t>.</w:t>
      </w:r>
      <w:r w:rsidR="00351C05" w:rsidRPr="00377E7B">
        <w:tab/>
        <w:t>I förordning (EG) nr 1829/2003 fastställs det att genetiskt modifierade livsmedel eller foder inte får ha negativa effekter på människors eller djurs hälsa eller på miljön och att kommissionen vid utarbetandet av sitt beslut ska ta hänsyn till alla relevanta bestämmelser i unionsrätten och andra berättigade faktorer som har betydelse för den aktuella frågan. Sådana berättigade faktorer bör inbegripa unionens skyldigheter enligt FN:s mål för hållbar utveckling och FN:s konvention om biologisk mångfald.</w:t>
      </w:r>
    </w:p>
    <w:p w:rsidR="00351C05" w:rsidRPr="00377E7B" w:rsidRDefault="00351C05" w:rsidP="00941EFD">
      <w:pPr>
        <w:pStyle w:val="NormalHanging12a"/>
        <w:rPr>
          <w:b/>
          <w:i/>
          <w:szCs w:val="24"/>
        </w:rPr>
      </w:pPr>
      <w:r w:rsidRPr="00377E7B">
        <w:rPr>
          <w:b/>
          <w:i/>
        </w:rPr>
        <w:t>Minska beroendet av importerat foder</w:t>
      </w:r>
    </w:p>
    <w:p w:rsidR="00351C05" w:rsidRPr="00377E7B" w:rsidRDefault="00533832" w:rsidP="00941EFD">
      <w:pPr>
        <w:pStyle w:val="NormalHanging12a"/>
        <w:tabs>
          <w:tab w:val="left" w:pos="0"/>
        </w:tabs>
        <w:suppressAutoHyphens/>
        <w:rPr>
          <w:b/>
          <w:i/>
          <w:szCs w:val="24"/>
        </w:rPr>
      </w:pPr>
      <w:r>
        <w:t>Z</w:t>
      </w:r>
      <w:r w:rsidR="00351C05" w:rsidRPr="00377E7B">
        <w:t>.</w:t>
      </w:r>
      <w:r w:rsidR="00351C05" w:rsidRPr="00377E7B">
        <w:tab/>
        <w:t>En av lärdomarna från covid-19-krisen och det pågående kriget i Ukraina är att unionen behöver bli oberoende när det gäller vissa kritiska material. I uppdragsbeskrivningen för kommissionsledamoten Christophe Hansen uppmanar kommissionens ordförande Ursula von der Leyen honom att undersöka olika sätt att minska importen av kritiska råvaror</w:t>
      </w:r>
      <w:r w:rsidR="00351C05" w:rsidRPr="00377E7B">
        <w:rPr>
          <w:rStyle w:val="FootnoteReference"/>
          <w:szCs w:val="24"/>
        </w:rPr>
        <w:footnoteReference w:id="15"/>
      </w:r>
      <w:r w:rsidR="00351C05" w:rsidRPr="00377E7B">
        <w:t xml:space="preserve">. </w:t>
      </w:r>
    </w:p>
    <w:p w:rsidR="00351C05" w:rsidRPr="00377E7B" w:rsidRDefault="00351C05" w:rsidP="00351C05">
      <w:pPr>
        <w:pStyle w:val="NormalHanging12a"/>
        <w:rPr>
          <w:b/>
          <w:i/>
          <w:szCs w:val="24"/>
        </w:rPr>
      </w:pPr>
      <w:r w:rsidRPr="00377E7B">
        <w:rPr>
          <w:b/>
          <w:i/>
        </w:rPr>
        <w:lastRenderedPageBreak/>
        <w:t>Odemokratisk beslutsprocess</w:t>
      </w:r>
    </w:p>
    <w:p w:rsidR="00351C05" w:rsidRPr="00377E7B" w:rsidRDefault="00533832" w:rsidP="00351C05">
      <w:pPr>
        <w:pStyle w:val="NormalHanging12a"/>
        <w:tabs>
          <w:tab w:val="left" w:pos="0"/>
        </w:tabs>
        <w:suppressAutoHyphens/>
        <w:rPr>
          <w:szCs w:val="24"/>
        </w:rPr>
      </w:pPr>
      <w:r>
        <w:t>AA</w:t>
      </w:r>
      <w:r w:rsidR="00351C05" w:rsidRPr="00377E7B">
        <w:t>.</w:t>
      </w:r>
      <w:r w:rsidR="00351C05" w:rsidRPr="00377E7B">
        <w:tab/>
        <w:t>Under den åttonde valperioden antog parlamentet sammanlagt 36 resolutioner med invändningar mot utsläppande på marknaden av genetiskt modifierade organismer för livsmedel och foder (33 resolutioner) och mot odling av genetiskt modifierade organismer i unionen (3 resolutioner). Under den nionde valperioden antog parlamentet 38 resolutioner med invändningar mot utsläppande på marknaden av genetiskt modifierade organismer, och under den nuvarande tionde valperioden har parlamentet redan antagit 8 resolutioner med invändningar mot utsläppande på marknaden av genetiskt modifierade organismer.</w:t>
      </w:r>
    </w:p>
    <w:p w:rsidR="00351C05" w:rsidRPr="00377E7B" w:rsidRDefault="00351C05" w:rsidP="00351C05">
      <w:pPr>
        <w:pStyle w:val="NormalHanging12a"/>
        <w:tabs>
          <w:tab w:val="left" w:pos="0"/>
        </w:tabs>
        <w:suppressAutoHyphens/>
        <w:rPr>
          <w:szCs w:val="24"/>
        </w:rPr>
      </w:pPr>
      <w:r w:rsidRPr="00377E7B">
        <w:t>A</w:t>
      </w:r>
      <w:r w:rsidR="00533832">
        <w:t>B</w:t>
      </w:r>
      <w:r w:rsidRPr="00377E7B">
        <w:t>.</w:t>
      </w:r>
      <w:r w:rsidRPr="00377E7B">
        <w:tab/>
        <w:t>Trots att kommissionen själv erkänner de demokratiska bristerna, och trots det bristande stödet från medlemsstaterna och parlamentets invändningar, fortsätter kommissionen att godkänna genetiskt modifierade organismer.</w:t>
      </w:r>
    </w:p>
    <w:p w:rsidR="00351C05" w:rsidRPr="00377E7B" w:rsidRDefault="00351C05" w:rsidP="00351C05">
      <w:pPr>
        <w:pStyle w:val="NormalHanging12a"/>
        <w:tabs>
          <w:tab w:val="left" w:pos="0"/>
        </w:tabs>
        <w:suppressAutoHyphens/>
        <w:rPr>
          <w:szCs w:val="24"/>
        </w:rPr>
      </w:pPr>
      <w:r w:rsidRPr="00377E7B">
        <w:t>A</w:t>
      </w:r>
      <w:r w:rsidR="00533832">
        <w:t>C</w:t>
      </w:r>
      <w:r w:rsidRPr="00377E7B">
        <w:t>.</w:t>
      </w:r>
      <w:r w:rsidRPr="00377E7B">
        <w:tab/>
        <w:t>Det krävs ingen ändring av lagstiftningen för att kommissionen ska kunna avstå från att godkänna genetiskt modifierade organismer när det inte finns stöd av en kvalificerad majoritet av medlemsstaterna i omprövningskommittén</w:t>
      </w:r>
      <w:r w:rsidRPr="00377E7B">
        <w:rPr>
          <w:rStyle w:val="FootnoteReference"/>
          <w:szCs w:val="24"/>
        </w:rPr>
        <w:footnoteReference w:id="16"/>
      </w:r>
      <w:r w:rsidRPr="00377E7B">
        <w:t>.</w:t>
      </w:r>
    </w:p>
    <w:p w:rsidR="00351C05" w:rsidRPr="00377E7B" w:rsidRDefault="00351C05" w:rsidP="00351C05">
      <w:pPr>
        <w:suppressAutoHyphens/>
        <w:spacing w:after="240"/>
        <w:ind w:left="567" w:hanging="567"/>
        <w:rPr>
          <w:szCs w:val="24"/>
          <w:shd w:val="clear" w:color="auto" w:fill="FFFFFF"/>
        </w:rPr>
      </w:pPr>
      <w:r w:rsidRPr="00377E7B">
        <w:t>A</w:t>
      </w:r>
      <w:r w:rsidR="00533832">
        <w:t>D</w:t>
      </w:r>
      <w:r w:rsidRPr="00377E7B">
        <w:t>.</w:t>
      </w:r>
      <w:r w:rsidRPr="00377E7B">
        <w:tab/>
      </w:r>
      <w:r w:rsidRPr="00377E7B">
        <w:rPr>
          <w:shd w:val="clear" w:color="auto" w:fill="FFFFFF"/>
        </w:rPr>
        <w:t>Vid omröstningen den 22 november 2024 i ständiga kommittén för växter, djur, livsmedel och foder som avses i artikel 35 i förordning (EG) nr 1829/2003 avgavs inget yttrande, vilket innebär att godkännandet inte stöddes av en kvalificerad majoritet av medlemsstaterna. Vid omröstningen den 17 december 2024 i omprövningskommittén avgavs inte heller något yttrande.</w:t>
      </w:r>
    </w:p>
    <w:p w:rsidR="00351C05" w:rsidRPr="00377E7B" w:rsidRDefault="00351C05" w:rsidP="00351C05">
      <w:pPr>
        <w:pStyle w:val="NormalHanging12a"/>
        <w:rPr>
          <w:szCs w:val="24"/>
        </w:rPr>
      </w:pPr>
      <w:r w:rsidRPr="00377E7B">
        <w:t>1.</w:t>
      </w:r>
      <w:r w:rsidRPr="00377E7B">
        <w:tab/>
        <w:t>Europaparlamentet anser att utkastet till kommissionens genomförandebeslut överskrider de genomförandebefogenheter som fastställs i förordning (EG) nr 1829/2003.</w:t>
      </w:r>
    </w:p>
    <w:p w:rsidR="00351C05" w:rsidRPr="00377E7B" w:rsidRDefault="00351C05" w:rsidP="00941EFD">
      <w:pPr>
        <w:pStyle w:val="NormalHanging12a"/>
        <w:rPr>
          <w:szCs w:val="24"/>
        </w:rPr>
      </w:pPr>
      <w:r w:rsidRPr="00377E7B">
        <w:t>2.</w:t>
      </w:r>
      <w:r w:rsidRPr="00377E7B">
        <w:tab/>
        <w:t>Europaparlamentet anser att utkastet till kommissionens genomförandebeslut inte överensstämmer med unionsrätten, eftersom det inte är förenligt med syftet med förordning (EG) nr 1829/2003, nämligen att, i enlighet med de allmänna principerna i Europaparlamentets och rådets förordning (EG) nr 178/2002</w:t>
      </w:r>
      <w:r w:rsidRPr="00377E7B">
        <w:rPr>
          <w:rStyle w:val="FootnoteReference"/>
          <w:szCs w:val="24"/>
        </w:rPr>
        <w:footnoteReference w:id="17"/>
      </w:r>
      <w:r w:rsidRPr="00377E7B">
        <w:t>, skapa en grund för att säkerställa ett gott skydd för människors liv och hälsa, djurs hälsa och välbefinnande samt miljö- och konsumentintressena med avseende på genetiskt modifierade livsmedel och foder, och att samtidigt sörja för att den inre marknaden fungerar på ett effektivt sätt.</w:t>
      </w:r>
    </w:p>
    <w:p w:rsidR="00351C05" w:rsidRPr="00377E7B" w:rsidRDefault="00351C05" w:rsidP="00351C05">
      <w:pPr>
        <w:pStyle w:val="NormalHanging12a"/>
        <w:keepNext/>
        <w:keepLines/>
        <w:widowControl/>
        <w:rPr>
          <w:szCs w:val="24"/>
        </w:rPr>
      </w:pPr>
      <w:r w:rsidRPr="00377E7B">
        <w:t>3.</w:t>
      </w:r>
      <w:r w:rsidRPr="00377E7B">
        <w:tab/>
        <w:t>Europaparlamentet uppmanar kommissionen att dra tillbaka sitt utkast till genomförandebeslut och att lägga fram ett nytt utkast för kommittén.</w:t>
      </w:r>
    </w:p>
    <w:p w:rsidR="00351C05" w:rsidRPr="00377E7B" w:rsidRDefault="00351C05" w:rsidP="00351C05">
      <w:pPr>
        <w:pStyle w:val="NormalHanging12a"/>
        <w:rPr>
          <w:szCs w:val="24"/>
        </w:rPr>
      </w:pPr>
      <w:r w:rsidRPr="00377E7B">
        <w:t>4.</w:t>
      </w:r>
      <w:r w:rsidRPr="00377E7B">
        <w:tab/>
        <w:t xml:space="preserve">Europaparlamentet uppmanar kommissionen att säkerställa konvergens mellan unionens och dess partners normer i förhandlingarna om frihandelsavtal, så att unionens </w:t>
      </w:r>
      <w:r w:rsidRPr="00377E7B">
        <w:lastRenderedPageBreak/>
        <w:t>säkerhetsnormer följs.</w:t>
      </w:r>
    </w:p>
    <w:p w:rsidR="00351C05" w:rsidRPr="00377E7B" w:rsidRDefault="00351C05" w:rsidP="00351C05">
      <w:pPr>
        <w:pStyle w:val="NormalHanging12a"/>
        <w:rPr>
          <w:szCs w:val="24"/>
        </w:rPr>
      </w:pPr>
      <w:r w:rsidRPr="00377E7B">
        <w:t>5.</w:t>
      </w:r>
      <w:r w:rsidRPr="00377E7B">
        <w:tab/>
        <w:t>Europaparlamentet uppmanar kommissionen att inte godkänna genetiskt modifierad majs på grund av de ökade riskerna för den biologiska mångfalden, livsmedelssäkerheten och arbetstagarnas hälsa i enlighet med One health-modellen.</w:t>
      </w:r>
    </w:p>
    <w:p w:rsidR="00351C05" w:rsidRPr="00377E7B" w:rsidRDefault="00351C05" w:rsidP="00351C05">
      <w:pPr>
        <w:pStyle w:val="NormalHanging12a"/>
        <w:rPr>
          <w:szCs w:val="24"/>
        </w:rPr>
      </w:pPr>
      <w:r w:rsidRPr="00377E7B">
        <w:t>6.</w:t>
      </w:r>
      <w:r w:rsidRPr="00377E7B">
        <w:tab/>
        <w:t>Europaparlamentet förväntar sig att kommissionen snarast infriar sitt åtagande</w:t>
      </w:r>
      <w:r w:rsidRPr="00377E7B">
        <w:rPr>
          <w:rStyle w:val="FootnoteReference"/>
          <w:szCs w:val="24"/>
        </w:rPr>
        <w:footnoteReference w:id="18"/>
      </w:r>
      <w:r w:rsidRPr="00377E7B">
        <w:t xml:space="preserve"> att lägga fram ett förslag för att säkerställa att farliga kemikalier som är förbjudna i unionen inte produceras för export.</w:t>
      </w:r>
    </w:p>
    <w:p w:rsidR="00351C05" w:rsidRPr="00377E7B" w:rsidRDefault="00351C05" w:rsidP="00351C05">
      <w:pPr>
        <w:pStyle w:val="NormalHanging12a"/>
        <w:rPr>
          <w:szCs w:val="24"/>
        </w:rPr>
      </w:pPr>
      <w:r w:rsidRPr="00377E7B">
        <w:t>7.</w:t>
      </w:r>
      <w:r w:rsidRPr="00377E7B">
        <w:tab/>
        <w:t>Europaparlamentet välkomnar att kommissionen i en skrivelse till ledamöterna av den 11 september 2020 slutligen medgav att hållbarheten måste tas i beaktande i beslut om godkännande av genetiskt modifierade organismer</w:t>
      </w:r>
      <w:r w:rsidRPr="00377E7B">
        <w:rPr>
          <w:rStyle w:val="FootnoteReference"/>
          <w:szCs w:val="24"/>
        </w:rPr>
        <w:footnoteReference w:id="19"/>
      </w:r>
      <w:r w:rsidRPr="00377E7B">
        <w:t>. Parlamentet uttrycker dock sin djupa besvikelse över att kommissionen sedan dess har fortsatt att godkänna genetiskt modifierade organismer för import till unionen, trots att parlamentet har fortsatt med sina invändningar och att en majoritet av medlemsstaterna har röstat emot.</w:t>
      </w:r>
    </w:p>
    <w:p w:rsidR="00351C05" w:rsidRPr="00377E7B" w:rsidRDefault="00351C05" w:rsidP="00351C05">
      <w:pPr>
        <w:pStyle w:val="NormalHanging12a"/>
      </w:pPr>
      <w:r w:rsidRPr="00377E7B">
        <w:t>8.</w:t>
      </w:r>
      <w:r w:rsidRPr="00377E7B">
        <w:tab/>
        <w:t>Europaparlamentet uppmanar än en gång kommissionen att beakta unionens skyldigheter enligt internationella avtal, såsom Parisavtalet om klimatförändringar, FN:s konvention om biologisk mångfald och FN:s mål för hållbar utveckling. Parlamentet upprepar sin begäran om att utkasten till genomförandeakter ska åtföljas av en motivering där det förklaras hur de upprätthåller principen om att inte göra någon skada</w:t>
      </w:r>
      <w:r w:rsidRPr="00377E7B">
        <w:rPr>
          <w:rStyle w:val="FootnoteReference"/>
          <w:szCs w:val="24"/>
        </w:rPr>
        <w:footnoteReference w:id="20"/>
      </w:r>
      <w:r w:rsidRPr="00377E7B">
        <w:t xml:space="preserve">. </w:t>
      </w:r>
    </w:p>
    <w:p w:rsidR="00377E7B" w:rsidRPr="00377E7B" w:rsidRDefault="00351C05" w:rsidP="00377E7B">
      <w:pPr>
        <w:pStyle w:val="NormalHanging12a"/>
      </w:pPr>
      <w:r w:rsidRPr="00377E7B">
        <w:t>9.</w:t>
      </w:r>
      <w:r w:rsidRPr="00377E7B">
        <w:tab/>
        <w:t>Europaparlamentet uppdrar åt talmannen att översända</w:t>
      </w:r>
      <w:bookmarkStart w:id="8" w:name="_GoBack"/>
      <w:bookmarkEnd w:id="8"/>
      <w:r w:rsidRPr="00377E7B">
        <w:t xml:space="preserve"> denna resolution till rådet och kommissionen samt till medlemsstaternas regeringar och parlament.</w:t>
      </w:r>
    </w:p>
    <w:p w:rsidR="00E365E1" w:rsidRPr="00377E7B" w:rsidRDefault="00E365E1" w:rsidP="006A6848"/>
    <w:sectPr w:rsidR="00E365E1" w:rsidRPr="00377E7B" w:rsidSect="00377E7B">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A6848" w:rsidRPr="00377E7B" w:rsidRDefault="006A6848">
      <w:r w:rsidRPr="00377E7B">
        <w:separator/>
      </w:r>
    </w:p>
  </w:endnote>
  <w:endnote w:type="continuationSeparator" w:id="0">
    <w:p w:rsidR="006A6848" w:rsidRPr="00377E7B" w:rsidRDefault="006A6848">
      <w:r w:rsidRPr="00377E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7E7B"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7E7B"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7E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A6848" w:rsidRPr="00377E7B" w:rsidRDefault="006A6848">
      <w:r w:rsidRPr="00377E7B">
        <w:separator/>
      </w:r>
    </w:p>
  </w:footnote>
  <w:footnote w:type="continuationSeparator" w:id="0">
    <w:p w:rsidR="006A6848" w:rsidRPr="00377E7B" w:rsidRDefault="006A6848">
      <w:r w:rsidRPr="00377E7B">
        <w:continuationSeparator/>
      </w:r>
    </w:p>
  </w:footnote>
  <w:footnote w:id="1">
    <w:p w:rsidR="00351C05" w:rsidRPr="00221922" w:rsidRDefault="00351C05" w:rsidP="00377E7B">
      <w:pPr>
        <w:pStyle w:val="FootnoteText"/>
        <w:ind w:left="567" w:hanging="567"/>
        <w:rPr>
          <w:color w:val="000000" w:themeColor="text1"/>
          <w:sz w:val="24"/>
        </w:rPr>
      </w:pPr>
      <w:r w:rsidRPr="00377E7B">
        <w:rPr>
          <w:rStyle w:val="Funotenzeichen"/>
          <w:color w:val="000000" w:themeColor="text1"/>
          <w:sz w:val="24"/>
          <w:lang w:val="sv-SE"/>
        </w:rPr>
        <w:footnoteRef/>
      </w:r>
      <w:r w:rsidR="00377E7B" w:rsidRPr="00221922">
        <w:rPr>
          <w:color w:val="000000" w:themeColor="text1"/>
          <w:sz w:val="24"/>
        </w:rPr>
        <w:t xml:space="preserve"> </w:t>
      </w:r>
      <w:r w:rsidR="00377E7B" w:rsidRPr="00221922">
        <w:rPr>
          <w:color w:val="000000" w:themeColor="text1"/>
          <w:sz w:val="24"/>
        </w:rPr>
        <w:tab/>
      </w:r>
      <w:r w:rsidRPr="00221922">
        <w:rPr>
          <w:color w:val="000000" w:themeColor="text1"/>
          <w:sz w:val="24"/>
        </w:rPr>
        <w:t>EUT L 268, 18.10.2003, s. 1, ELI: </w:t>
      </w:r>
      <w:hyperlink r:id="rId1" w:tgtFrame="Gives access to this document through its ELI URI." w:history="1">
        <w:r w:rsidRPr="00221922">
          <w:rPr>
            <w:rStyle w:val="Hyperlink"/>
            <w:color w:val="000000" w:themeColor="text1"/>
            <w:sz w:val="24"/>
          </w:rPr>
          <w:t>http://data.europa.eu/eli/reg/2003/1829/oj</w:t>
        </w:r>
      </w:hyperlink>
      <w:r w:rsidRPr="00221922">
        <w:rPr>
          <w:color w:val="000000" w:themeColor="text1"/>
          <w:sz w:val="24"/>
        </w:rPr>
        <w:t>.</w:t>
      </w:r>
    </w:p>
  </w:footnote>
  <w:footnote w:id="2">
    <w:p w:rsidR="00351C05" w:rsidRPr="00221922" w:rsidRDefault="00351C05" w:rsidP="00377E7B">
      <w:pPr>
        <w:pStyle w:val="FootnoteText"/>
        <w:ind w:left="567" w:hanging="567"/>
        <w:rPr>
          <w:color w:val="000000" w:themeColor="text1"/>
          <w:sz w:val="24"/>
        </w:rPr>
      </w:pPr>
      <w:r w:rsidRPr="00377E7B">
        <w:rPr>
          <w:rStyle w:val="Funotenzeichen"/>
          <w:color w:val="000000" w:themeColor="text1"/>
          <w:sz w:val="24"/>
          <w:lang w:val="sv-SE"/>
        </w:rPr>
        <w:footnoteRef/>
      </w:r>
      <w:r w:rsidR="00377E7B" w:rsidRPr="00221922">
        <w:rPr>
          <w:color w:val="000000" w:themeColor="text1"/>
          <w:sz w:val="24"/>
        </w:rPr>
        <w:t xml:space="preserve"> </w:t>
      </w:r>
      <w:r w:rsidR="00377E7B" w:rsidRPr="00221922">
        <w:rPr>
          <w:color w:val="000000" w:themeColor="text1"/>
          <w:sz w:val="24"/>
        </w:rPr>
        <w:tab/>
      </w:r>
      <w:r w:rsidRPr="00221922">
        <w:rPr>
          <w:color w:val="000000" w:themeColor="text1"/>
          <w:sz w:val="24"/>
        </w:rPr>
        <w:t>EUT L 55, 28.2.2011, s. 13, ELI: </w:t>
      </w:r>
      <w:hyperlink r:id="rId2" w:tgtFrame="Gives access to this document through its ELI URI." w:history="1">
        <w:r w:rsidRPr="00221922">
          <w:rPr>
            <w:rStyle w:val="Hyperlink"/>
            <w:color w:val="000000" w:themeColor="text1"/>
            <w:sz w:val="24"/>
          </w:rPr>
          <w:t>http://data.europa.eu/eli/reg/2011/182/oj</w:t>
        </w:r>
      </w:hyperlink>
      <w:r w:rsidRPr="00221922">
        <w:rPr>
          <w:color w:val="000000" w:themeColor="text1"/>
          <w:sz w:val="24"/>
        </w:rPr>
        <w:t>.</w:t>
      </w:r>
    </w:p>
  </w:footnote>
  <w:footnote w:id="3">
    <w:p w:rsidR="00351C05" w:rsidRPr="00377E7B" w:rsidRDefault="00351C05" w:rsidP="00377E7B">
      <w:pPr>
        <w:pStyle w:val="FootnoteText"/>
        <w:ind w:left="567" w:hanging="567"/>
        <w:rPr>
          <w:color w:val="000000" w:themeColor="text1"/>
          <w:sz w:val="24"/>
          <w:lang w:val="sv-SE"/>
        </w:rPr>
      </w:pPr>
      <w:r w:rsidRPr="00377E7B">
        <w:rPr>
          <w:rStyle w:val="Funotenzeichen"/>
          <w:color w:val="000000" w:themeColor="text1"/>
          <w:sz w:val="24"/>
          <w:lang w:val="sv-SE"/>
        </w:rPr>
        <w:footnoteRef/>
      </w:r>
      <w:r w:rsidR="00377E7B" w:rsidRPr="00377E7B">
        <w:rPr>
          <w:color w:val="000000" w:themeColor="text1"/>
          <w:sz w:val="24"/>
          <w:lang w:val="sv-SE"/>
        </w:rPr>
        <w:t xml:space="preserve"> </w:t>
      </w:r>
      <w:r w:rsidR="00377E7B" w:rsidRPr="00377E7B">
        <w:rPr>
          <w:color w:val="000000" w:themeColor="text1"/>
          <w:sz w:val="24"/>
          <w:lang w:val="sv-SE"/>
        </w:rPr>
        <w:tab/>
      </w:r>
      <w:r w:rsidRPr="00377E7B">
        <w:rPr>
          <w:color w:val="000000" w:themeColor="text1"/>
          <w:sz w:val="24"/>
          <w:lang w:val="sv-SE"/>
        </w:rPr>
        <w:t xml:space="preserve">Vetenskapligt yttrande från Efsas panel för genetiskt modifierade organismer över bedömningen av den genetiskt modifierade majsen DP910521 (ansökan GMFF-2021-2473)’, EFSA Journal 2024;22(8):e8887, </w:t>
      </w:r>
      <w:hyperlink r:id="rId3" w:history="1">
        <w:r w:rsidRPr="00377E7B">
          <w:rPr>
            <w:rStyle w:val="Hyperlink"/>
            <w:color w:val="000000" w:themeColor="text1"/>
            <w:sz w:val="24"/>
            <w:lang w:val="sv-SE"/>
          </w:rPr>
          <w:t>https://doi.org/10.2903/j.efsa.2024.8887</w:t>
        </w:r>
      </w:hyperlink>
      <w:r w:rsidRPr="00377E7B">
        <w:rPr>
          <w:color w:val="000000" w:themeColor="text1"/>
          <w:sz w:val="24"/>
          <w:lang w:val="sv-SE"/>
        </w:rPr>
        <w:t xml:space="preserve">. </w:t>
      </w:r>
    </w:p>
  </w:footnote>
  <w:footnote w:id="4">
    <w:p w:rsidR="00351C05" w:rsidRPr="00377E7B" w:rsidRDefault="00351C05" w:rsidP="00377E7B">
      <w:pPr>
        <w:pStyle w:val="FootnoteText"/>
        <w:ind w:left="567" w:hanging="567"/>
        <w:rPr>
          <w:color w:val="000000" w:themeColor="text1"/>
          <w:sz w:val="24"/>
          <w:vertAlign w:val="superscript"/>
          <w:lang w:val="sv-SE"/>
        </w:rPr>
      </w:pPr>
      <w:r w:rsidRPr="00377E7B">
        <w:rPr>
          <w:rStyle w:val="Funotenzeichen"/>
          <w:color w:val="000000" w:themeColor="text1"/>
          <w:sz w:val="24"/>
          <w:lang w:val="sv-SE"/>
        </w:rPr>
        <w:footnoteRef/>
      </w:r>
      <w:r w:rsidR="00377E7B" w:rsidRPr="00377E7B">
        <w:rPr>
          <w:color w:val="000000" w:themeColor="text1"/>
          <w:sz w:val="24"/>
          <w:lang w:val="sv-SE"/>
        </w:rPr>
        <w:t xml:space="preserve"> </w:t>
      </w:r>
      <w:r w:rsidR="00377E7B" w:rsidRPr="00377E7B">
        <w:rPr>
          <w:color w:val="000000" w:themeColor="text1"/>
          <w:sz w:val="24"/>
          <w:lang w:val="sv-SE"/>
        </w:rPr>
        <w:tab/>
      </w:r>
      <w:r w:rsidRPr="00377E7B">
        <w:rPr>
          <w:color w:val="000000" w:themeColor="text1"/>
          <w:sz w:val="24"/>
          <w:lang w:val="sv-SE"/>
        </w:rPr>
        <w:t>Parlamentet antog under sin åttonde valperiod 36 resolutioner och under sin nionde valperiod 38 resolutioner med invändningar mot godkännandet av genetiskt modifierade organismer. Dessutom har parlamentet under sin tionde valperiod antagit följande resolutioner:</w:t>
      </w:r>
    </w:p>
    <w:p w:rsidR="00351C05" w:rsidRPr="00377E7B" w:rsidRDefault="00377E7B" w:rsidP="00377E7B">
      <w:pPr>
        <w:pStyle w:val="FootnoteText"/>
        <w:ind w:left="567" w:hanging="567"/>
        <w:rPr>
          <w:color w:val="000000" w:themeColor="text1"/>
          <w:sz w:val="24"/>
          <w:vertAlign w:val="superscript"/>
          <w:lang w:val="sv-SE"/>
        </w:rPr>
      </w:pPr>
      <w:r w:rsidRPr="00377E7B">
        <w:rPr>
          <w:color w:val="000000" w:themeColor="text1"/>
          <w:sz w:val="24"/>
          <w:lang w:val="sv-SE"/>
        </w:rPr>
        <w:t xml:space="preserve"> </w:t>
      </w:r>
      <w:r w:rsidRPr="00377E7B">
        <w:rPr>
          <w:color w:val="000000" w:themeColor="text1"/>
          <w:sz w:val="24"/>
          <w:lang w:val="sv-SE"/>
        </w:rPr>
        <w:tab/>
      </w:r>
      <w:r w:rsidR="00351C05" w:rsidRPr="00377E7B">
        <w:rPr>
          <w:color w:val="000000" w:themeColor="text1"/>
          <w:sz w:val="24"/>
          <w:lang w:val="sv-SE"/>
        </w:rPr>
        <w:t>–</w:t>
      </w:r>
      <w:r w:rsidR="00351C05" w:rsidRPr="00377E7B">
        <w:rPr>
          <w:color w:val="000000" w:themeColor="text1"/>
          <w:sz w:val="24"/>
          <w:lang w:val="sv-SE"/>
        </w:rPr>
        <w:tab/>
        <w:t>Europaparlamentets resolution av den 26 november 2024 om kommissionens genomförandebeslut (EU) 2024/2628 om förlängning av godkännandet för utsläppande på marknaden av produkter som innehåller, består av eller har framställts av den genetiskt modifierade majsen MON 89034 × 1507 × NK603, i enlighet med Europaparlamentets och rådets förordning (EG) nr 1829/2003 (P10_TA(2024)0038).</w:t>
      </w:r>
    </w:p>
    <w:p w:rsidR="00351C05" w:rsidRPr="00377E7B" w:rsidRDefault="00377E7B" w:rsidP="00377E7B">
      <w:pPr>
        <w:pStyle w:val="FootnoteText"/>
        <w:ind w:left="567" w:hanging="567"/>
        <w:rPr>
          <w:color w:val="000000" w:themeColor="text1"/>
          <w:sz w:val="24"/>
          <w:vertAlign w:val="superscript"/>
          <w:lang w:val="sv-SE"/>
        </w:rPr>
      </w:pPr>
      <w:r w:rsidRPr="00377E7B">
        <w:rPr>
          <w:color w:val="000000" w:themeColor="text1"/>
          <w:sz w:val="24"/>
          <w:lang w:val="sv-SE"/>
        </w:rPr>
        <w:t xml:space="preserve"> </w:t>
      </w:r>
      <w:r w:rsidRPr="00377E7B">
        <w:rPr>
          <w:color w:val="000000" w:themeColor="text1"/>
          <w:sz w:val="24"/>
          <w:lang w:val="sv-SE"/>
        </w:rPr>
        <w:tab/>
      </w:r>
      <w:r w:rsidR="00351C05" w:rsidRPr="00377E7B">
        <w:rPr>
          <w:color w:val="000000" w:themeColor="text1"/>
          <w:sz w:val="24"/>
          <w:lang w:val="sv-SE"/>
        </w:rPr>
        <w:t>–</w:t>
      </w:r>
      <w:r w:rsidR="00351C05" w:rsidRPr="00377E7B">
        <w:rPr>
          <w:color w:val="000000" w:themeColor="text1"/>
          <w:sz w:val="24"/>
          <w:lang w:val="sv-SE"/>
        </w:rPr>
        <w:tab/>
        <w:t>Europaparlamentets resolution av den 26 november 2024 om kommissionens genomförandebeslut (EU) 2024/2627 om godkännande för utsläppande på marknaden av produkter som innehåller, består av eller har framställts av genetiskt modifierad bomull COT102 i enlighet med Europaparlamentets och rådets förordning (EG) nr 1829/2003 (P10_TA(2024)0039).</w:t>
      </w:r>
    </w:p>
    <w:p w:rsidR="00351C05" w:rsidRPr="00377E7B" w:rsidRDefault="00377E7B" w:rsidP="00377E7B">
      <w:pPr>
        <w:pStyle w:val="FootnoteText"/>
        <w:ind w:left="567" w:hanging="567"/>
        <w:rPr>
          <w:color w:val="000000" w:themeColor="text1"/>
          <w:sz w:val="24"/>
          <w:vertAlign w:val="superscript"/>
          <w:lang w:val="sv-SE"/>
        </w:rPr>
      </w:pPr>
      <w:r w:rsidRPr="00377E7B">
        <w:rPr>
          <w:color w:val="000000" w:themeColor="text1"/>
          <w:sz w:val="24"/>
          <w:lang w:val="sv-SE"/>
        </w:rPr>
        <w:t xml:space="preserve"> </w:t>
      </w:r>
      <w:r w:rsidRPr="00377E7B">
        <w:rPr>
          <w:color w:val="000000" w:themeColor="text1"/>
          <w:sz w:val="24"/>
          <w:lang w:val="sv-SE"/>
        </w:rPr>
        <w:tab/>
      </w:r>
      <w:r w:rsidR="00351C05" w:rsidRPr="00377E7B">
        <w:rPr>
          <w:color w:val="000000" w:themeColor="text1"/>
          <w:sz w:val="24"/>
          <w:lang w:val="sv-SE"/>
        </w:rPr>
        <w:t>–</w:t>
      </w:r>
      <w:r w:rsidR="00351C05" w:rsidRPr="00377E7B">
        <w:rPr>
          <w:color w:val="000000" w:themeColor="text1"/>
          <w:sz w:val="24"/>
          <w:lang w:val="sv-SE"/>
        </w:rPr>
        <w:tab/>
        <w:t>Europaparlamentets resolution av den 26 november 2024 om kommissionens genomförandebeslut (EU) 2024/2629 om förlängning av godkännandet för utsläppande på marknaden av produkter som innehåller, består av eller har framställts av den genetiskt modifierade majsen MON 89034 × 1507 × MON 88017 × 59122 och åtta av dess klyvningsprodukter, i enlighet med Europaparlamentets och rådets förordning (EG) nr 1829/2003 (P10_TA(2024)0040).</w:t>
      </w:r>
    </w:p>
    <w:p w:rsidR="00351C05" w:rsidRPr="00377E7B" w:rsidRDefault="00377E7B" w:rsidP="00377E7B">
      <w:pPr>
        <w:pStyle w:val="FootnoteText"/>
        <w:ind w:left="567" w:hanging="567"/>
        <w:rPr>
          <w:color w:val="000000" w:themeColor="text1"/>
          <w:sz w:val="24"/>
          <w:vertAlign w:val="superscript"/>
          <w:lang w:val="sv-SE"/>
        </w:rPr>
      </w:pPr>
      <w:r w:rsidRPr="00377E7B">
        <w:rPr>
          <w:color w:val="000000" w:themeColor="text1"/>
          <w:sz w:val="24"/>
          <w:lang w:val="sv-SE"/>
        </w:rPr>
        <w:t xml:space="preserve"> </w:t>
      </w:r>
      <w:r w:rsidRPr="00377E7B">
        <w:rPr>
          <w:color w:val="000000" w:themeColor="text1"/>
          <w:sz w:val="24"/>
          <w:lang w:val="sv-SE"/>
        </w:rPr>
        <w:tab/>
      </w:r>
      <w:r w:rsidR="00351C05" w:rsidRPr="00377E7B">
        <w:rPr>
          <w:color w:val="000000" w:themeColor="text1"/>
          <w:sz w:val="24"/>
          <w:lang w:val="sv-SE"/>
        </w:rPr>
        <w:t>–</w:t>
      </w:r>
      <w:r w:rsidR="00351C05" w:rsidRPr="00377E7B">
        <w:rPr>
          <w:color w:val="000000" w:themeColor="text1"/>
          <w:sz w:val="24"/>
          <w:lang w:val="sv-SE"/>
        </w:rPr>
        <w:tab/>
        <w:t>Europaparlamentets resolution av den 26 november 2024 om kommissionens genomförandebeslut (EU) 2024/1828 om förlängning av godkännandet för utsläppande på marknaden av foder som innehåller eller består av den genetiskt modifierade majsen MON 810 och av livsmedel och foderprodukter som har framställts av den genetiskt modifierade majsen MON 810 i enlighet med Europaparlamentets och rådets förordning (EG) nr 1829/2003 och om upphävande av kommissionens genomförandebeslut (EU) 2017/1207 (P10_TA(2024)0041).</w:t>
      </w:r>
    </w:p>
    <w:p w:rsidR="00351C05" w:rsidRPr="00377E7B" w:rsidRDefault="00377E7B" w:rsidP="00377E7B">
      <w:pPr>
        <w:pStyle w:val="FootnoteText"/>
        <w:ind w:left="567" w:hanging="567"/>
        <w:rPr>
          <w:color w:val="000000" w:themeColor="text1"/>
          <w:sz w:val="24"/>
          <w:vertAlign w:val="superscript"/>
          <w:lang w:val="sv-SE"/>
        </w:rPr>
      </w:pPr>
      <w:r w:rsidRPr="00377E7B">
        <w:rPr>
          <w:color w:val="000000" w:themeColor="text1"/>
          <w:sz w:val="24"/>
          <w:lang w:val="sv-SE"/>
        </w:rPr>
        <w:t xml:space="preserve"> </w:t>
      </w:r>
      <w:r w:rsidRPr="00377E7B">
        <w:rPr>
          <w:color w:val="000000" w:themeColor="text1"/>
          <w:sz w:val="24"/>
          <w:lang w:val="sv-SE"/>
        </w:rPr>
        <w:tab/>
      </w:r>
      <w:r w:rsidR="00351C05" w:rsidRPr="00377E7B">
        <w:rPr>
          <w:color w:val="000000" w:themeColor="text1"/>
          <w:sz w:val="24"/>
          <w:lang w:val="sv-SE"/>
        </w:rPr>
        <w:t>–</w:t>
      </w:r>
      <w:r w:rsidR="00351C05" w:rsidRPr="00377E7B">
        <w:rPr>
          <w:color w:val="000000" w:themeColor="text1"/>
          <w:sz w:val="24"/>
          <w:lang w:val="sv-SE"/>
        </w:rPr>
        <w:tab/>
        <w:t>Europaparlamentets resolution av den 26 november 2024 om kommissionens genomförandebeslut (EU) 2024/1822 om godkännande för utsläppande på marknaden av produkter som innehåller, består av eller har framställts av den genetiskt modifierade majsen DP915635, i enlighet med Europaparlamentets och rådets förordning (EG) nr 1829/2003 (P10_TA(2024)0042).</w:t>
      </w:r>
    </w:p>
    <w:p w:rsidR="00351C05" w:rsidRPr="00377E7B" w:rsidRDefault="00377E7B" w:rsidP="00377E7B">
      <w:pPr>
        <w:pStyle w:val="FootnoteText"/>
        <w:ind w:left="567" w:hanging="567"/>
        <w:rPr>
          <w:color w:val="000000" w:themeColor="text1"/>
          <w:sz w:val="24"/>
          <w:vertAlign w:val="superscript"/>
          <w:lang w:val="sv-SE"/>
        </w:rPr>
      </w:pPr>
      <w:r w:rsidRPr="00377E7B">
        <w:rPr>
          <w:color w:val="000000" w:themeColor="text1"/>
          <w:sz w:val="24"/>
          <w:lang w:val="sv-SE"/>
        </w:rPr>
        <w:t xml:space="preserve"> </w:t>
      </w:r>
      <w:r w:rsidRPr="00377E7B">
        <w:rPr>
          <w:color w:val="000000" w:themeColor="text1"/>
          <w:sz w:val="24"/>
          <w:lang w:val="sv-SE"/>
        </w:rPr>
        <w:tab/>
      </w:r>
      <w:r w:rsidR="00351C05" w:rsidRPr="00377E7B">
        <w:rPr>
          <w:color w:val="000000" w:themeColor="text1"/>
          <w:sz w:val="24"/>
          <w:lang w:val="sv-SE"/>
        </w:rPr>
        <w:t>–</w:t>
      </w:r>
      <w:r w:rsidR="00351C05" w:rsidRPr="00377E7B">
        <w:rPr>
          <w:color w:val="000000" w:themeColor="text1"/>
          <w:sz w:val="24"/>
          <w:lang w:val="sv-SE"/>
        </w:rPr>
        <w:tab/>
        <w:t>Europaparlamentets resolution av den 26 november 2024 om kommissionens genomförandebeslut (EU) 2024/1826 om godkännande för utsläppande på marknaden av produkter som innehåller, består av eller har framställts av den genetiskt modifierade majsen DP23211, i enlighet med Europaparlamentets och rådets förordning (EG) nr 1829/2003 (P10_TA(2024)0043).</w:t>
      </w:r>
    </w:p>
    <w:p w:rsidR="00351C05" w:rsidRPr="00377E7B" w:rsidRDefault="00377E7B" w:rsidP="00377E7B">
      <w:pPr>
        <w:pStyle w:val="FootnoteText"/>
        <w:ind w:left="567" w:hanging="567"/>
        <w:rPr>
          <w:color w:val="000000" w:themeColor="text1"/>
          <w:sz w:val="24"/>
          <w:vertAlign w:val="superscript"/>
          <w:lang w:val="sv-SE"/>
        </w:rPr>
      </w:pPr>
      <w:r w:rsidRPr="00377E7B">
        <w:rPr>
          <w:color w:val="000000" w:themeColor="text1"/>
          <w:sz w:val="24"/>
          <w:lang w:val="sv-SE"/>
        </w:rPr>
        <w:t xml:space="preserve"> </w:t>
      </w:r>
      <w:r w:rsidRPr="00377E7B">
        <w:rPr>
          <w:color w:val="000000" w:themeColor="text1"/>
          <w:sz w:val="24"/>
          <w:lang w:val="sv-SE"/>
        </w:rPr>
        <w:tab/>
      </w:r>
      <w:r w:rsidR="00351C05" w:rsidRPr="00377E7B">
        <w:rPr>
          <w:color w:val="000000" w:themeColor="text1"/>
          <w:sz w:val="24"/>
          <w:lang w:val="sv-SE"/>
        </w:rPr>
        <w:t>–</w:t>
      </w:r>
      <w:r w:rsidR="00351C05" w:rsidRPr="00377E7B">
        <w:rPr>
          <w:color w:val="000000" w:themeColor="text1"/>
          <w:sz w:val="24"/>
          <w:lang w:val="sv-SE"/>
        </w:rPr>
        <w:tab/>
        <w:t>Europaparlamentets resolution av den 26 november 2024 om kommissionens genomförandebeslut (EU) 2024/2618 om godkännande för utsläppande på marknaden av produkter som innehåller, består av eller har framställts av den genetiskt modifierade majsen DP202216 i enlighet med Europaparlamentets och rådets förordning (EG) nr 1829/2003 (P10_TA(2024)0044).</w:t>
      </w:r>
    </w:p>
    <w:p w:rsidR="00351C05" w:rsidRPr="00377E7B" w:rsidRDefault="00377E7B" w:rsidP="00377E7B">
      <w:pPr>
        <w:pStyle w:val="FootnoteText"/>
        <w:ind w:left="567" w:hanging="567"/>
        <w:rPr>
          <w:color w:val="000000" w:themeColor="text1"/>
          <w:sz w:val="24"/>
          <w:lang w:val="sv-SE"/>
        </w:rPr>
      </w:pPr>
      <w:r w:rsidRPr="00377E7B">
        <w:rPr>
          <w:color w:val="000000" w:themeColor="text1"/>
          <w:sz w:val="24"/>
          <w:lang w:val="sv-SE"/>
        </w:rPr>
        <w:t xml:space="preserve"> </w:t>
      </w:r>
      <w:r w:rsidRPr="00377E7B">
        <w:rPr>
          <w:color w:val="000000" w:themeColor="text1"/>
          <w:sz w:val="24"/>
          <w:lang w:val="sv-SE"/>
        </w:rPr>
        <w:tab/>
      </w:r>
      <w:r w:rsidR="00351C05" w:rsidRPr="00377E7B">
        <w:rPr>
          <w:color w:val="000000" w:themeColor="text1"/>
          <w:sz w:val="24"/>
          <w:lang w:val="sv-SE"/>
        </w:rPr>
        <w:t>–</w:t>
      </w:r>
      <w:r w:rsidR="00351C05" w:rsidRPr="00377E7B">
        <w:rPr>
          <w:color w:val="000000" w:themeColor="text1"/>
          <w:sz w:val="24"/>
          <w:lang w:val="sv-SE"/>
        </w:rPr>
        <w:tab/>
        <w:t>Europaparlamentets resolution av den 26 november 2024 om utkastet till kommissionens genomförandebeslut om godkännande för utsläppande på marknaden av produkter som innehåller, består av eller har framställts av den genetiskt modifierade majsen MON 94804 i enlighet med Europaparlamentets och rådets förordning (EG) nr 1829/2003 (P10_TA(2024)0045).</w:t>
      </w:r>
    </w:p>
  </w:footnote>
  <w:footnote w:id="5">
    <w:p w:rsidR="00351C05" w:rsidRPr="00377E7B" w:rsidRDefault="00351C05" w:rsidP="00377E7B">
      <w:pPr>
        <w:pStyle w:val="FootnoteText"/>
        <w:ind w:left="567" w:hanging="567"/>
        <w:rPr>
          <w:color w:val="000000" w:themeColor="text1"/>
          <w:sz w:val="24"/>
          <w:lang w:val="sv-SE"/>
        </w:rPr>
      </w:pPr>
      <w:r w:rsidRPr="00377E7B">
        <w:rPr>
          <w:rStyle w:val="FootnoteReference"/>
          <w:color w:val="000000" w:themeColor="text1"/>
          <w:sz w:val="24"/>
          <w:lang w:val="sv-SE"/>
        </w:rPr>
        <w:footnoteRef/>
      </w:r>
      <w:r w:rsidR="00377E7B" w:rsidRPr="00377E7B">
        <w:rPr>
          <w:color w:val="000000" w:themeColor="text1"/>
          <w:sz w:val="24"/>
          <w:lang w:val="sv-SE"/>
        </w:rPr>
        <w:t xml:space="preserve"> </w:t>
      </w:r>
      <w:r w:rsidR="00377E7B" w:rsidRPr="00377E7B">
        <w:rPr>
          <w:color w:val="000000" w:themeColor="text1"/>
          <w:sz w:val="24"/>
          <w:lang w:val="sv-SE"/>
        </w:rPr>
        <w:tab/>
      </w:r>
      <w:r w:rsidRPr="00377E7B">
        <w:rPr>
          <w:color w:val="000000" w:themeColor="text1"/>
          <w:sz w:val="24"/>
          <w:lang w:val="sv-SE"/>
        </w:rPr>
        <w:t xml:space="preserve">Europaparlamentets och rådets förordning (EG) nr 1107/2009 av den 21 oktober 2009 om utsläppande av växtskyddsmedel på marknaden och om upphävande av rådets direktiv 79/117/EEG och 91/414/EEG (EUT L 309, 24.11.2009, s. 1, ELI: </w:t>
      </w:r>
      <w:hyperlink r:id="rId4" w:history="1">
        <w:r w:rsidRPr="00377E7B">
          <w:rPr>
            <w:rStyle w:val="Hyperlink"/>
            <w:color w:val="000000" w:themeColor="text1"/>
            <w:sz w:val="24"/>
            <w:lang w:val="sv-SE"/>
          </w:rPr>
          <w:t>https://eur-lex.europa.eu/eli/reg/2009/1107/oj</w:t>
        </w:r>
      </w:hyperlink>
      <w:r w:rsidRPr="00377E7B">
        <w:rPr>
          <w:rStyle w:val="Hyperlink"/>
          <w:color w:val="000000" w:themeColor="text1"/>
          <w:sz w:val="24"/>
          <w:lang w:val="sv-SE"/>
        </w:rPr>
        <w:t>).</w:t>
      </w:r>
    </w:p>
  </w:footnote>
  <w:footnote w:id="6">
    <w:p w:rsidR="00351C05" w:rsidRPr="00377E7B" w:rsidRDefault="00351C05" w:rsidP="00377E7B">
      <w:pPr>
        <w:pStyle w:val="FootnoteText"/>
        <w:ind w:left="567" w:hanging="567"/>
        <w:rPr>
          <w:color w:val="000000" w:themeColor="text1"/>
          <w:sz w:val="24"/>
          <w:lang w:val="sv-SE"/>
        </w:rPr>
      </w:pPr>
      <w:r w:rsidRPr="00377E7B">
        <w:rPr>
          <w:rStyle w:val="Funotenzeichen"/>
          <w:color w:val="000000" w:themeColor="text1"/>
          <w:sz w:val="24"/>
          <w:lang w:val="sv-SE"/>
        </w:rPr>
        <w:footnoteRef/>
      </w:r>
      <w:r w:rsidR="00377E7B" w:rsidRPr="00377E7B">
        <w:rPr>
          <w:color w:val="000000" w:themeColor="text1"/>
          <w:sz w:val="24"/>
          <w:lang w:val="sv-SE"/>
        </w:rPr>
        <w:t xml:space="preserve"> </w:t>
      </w:r>
      <w:r w:rsidR="00377E7B" w:rsidRPr="00377E7B">
        <w:rPr>
          <w:color w:val="000000" w:themeColor="text1"/>
          <w:sz w:val="24"/>
          <w:lang w:val="sv-SE"/>
        </w:rPr>
        <w:tab/>
      </w:r>
      <w:r w:rsidRPr="00377E7B">
        <w:rPr>
          <w:color w:val="000000" w:themeColor="text1"/>
          <w:sz w:val="24"/>
          <w:lang w:val="sv-SE"/>
        </w:rPr>
        <w:t xml:space="preserve">Kommissionens genomförandeförordning (EU) nr 503/2013 av den 3 april 2013 om ansökningar om godkännande av genetiskt modifierade livsmedel och foder i enlighet med Europaparlamentets och rådets förordning (EG) nr 1829/2003 och om ändring av kommissionens förordningar (EG) nr 641/2004 och (EG) nr 1981/2006 (EUT L 157, 8.6.2013, s. 1, ELI: </w:t>
      </w:r>
      <w:hyperlink r:id="rId5" w:tgtFrame="Gives access to this document through its ELI URI." w:history="1">
        <w:r w:rsidRPr="00377E7B">
          <w:rPr>
            <w:rStyle w:val="Hyperlink"/>
            <w:color w:val="000000" w:themeColor="text1"/>
            <w:sz w:val="24"/>
            <w:lang w:val="sv-SE"/>
          </w:rPr>
          <w:t>http://data.europa.eu/eli/reg_impl/2013/503/oj</w:t>
        </w:r>
      </w:hyperlink>
      <w:r w:rsidRPr="00377E7B">
        <w:rPr>
          <w:color w:val="000000" w:themeColor="text1"/>
          <w:sz w:val="24"/>
          <w:lang w:val="sv-SE"/>
        </w:rPr>
        <w:t>).</w:t>
      </w:r>
    </w:p>
  </w:footnote>
  <w:footnote w:id="7">
    <w:p w:rsidR="00351C05" w:rsidRPr="00377E7B" w:rsidRDefault="00351C05" w:rsidP="00377E7B">
      <w:pPr>
        <w:pStyle w:val="FootnoteText"/>
        <w:ind w:left="567" w:hanging="567"/>
        <w:rPr>
          <w:color w:val="000000" w:themeColor="text1"/>
          <w:sz w:val="24"/>
          <w:lang w:val="sv-SE"/>
        </w:rPr>
      </w:pPr>
      <w:r w:rsidRPr="00377E7B">
        <w:rPr>
          <w:rStyle w:val="Funotenzeichen"/>
          <w:color w:val="000000" w:themeColor="text1"/>
          <w:sz w:val="24"/>
          <w:lang w:val="sv-SE"/>
        </w:rPr>
        <w:footnoteRef/>
      </w:r>
      <w:r w:rsidR="00377E7B" w:rsidRPr="00377E7B">
        <w:rPr>
          <w:color w:val="000000" w:themeColor="text1"/>
          <w:sz w:val="24"/>
          <w:lang w:val="sv-SE"/>
        </w:rPr>
        <w:t xml:space="preserve"> </w:t>
      </w:r>
      <w:r w:rsidR="00377E7B" w:rsidRPr="00377E7B">
        <w:rPr>
          <w:color w:val="000000" w:themeColor="text1"/>
          <w:sz w:val="24"/>
          <w:lang w:val="sv-SE"/>
        </w:rPr>
        <w:tab/>
      </w:r>
      <w:r w:rsidRPr="00377E7B">
        <w:rPr>
          <w:color w:val="000000" w:themeColor="text1"/>
          <w:sz w:val="24"/>
          <w:lang w:val="sv-SE"/>
        </w:rPr>
        <w:t xml:space="preserve">Se t.ex. Schulz, R., Bub, S., Petschick, L. L., Stehle, S., Wolfram, J. (2021), ”Applied pesticide toxicity shifts toward plants and invertebrates, even in GM crops”, Science 372(6537), s. 81–84, </w:t>
      </w:r>
      <w:hyperlink r:id="rId6" w:history="1">
        <w:r w:rsidRPr="00377E7B">
          <w:rPr>
            <w:rStyle w:val="Hyperlink"/>
            <w:color w:val="000000" w:themeColor="text1"/>
            <w:sz w:val="24"/>
            <w:lang w:val="sv-SE"/>
          </w:rPr>
          <w:t>https://doi.org/10.1126/science.abe1148</w:t>
        </w:r>
      </w:hyperlink>
      <w:r w:rsidRPr="00377E7B">
        <w:rPr>
          <w:color w:val="000000" w:themeColor="text1"/>
          <w:sz w:val="24"/>
          <w:lang w:val="sv-SE"/>
        </w:rPr>
        <w:t>, Bonny, S., ”</w:t>
      </w:r>
      <w:proofErr w:type="spellStart"/>
      <w:r w:rsidRPr="00377E7B">
        <w:rPr>
          <w:color w:val="000000" w:themeColor="text1"/>
          <w:sz w:val="24"/>
          <w:lang w:val="sv-SE"/>
        </w:rPr>
        <w:t>Genetically</w:t>
      </w:r>
      <w:proofErr w:type="spellEnd"/>
      <w:r w:rsidRPr="00377E7B">
        <w:rPr>
          <w:color w:val="000000" w:themeColor="text1"/>
          <w:sz w:val="24"/>
          <w:lang w:val="sv-SE"/>
        </w:rPr>
        <w:t xml:space="preserve"> </w:t>
      </w:r>
      <w:proofErr w:type="spellStart"/>
      <w:r w:rsidRPr="00377E7B">
        <w:rPr>
          <w:color w:val="000000" w:themeColor="text1"/>
          <w:sz w:val="24"/>
          <w:lang w:val="sv-SE"/>
        </w:rPr>
        <w:t>Modified</w:t>
      </w:r>
      <w:proofErr w:type="spellEnd"/>
      <w:r w:rsidRPr="00377E7B">
        <w:rPr>
          <w:color w:val="000000" w:themeColor="text1"/>
          <w:sz w:val="24"/>
          <w:lang w:val="sv-SE"/>
        </w:rPr>
        <w:t xml:space="preserve"> </w:t>
      </w:r>
      <w:proofErr w:type="spellStart"/>
      <w:r w:rsidRPr="00377E7B">
        <w:rPr>
          <w:color w:val="000000" w:themeColor="text1"/>
          <w:sz w:val="24"/>
          <w:lang w:val="sv-SE"/>
        </w:rPr>
        <w:t>Herbicide</w:t>
      </w:r>
      <w:proofErr w:type="spellEnd"/>
      <w:r w:rsidRPr="00377E7B">
        <w:rPr>
          <w:color w:val="000000" w:themeColor="text1"/>
          <w:sz w:val="24"/>
          <w:lang w:val="sv-SE"/>
        </w:rPr>
        <w:t xml:space="preserve">-Tolerant </w:t>
      </w:r>
      <w:proofErr w:type="spellStart"/>
      <w:r w:rsidRPr="00377E7B">
        <w:rPr>
          <w:color w:val="000000" w:themeColor="text1"/>
          <w:sz w:val="24"/>
          <w:lang w:val="sv-SE"/>
        </w:rPr>
        <w:t>Crops</w:t>
      </w:r>
      <w:proofErr w:type="spellEnd"/>
      <w:r w:rsidRPr="00377E7B">
        <w:rPr>
          <w:color w:val="000000" w:themeColor="text1"/>
          <w:sz w:val="24"/>
          <w:lang w:val="sv-SE"/>
        </w:rPr>
        <w:t xml:space="preserve">, </w:t>
      </w:r>
      <w:proofErr w:type="spellStart"/>
      <w:r w:rsidRPr="00377E7B">
        <w:rPr>
          <w:color w:val="000000" w:themeColor="text1"/>
          <w:sz w:val="24"/>
          <w:lang w:val="sv-SE"/>
        </w:rPr>
        <w:t>Weeds</w:t>
      </w:r>
      <w:proofErr w:type="spellEnd"/>
      <w:r w:rsidRPr="00377E7B">
        <w:rPr>
          <w:color w:val="000000" w:themeColor="text1"/>
          <w:sz w:val="24"/>
          <w:lang w:val="sv-SE"/>
        </w:rPr>
        <w:t xml:space="preserve">, and </w:t>
      </w:r>
      <w:proofErr w:type="spellStart"/>
      <w:r w:rsidRPr="00377E7B">
        <w:rPr>
          <w:color w:val="000000" w:themeColor="text1"/>
          <w:sz w:val="24"/>
          <w:lang w:val="sv-SE"/>
        </w:rPr>
        <w:t>Herbicides</w:t>
      </w:r>
      <w:proofErr w:type="spellEnd"/>
      <w:r w:rsidRPr="00377E7B">
        <w:rPr>
          <w:color w:val="000000" w:themeColor="text1"/>
          <w:sz w:val="24"/>
          <w:lang w:val="sv-SE"/>
        </w:rPr>
        <w:t xml:space="preserve">: </w:t>
      </w:r>
      <w:proofErr w:type="spellStart"/>
      <w:r w:rsidRPr="00377E7B">
        <w:rPr>
          <w:color w:val="000000" w:themeColor="text1"/>
          <w:sz w:val="24"/>
          <w:lang w:val="sv-SE"/>
        </w:rPr>
        <w:t>Overview</w:t>
      </w:r>
      <w:proofErr w:type="spellEnd"/>
      <w:r w:rsidRPr="00377E7B">
        <w:rPr>
          <w:color w:val="000000" w:themeColor="text1"/>
          <w:sz w:val="24"/>
          <w:lang w:val="sv-SE"/>
        </w:rPr>
        <w:t xml:space="preserve"> and </w:t>
      </w:r>
      <w:proofErr w:type="spellStart"/>
      <w:r w:rsidRPr="00377E7B">
        <w:rPr>
          <w:color w:val="000000" w:themeColor="text1"/>
          <w:sz w:val="24"/>
          <w:lang w:val="sv-SE"/>
        </w:rPr>
        <w:t>Impact</w:t>
      </w:r>
      <w:proofErr w:type="spellEnd"/>
      <w:r w:rsidRPr="00377E7B">
        <w:rPr>
          <w:color w:val="000000" w:themeColor="text1"/>
          <w:sz w:val="24"/>
          <w:lang w:val="sv-SE"/>
        </w:rPr>
        <w:t xml:space="preserve">”, </w:t>
      </w:r>
      <w:proofErr w:type="spellStart"/>
      <w:r w:rsidRPr="00377E7B">
        <w:rPr>
          <w:color w:val="000000" w:themeColor="text1"/>
          <w:sz w:val="24"/>
          <w:lang w:val="sv-SE"/>
        </w:rPr>
        <w:t>Environmental</w:t>
      </w:r>
      <w:proofErr w:type="spellEnd"/>
      <w:r w:rsidRPr="00377E7B">
        <w:rPr>
          <w:color w:val="000000" w:themeColor="text1"/>
          <w:sz w:val="24"/>
          <w:lang w:val="sv-SE"/>
        </w:rPr>
        <w:t xml:space="preserve"> Management, januari 2016;57(1), s. 31–48, </w:t>
      </w:r>
      <w:hyperlink r:id="rId7" w:history="1">
        <w:r w:rsidRPr="00377E7B">
          <w:rPr>
            <w:rStyle w:val="Hyperlink"/>
            <w:color w:val="000000" w:themeColor="text1"/>
            <w:sz w:val="24"/>
            <w:lang w:val="sv-SE"/>
          </w:rPr>
          <w:t>https://www.ncbi.nlm.nih.gov/pubmed/26296738</w:t>
        </w:r>
      </w:hyperlink>
      <w:r w:rsidRPr="00377E7B">
        <w:rPr>
          <w:color w:val="000000" w:themeColor="text1"/>
          <w:sz w:val="24"/>
          <w:lang w:val="sv-SE"/>
        </w:rPr>
        <w:t xml:space="preserve">, och </w:t>
      </w:r>
      <w:proofErr w:type="spellStart"/>
      <w:r w:rsidRPr="00377E7B">
        <w:rPr>
          <w:color w:val="000000" w:themeColor="text1"/>
          <w:sz w:val="24"/>
          <w:lang w:val="sv-SE"/>
        </w:rPr>
        <w:t>Benbrook</w:t>
      </w:r>
      <w:proofErr w:type="spellEnd"/>
      <w:r w:rsidRPr="00377E7B">
        <w:rPr>
          <w:color w:val="000000" w:themeColor="text1"/>
          <w:sz w:val="24"/>
          <w:lang w:val="sv-SE"/>
        </w:rPr>
        <w:t>, C. M., ”</w:t>
      </w:r>
      <w:proofErr w:type="spellStart"/>
      <w:r w:rsidRPr="00377E7B">
        <w:rPr>
          <w:color w:val="000000" w:themeColor="text1"/>
          <w:sz w:val="24"/>
          <w:lang w:val="sv-SE"/>
        </w:rPr>
        <w:t>Impacts</w:t>
      </w:r>
      <w:proofErr w:type="spellEnd"/>
      <w:r w:rsidRPr="00377E7B">
        <w:rPr>
          <w:color w:val="000000" w:themeColor="text1"/>
          <w:sz w:val="24"/>
          <w:lang w:val="sv-SE"/>
        </w:rPr>
        <w:t xml:space="preserve"> </w:t>
      </w:r>
      <w:proofErr w:type="spellStart"/>
      <w:r w:rsidRPr="00377E7B">
        <w:rPr>
          <w:color w:val="000000" w:themeColor="text1"/>
          <w:sz w:val="24"/>
          <w:lang w:val="sv-SE"/>
        </w:rPr>
        <w:t>of</w:t>
      </w:r>
      <w:proofErr w:type="spellEnd"/>
      <w:r w:rsidRPr="00377E7B">
        <w:rPr>
          <w:color w:val="000000" w:themeColor="text1"/>
          <w:sz w:val="24"/>
          <w:lang w:val="sv-SE"/>
        </w:rPr>
        <w:t xml:space="preserve"> </w:t>
      </w:r>
      <w:proofErr w:type="spellStart"/>
      <w:r w:rsidRPr="00377E7B">
        <w:rPr>
          <w:color w:val="000000" w:themeColor="text1"/>
          <w:sz w:val="24"/>
          <w:lang w:val="sv-SE"/>
        </w:rPr>
        <w:t>genetically</w:t>
      </w:r>
      <w:proofErr w:type="spellEnd"/>
      <w:r w:rsidRPr="00377E7B">
        <w:rPr>
          <w:color w:val="000000" w:themeColor="text1"/>
          <w:sz w:val="24"/>
          <w:lang w:val="sv-SE"/>
        </w:rPr>
        <w:t xml:space="preserve"> </w:t>
      </w:r>
      <w:proofErr w:type="spellStart"/>
      <w:r w:rsidRPr="00377E7B">
        <w:rPr>
          <w:color w:val="000000" w:themeColor="text1"/>
          <w:sz w:val="24"/>
          <w:lang w:val="sv-SE"/>
        </w:rPr>
        <w:t>engineered</w:t>
      </w:r>
      <w:proofErr w:type="spellEnd"/>
      <w:r w:rsidRPr="00377E7B">
        <w:rPr>
          <w:color w:val="000000" w:themeColor="text1"/>
          <w:sz w:val="24"/>
          <w:lang w:val="sv-SE"/>
        </w:rPr>
        <w:t xml:space="preserve"> </w:t>
      </w:r>
      <w:proofErr w:type="spellStart"/>
      <w:r w:rsidRPr="00377E7B">
        <w:rPr>
          <w:color w:val="000000" w:themeColor="text1"/>
          <w:sz w:val="24"/>
          <w:lang w:val="sv-SE"/>
        </w:rPr>
        <w:t>crops</w:t>
      </w:r>
      <w:proofErr w:type="spellEnd"/>
      <w:r w:rsidRPr="00377E7B">
        <w:rPr>
          <w:color w:val="000000" w:themeColor="text1"/>
          <w:sz w:val="24"/>
          <w:lang w:val="sv-SE"/>
        </w:rPr>
        <w:t xml:space="preserve"> on </w:t>
      </w:r>
      <w:proofErr w:type="spellStart"/>
      <w:r w:rsidRPr="00377E7B">
        <w:rPr>
          <w:color w:val="000000" w:themeColor="text1"/>
          <w:sz w:val="24"/>
          <w:lang w:val="sv-SE"/>
        </w:rPr>
        <w:t>pesticide</w:t>
      </w:r>
      <w:proofErr w:type="spellEnd"/>
      <w:r w:rsidRPr="00377E7B">
        <w:rPr>
          <w:color w:val="000000" w:themeColor="text1"/>
          <w:sz w:val="24"/>
          <w:lang w:val="sv-SE"/>
        </w:rPr>
        <w:t xml:space="preserve"> </w:t>
      </w:r>
      <w:proofErr w:type="spellStart"/>
      <w:r w:rsidRPr="00377E7B">
        <w:rPr>
          <w:color w:val="000000" w:themeColor="text1"/>
          <w:sz w:val="24"/>
          <w:lang w:val="sv-SE"/>
        </w:rPr>
        <w:t>use</w:t>
      </w:r>
      <w:proofErr w:type="spellEnd"/>
      <w:r w:rsidRPr="00377E7B">
        <w:rPr>
          <w:color w:val="000000" w:themeColor="text1"/>
          <w:sz w:val="24"/>
          <w:lang w:val="sv-SE"/>
        </w:rPr>
        <w:t xml:space="preserve"> in the U.S. - the </w:t>
      </w:r>
      <w:proofErr w:type="spellStart"/>
      <w:r w:rsidRPr="00377E7B">
        <w:rPr>
          <w:color w:val="000000" w:themeColor="text1"/>
          <w:sz w:val="24"/>
          <w:lang w:val="sv-SE"/>
        </w:rPr>
        <w:t>first</w:t>
      </w:r>
      <w:proofErr w:type="spellEnd"/>
      <w:r w:rsidRPr="00377E7B">
        <w:rPr>
          <w:color w:val="000000" w:themeColor="text1"/>
          <w:sz w:val="24"/>
          <w:lang w:val="sv-SE"/>
        </w:rPr>
        <w:t xml:space="preserve"> </w:t>
      </w:r>
      <w:proofErr w:type="spellStart"/>
      <w:r w:rsidRPr="00377E7B">
        <w:rPr>
          <w:color w:val="000000" w:themeColor="text1"/>
          <w:sz w:val="24"/>
          <w:lang w:val="sv-SE"/>
        </w:rPr>
        <w:t>sixteen</w:t>
      </w:r>
      <w:proofErr w:type="spellEnd"/>
      <w:r w:rsidRPr="00377E7B">
        <w:rPr>
          <w:color w:val="000000" w:themeColor="text1"/>
          <w:sz w:val="24"/>
          <w:lang w:val="sv-SE"/>
        </w:rPr>
        <w:t xml:space="preserve"> </w:t>
      </w:r>
      <w:proofErr w:type="spellStart"/>
      <w:r w:rsidRPr="00377E7B">
        <w:rPr>
          <w:color w:val="000000" w:themeColor="text1"/>
          <w:sz w:val="24"/>
          <w:lang w:val="sv-SE"/>
        </w:rPr>
        <w:t>years</w:t>
      </w:r>
      <w:proofErr w:type="spellEnd"/>
      <w:r w:rsidRPr="00377E7B">
        <w:rPr>
          <w:color w:val="000000" w:themeColor="text1"/>
          <w:sz w:val="24"/>
          <w:lang w:val="sv-SE"/>
        </w:rPr>
        <w:t xml:space="preserve">”, </w:t>
      </w:r>
      <w:proofErr w:type="spellStart"/>
      <w:r w:rsidRPr="00377E7B">
        <w:rPr>
          <w:color w:val="000000" w:themeColor="text1"/>
          <w:sz w:val="24"/>
          <w:lang w:val="sv-SE"/>
        </w:rPr>
        <w:t>Environmental</w:t>
      </w:r>
      <w:proofErr w:type="spellEnd"/>
      <w:r w:rsidRPr="00377E7B">
        <w:rPr>
          <w:color w:val="000000" w:themeColor="text1"/>
          <w:sz w:val="24"/>
          <w:lang w:val="sv-SE"/>
        </w:rPr>
        <w:t xml:space="preserve"> Sciences </w:t>
      </w:r>
      <w:proofErr w:type="spellStart"/>
      <w:r w:rsidRPr="00377E7B">
        <w:rPr>
          <w:color w:val="000000" w:themeColor="text1"/>
          <w:sz w:val="24"/>
          <w:lang w:val="sv-SE"/>
        </w:rPr>
        <w:t>Europe</w:t>
      </w:r>
      <w:proofErr w:type="spellEnd"/>
      <w:r w:rsidRPr="00377E7B">
        <w:rPr>
          <w:color w:val="000000" w:themeColor="text1"/>
          <w:sz w:val="24"/>
          <w:lang w:val="sv-SE"/>
        </w:rPr>
        <w:t xml:space="preserve">, 28 september 2012, Vol. 24(24), </w:t>
      </w:r>
      <w:hyperlink r:id="rId8" w:history="1">
        <w:r w:rsidRPr="00377E7B">
          <w:rPr>
            <w:rStyle w:val="Hyperlink"/>
            <w:color w:val="000000" w:themeColor="text1"/>
            <w:sz w:val="24"/>
            <w:lang w:val="sv-SE"/>
          </w:rPr>
          <w:t>https://enveurope.springeropen.com/articles/10.1186/2190-4715-24-24</w:t>
        </w:r>
      </w:hyperlink>
      <w:r w:rsidRPr="00377E7B">
        <w:rPr>
          <w:color w:val="000000" w:themeColor="text1"/>
          <w:sz w:val="24"/>
          <w:lang w:val="sv-SE"/>
        </w:rPr>
        <w:t>.</w:t>
      </w:r>
    </w:p>
  </w:footnote>
  <w:footnote w:id="8">
    <w:p w:rsidR="00351C05" w:rsidRPr="00221922" w:rsidRDefault="00351C05" w:rsidP="00377E7B">
      <w:pPr>
        <w:pStyle w:val="FootnoteText"/>
        <w:ind w:left="567" w:hanging="567"/>
        <w:rPr>
          <w:color w:val="000000" w:themeColor="text1"/>
          <w:sz w:val="24"/>
          <w:lang w:val="en-GB"/>
        </w:rPr>
      </w:pPr>
      <w:r w:rsidRPr="00377E7B">
        <w:rPr>
          <w:rStyle w:val="Funotenzeichen"/>
          <w:color w:val="000000" w:themeColor="text1"/>
          <w:sz w:val="24"/>
          <w:lang w:val="sv-SE"/>
        </w:rPr>
        <w:footnoteRef/>
      </w:r>
      <w:r w:rsidR="00377E7B" w:rsidRPr="00221922">
        <w:rPr>
          <w:color w:val="000000" w:themeColor="text1"/>
          <w:sz w:val="24"/>
          <w:lang w:val="en-GB"/>
        </w:rPr>
        <w:t xml:space="preserve"> </w:t>
      </w:r>
      <w:r w:rsidR="00377E7B" w:rsidRPr="00221922">
        <w:rPr>
          <w:color w:val="000000" w:themeColor="text1"/>
          <w:sz w:val="24"/>
          <w:lang w:val="en-GB"/>
        </w:rPr>
        <w:tab/>
      </w:r>
      <w:r w:rsidRPr="00221922">
        <w:rPr>
          <w:color w:val="000000" w:themeColor="text1"/>
          <w:sz w:val="24"/>
          <w:lang w:val="en-GB"/>
        </w:rPr>
        <w:t>För en granskning se Rubio-Infante, N., Moreno-Fierros, L.</w:t>
      </w:r>
      <w:proofErr w:type="gramStart"/>
      <w:r w:rsidRPr="00221922">
        <w:rPr>
          <w:color w:val="000000" w:themeColor="text1"/>
          <w:sz w:val="24"/>
          <w:lang w:val="en-GB"/>
        </w:rPr>
        <w:t>, ”</w:t>
      </w:r>
      <w:proofErr w:type="gramEnd"/>
      <w:r w:rsidRPr="00221922">
        <w:rPr>
          <w:color w:val="000000" w:themeColor="text1"/>
          <w:sz w:val="24"/>
          <w:lang w:val="en-GB"/>
        </w:rPr>
        <w:t>An overview of the safety and biological effects of </w:t>
      </w:r>
      <w:r w:rsidRPr="00221922">
        <w:rPr>
          <w:i/>
          <w:iCs/>
          <w:color w:val="000000" w:themeColor="text1"/>
          <w:sz w:val="24"/>
          <w:lang w:val="en-GB"/>
        </w:rPr>
        <w:t>Bacillus thuringiensis</w:t>
      </w:r>
      <w:r w:rsidRPr="00221922">
        <w:rPr>
          <w:color w:val="000000" w:themeColor="text1"/>
          <w:sz w:val="24"/>
          <w:lang w:val="en-GB"/>
        </w:rPr>
        <w:t> Cry toxins in mammals”, Journal of Applied Toxicology, maj 2016, volym 36(5), s. 630–648,</w:t>
      </w:r>
      <w:r w:rsidRPr="00221922">
        <w:rPr>
          <w:sz w:val="24"/>
          <w:lang w:val="en-GB"/>
        </w:rPr>
        <w:t xml:space="preserve"> </w:t>
      </w:r>
      <w:hyperlink r:id="rId9" w:history="1">
        <w:r w:rsidRPr="00221922">
          <w:rPr>
            <w:rStyle w:val="Hyperlink"/>
            <w:color w:val="000000" w:themeColor="text1"/>
            <w:sz w:val="24"/>
            <w:lang w:val="en-GB"/>
          </w:rPr>
          <w:t>https://onlinelibrary.wiley.com/doi/full/10.1002/jat.3252</w:t>
        </w:r>
      </w:hyperlink>
      <w:r w:rsidRPr="00221922">
        <w:rPr>
          <w:color w:val="000000" w:themeColor="text1"/>
          <w:sz w:val="24"/>
          <w:lang w:val="en-GB"/>
        </w:rPr>
        <w:t>.</w:t>
      </w:r>
    </w:p>
  </w:footnote>
  <w:footnote w:id="9">
    <w:p w:rsidR="00351C05" w:rsidRPr="00221922" w:rsidRDefault="00351C05" w:rsidP="00377E7B">
      <w:pPr>
        <w:pStyle w:val="FootnoteText"/>
        <w:ind w:left="567" w:hanging="567"/>
        <w:rPr>
          <w:color w:val="000000" w:themeColor="text1"/>
          <w:sz w:val="24"/>
          <w:lang w:val="en-GB"/>
        </w:rPr>
      </w:pPr>
      <w:r w:rsidRPr="00377E7B">
        <w:rPr>
          <w:rStyle w:val="Funotenzeichen"/>
          <w:color w:val="000000" w:themeColor="text1"/>
          <w:sz w:val="24"/>
          <w:lang w:val="sv-SE"/>
        </w:rPr>
        <w:footnoteRef/>
      </w:r>
      <w:r w:rsidR="00377E7B" w:rsidRPr="00221922">
        <w:rPr>
          <w:color w:val="000000" w:themeColor="text1"/>
          <w:sz w:val="24"/>
          <w:lang w:val="en-GB"/>
        </w:rPr>
        <w:t xml:space="preserve"> </w:t>
      </w:r>
      <w:r w:rsidR="00377E7B" w:rsidRPr="00221922">
        <w:rPr>
          <w:color w:val="000000" w:themeColor="text1"/>
          <w:sz w:val="24"/>
          <w:lang w:val="en-GB"/>
        </w:rPr>
        <w:tab/>
      </w:r>
      <w:r w:rsidRPr="00221922">
        <w:rPr>
          <w:color w:val="000000" w:themeColor="text1"/>
          <w:sz w:val="24"/>
          <w:lang w:val="en-GB"/>
        </w:rPr>
        <w:t>Bøhn, T., Macagnan Rover, C., Semenchuk, P. R.</w:t>
      </w:r>
      <w:proofErr w:type="gramStart"/>
      <w:r w:rsidRPr="00221922">
        <w:rPr>
          <w:color w:val="000000" w:themeColor="text1"/>
          <w:sz w:val="24"/>
          <w:lang w:val="en-GB"/>
        </w:rPr>
        <w:t>, ”</w:t>
      </w:r>
      <w:proofErr w:type="gramEnd"/>
      <w:r w:rsidRPr="00221922">
        <w:rPr>
          <w:i/>
          <w:color w:val="000000" w:themeColor="text1"/>
          <w:sz w:val="24"/>
          <w:lang w:val="en-GB"/>
        </w:rPr>
        <w:t>Daphnia magna</w:t>
      </w:r>
      <w:r w:rsidRPr="00221922">
        <w:rPr>
          <w:color w:val="000000" w:themeColor="text1"/>
          <w:sz w:val="24"/>
          <w:lang w:val="en-GB"/>
        </w:rPr>
        <w:t xml:space="preserve"> negatively affected by chronic exposure to purified Cry-toxins”, Food and Chemical Toxicology, maj 2016, volym 91, s. 130–140,</w:t>
      </w:r>
      <w:r w:rsidRPr="00221922">
        <w:rPr>
          <w:sz w:val="24"/>
          <w:lang w:val="en-GB"/>
        </w:rPr>
        <w:t xml:space="preserve"> </w:t>
      </w:r>
      <w:hyperlink r:id="rId10" w:history="1">
        <w:r w:rsidRPr="00221922">
          <w:rPr>
            <w:rStyle w:val="Hyperlink"/>
            <w:color w:val="000000" w:themeColor="text1"/>
            <w:sz w:val="24"/>
            <w:lang w:val="en-GB"/>
          </w:rPr>
          <w:t>https://www.sciencedirect.com/science/article/pii/S0278691516300722</w:t>
        </w:r>
      </w:hyperlink>
      <w:r w:rsidRPr="00221922">
        <w:rPr>
          <w:color w:val="000000" w:themeColor="text1"/>
          <w:sz w:val="24"/>
          <w:lang w:val="en-GB"/>
        </w:rPr>
        <w:t>.</w:t>
      </w:r>
    </w:p>
  </w:footnote>
  <w:footnote w:id="10">
    <w:p w:rsidR="00351C05" w:rsidRPr="00221922" w:rsidRDefault="00351C05" w:rsidP="00377E7B">
      <w:pPr>
        <w:pStyle w:val="FootnoteText"/>
        <w:ind w:left="567" w:hanging="567"/>
        <w:rPr>
          <w:color w:val="000000" w:themeColor="text1"/>
          <w:sz w:val="24"/>
          <w:lang w:val="en-GB"/>
        </w:rPr>
      </w:pPr>
      <w:r w:rsidRPr="00377E7B">
        <w:rPr>
          <w:rStyle w:val="Funotenzeichen"/>
          <w:color w:val="000000" w:themeColor="text1"/>
          <w:sz w:val="24"/>
          <w:lang w:val="sv-SE"/>
        </w:rPr>
        <w:footnoteRef/>
      </w:r>
      <w:r w:rsidR="00377E7B" w:rsidRPr="00221922">
        <w:rPr>
          <w:sz w:val="24"/>
          <w:lang w:val="en-GB"/>
        </w:rPr>
        <w:t xml:space="preserve"> </w:t>
      </w:r>
      <w:r w:rsidR="00377E7B" w:rsidRPr="00221922">
        <w:rPr>
          <w:sz w:val="24"/>
          <w:lang w:val="en-GB"/>
        </w:rPr>
        <w:tab/>
      </w:r>
      <w:hyperlink r:id="rId11" w:history="1">
        <w:r w:rsidRPr="00221922">
          <w:rPr>
            <w:rStyle w:val="Hyperlink"/>
            <w:color w:val="000000" w:themeColor="text1"/>
            <w:sz w:val="24"/>
            <w:lang w:val="en-GB"/>
          </w:rPr>
          <w:t>https://efsa.onlinelibrary.wiley.com/action/downloadSupplement?doi=10.2903%2Fj.‌efsa.2024.8716&amp;file=efs28716-sup-0012-Annex8.pdf</w:t>
        </w:r>
      </w:hyperlink>
      <w:r w:rsidRPr="00221922">
        <w:rPr>
          <w:rStyle w:val="Hyperlink"/>
          <w:color w:val="000000" w:themeColor="text1"/>
          <w:sz w:val="24"/>
          <w:lang w:val="en-GB"/>
        </w:rPr>
        <w:t>.</w:t>
      </w:r>
    </w:p>
  </w:footnote>
  <w:footnote w:id="11">
    <w:p w:rsidR="00351C05" w:rsidRPr="00221922" w:rsidRDefault="00351C05" w:rsidP="00377E7B">
      <w:pPr>
        <w:pStyle w:val="FootnoteText"/>
        <w:ind w:left="567" w:hanging="567"/>
        <w:rPr>
          <w:color w:val="000000" w:themeColor="text1"/>
          <w:sz w:val="24"/>
          <w:lang w:val="en-GB"/>
        </w:rPr>
      </w:pPr>
      <w:r w:rsidRPr="00377E7B">
        <w:rPr>
          <w:rStyle w:val="Funotenzeichen"/>
          <w:color w:val="000000" w:themeColor="text1"/>
          <w:sz w:val="24"/>
          <w:lang w:val="sv-SE"/>
        </w:rPr>
        <w:footnoteRef/>
      </w:r>
      <w:r w:rsidR="00377E7B" w:rsidRPr="00221922">
        <w:rPr>
          <w:color w:val="000000" w:themeColor="text1"/>
          <w:sz w:val="24"/>
          <w:lang w:val="en-GB"/>
        </w:rPr>
        <w:t xml:space="preserve"> </w:t>
      </w:r>
      <w:r w:rsidR="00377E7B" w:rsidRPr="00221922">
        <w:rPr>
          <w:color w:val="000000" w:themeColor="text1"/>
          <w:sz w:val="24"/>
          <w:lang w:val="en-GB"/>
        </w:rPr>
        <w:tab/>
      </w:r>
      <w:r w:rsidRPr="00221922">
        <w:rPr>
          <w:color w:val="000000" w:themeColor="text1"/>
          <w:sz w:val="24"/>
          <w:lang w:val="en-GB"/>
        </w:rPr>
        <w:t xml:space="preserve">”Strategic Dialogue on the Future of EU Agriculture - A shared prospect for farming and food in Europe”, </w:t>
      </w:r>
      <w:proofErr w:type="gramStart"/>
      <w:r w:rsidRPr="00221922">
        <w:rPr>
          <w:color w:val="000000" w:themeColor="text1"/>
          <w:sz w:val="24"/>
          <w:lang w:val="en-GB"/>
        </w:rPr>
        <w:t>september</w:t>
      </w:r>
      <w:proofErr w:type="gramEnd"/>
      <w:r w:rsidRPr="00221922">
        <w:rPr>
          <w:color w:val="000000" w:themeColor="text1"/>
          <w:sz w:val="24"/>
          <w:lang w:val="en-GB"/>
        </w:rPr>
        <w:t xml:space="preserve"> 2024, </w:t>
      </w:r>
      <w:hyperlink r:id="rId12" w:history="1">
        <w:r w:rsidRPr="00221922">
          <w:rPr>
            <w:rStyle w:val="Hyperlink"/>
            <w:color w:val="000000" w:themeColor="text1"/>
            <w:sz w:val="24"/>
            <w:lang w:val="en-GB"/>
          </w:rPr>
          <w:t>https://agriculture.ec.europa.eu/document/download/171329ff-0f50-4fa5-946f-aea11032172e_en?filename=strategic-dialogue-report-2024_en.pdf</w:t>
        </w:r>
      </w:hyperlink>
      <w:r w:rsidRPr="00221922">
        <w:rPr>
          <w:rStyle w:val="Hyperlink"/>
          <w:color w:val="000000" w:themeColor="text1"/>
          <w:sz w:val="24"/>
          <w:lang w:val="en-GB"/>
        </w:rPr>
        <w:t>.</w:t>
      </w:r>
    </w:p>
  </w:footnote>
  <w:footnote w:id="12">
    <w:p w:rsidR="00351C05" w:rsidRPr="00221922" w:rsidRDefault="00351C05" w:rsidP="00377E7B">
      <w:pPr>
        <w:pStyle w:val="FootnoteText"/>
        <w:ind w:left="567" w:hanging="567"/>
        <w:rPr>
          <w:color w:val="000000" w:themeColor="text1"/>
          <w:sz w:val="24"/>
          <w:lang w:val="en-GB"/>
        </w:rPr>
      </w:pPr>
      <w:r w:rsidRPr="00377E7B">
        <w:rPr>
          <w:rStyle w:val="Funotenzeichen"/>
          <w:color w:val="000000" w:themeColor="text1"/>
          <w:sz w:val="24"/>
          <w:lang w:val="sv-SE"/>
        </w:rPr>
        <w:footnoteRef/>
      </w:r>
      <w:r w:rsidR="00377E7B" w:rsidRPr="00221922">
        <w:rPr>
          <w:sz w:val="24"/>
          <w:lang w:val="en-GB"/>
        </w:rPr>
        <w:t xml:space="preserve"> </w:t>
      </w:r>
      <w:r w:rsidR="00377E7B" w:rsidRPr="00221922">
        <w:rPr>
          <w:sz w:val="24"/>
          <w:lang w:val="en-GB"/>
        </w:rPr>
        <w:tab/>
      </w:r>
      <w:hyperlink r:id="rId13" w:history="1">
        <w:r w:rsidRPr="00221922">
          <w:rPr>
            <w:rStyle w:val="Hyperlink"/>
            <w:color w:val="000000" w:themeColor="text1"/>
            <w:sz w:val="24"/>
            <w:lang w:val="en-GB"/>
          </w:rPr>
          <w:t>https://www.ohchr.org/en/documents/thematic-reports/ahrc3448-report-special-rapporteur-right-food</w:t>
        </w:r>
      </w:hyperlink>
      <w:r w:rsidRPr="00221922">
        <w:rPr>
          <w:color w:val="000000" w:themeColor="text1"/>
          <w:sz w:val="24"/>
          <w:lang w:val="en-GB"/>
        </w:rPr>
        <w:t>.</w:t>
      </w:r>
    </w:p>
  </w:footnote>
  <w:footnote w:id="13">
    <w:p w:rsidR="00351C05" w:rsidRPr="00377E7B" w:rsidRDefault="00351C05" w:rsidP="00377E7B">
      <w:pPr>
        <w:pStyle w:val="FootnoteText"/>
        <w:ind w:left="567" w:hanging="567"/>
        <w:rPr>
          <w:sz w:val="24"/>
          <w:lang w:val="sv-SE"/>
        </w:rPr>
      </w:pPr>
      <w:r w:rsidRPr="00377E7B">
        <w:rPr>
          <w:rStyle w:val="FootnoteReference"/>
          <w:sz w:val="24"/>
          <w:lang w:val="sv-SE"/>
        </w:rPr>
        <w:footnoteRef/>
      </w:r>
      <w:r w:rsidR="00377E7B" w:rsidRPr="00377E7B">
        <w:rPr>
          <w:sz w:val="24"/>
          <w:lang w:val="sv-SE"/>
        </w:rPr>
        <w:t xml:space="preserve"> </w:t>
      </w:r>
      <w:r w:rsidR="00377E7B" w:rsidRPr="00377E7B">
        <w:rPr>
          <w:sz w:val="24"/>
          <w:lang w:val="sv-SE"/>
        </w:rPr>
        <w:tab/>
      </w:r>
      <w:hyperlink r:id="rId14" w:history="1">
        <w:r w:rsidRPr="00377E7B">
          <w:rPr>
            <w:rStyle w:val="Hyperlink"/>
            <w:sz w:val="24"/>
            <w:lang w:val="sv-SE"/>
          </w:rPr>
          <w:t>https://indicators.report/targets/3-9/</w:t>
        </w:r>
      </w:hyperlink>
      <w:r w:rsidRPr="00377E7B">
        <w:rPr>
          <w:rStyle w:val="Hyperlink"/>
          <w:sz w:val="24"/>
          <w:lang w:val="sv-SE"/>
        </w:rPr>
        <w:t>.</w:t>
      </w:r>
    </w:p>
  </w:footnote>
  <w:footnote w:id="14">
    <w:p w:rsidR="00351C05" w:rsidRPr="00377E7B" w:rsidRDefault="00351C05" w:rsidP="00377E7B">
      <w:pPr>
        <w:pStyle w:val="FootnoteText"/>
        <w:ind w:left="567" w:hanging="567"/>
        <w:rPr>
          <w:color w:val="000000" w:themeColor="text1"/>
          <w:sz w:val="24"/>
          <w:lang w:val="sv-SE"/>
        </w:rPr>
      </w:pPr>
      <w:r w:rsidRPr="00377E7B">
        <w:rPr>
          <w:rStyle w:val="Funotenzeichen"/>
          <w:color w:val="000000" w:themeColor="text1"/>
          <w:sz w:val="24"/>
          <w:lang w:val="sv-SE"/>
        </w:rPr>
        <w:footnoteRef/>
      </w:r>
      <w:r w:rsidR="00377E7B" w:rsidRPr="00377E7B">
        <w:rPr>
          <w:sz w:val="24"/>
          <w:lang w:val="sv-SE"/>
        </w:rPr>
        <w:t xml:space="preserve"> </w:t>
      </w:r>
      <w:r w:rsidR="00377E7B" w:rsidRPr="00377E7B">
        <w:rPr>
          <w:sz w:val="24"/>
          <w:lang w:val="sv-SE"/>
        </w:rPr>
        <w:tab/>
      </w:r>
      <w:r w:rsidRPr="00377E7B">
        <w:rPr>
          <w:sz w:val="24"/>
          <w:lang w:val="sv-SE"/>
        </w:rPr>
        <w:t xml:space="preserve">Mer information finns på: </w:t>
      </w:r>
      <w:hyperlink r:id="rId15" w:history="1">
        <w:r w:rsidRPr="00377E7B">
          <w:rPr>
            <w:rStyle w:val="Hyperlink"/>
            <w:sz w:val="24"/>
            <w:lang w:val="sv-SE"/>
          </w:rPr>
          <w:t>https://ec.europa.eu/commission/presscorner/detail/sv/ip_22_7834</w:t>
        </w:r>
      </w:hyperlink>
      <w:r w:rsidRPr="00377E7B">
        <w:rPr>
          <w:sz w:val="24"/>
          <w:lang w:val="sv-SE"/>
        </w:rPr>
        <w:t>.</w:t>
      </w:r>
    </w:p>
  </w:footnote>
  <w:footnote w:id="15">
    <w:p w:rsidR="00351C05" w:rsidRPr="00377E7B" w:rsidRDefault="00351C05" w:rsidP="00377E7B">
      <w:pPr>
        <w:pStyle w:val="FootnoteText"/>
        <w:ind w:left="567" w:hanging="567"/>
        <w:rPr>
          <w:color w:val="000000" w:themeColor="text1"/>
          <w:sz w:val="24"/>
          <w:lang w:val="sv-SE"/>
        </w:rPr>
      </w:pPr>
      <w:r w:rsidRPr="00377E7B">
        <w:rPr>
          <w:rStyle w:val="Funotenzeichen"/>
          <w:color w:val="000000" w:themeColor="text1"/>
          <w:sz w:val="24"/>
          <w:lang w:val="sv-SE"/>
        </w:rPr>
        <w:footnoteRef/>
      </w:r>
      <w:r w:rsidR="00377E7B" w:rsidRPr="00377E7B">
        <w:rPr>
          <w:sz w:val="24"/>
          <w:lang w:val="sv-SE"/>
        </w:rPr>
        <w:t xml:space="preserve"> </w:t>
      </w:r>
      <w:r w:rsidR="00377E7B" w:rsidRPr="00377E7B">
        <w:rPr>
          <w:sz w:val="24"/>
          <w:lang w:val="sv-SE"/>
        </w:rPr>
        <w:tab/>
      </w:r>
      <w:hyperlink r:id="rId16" w:history="1">
        <w:r w:rsidRPr="00377E7B">
          <w:rPr>
            <w:rStyle w:val="Hyperlink"/>
            <w:color w:val="000000" w:themeColor="text1"/>
            <w:sz w:val="24"/>
            <w:lang w:val="sv-SE"/>
          </w:rPr>
          <w:t>https://commission.europa.eu/document/2c64e540-c07a-4376-a1da-368d289f4afe_en</w:t>
        </w:r>
      </w:hyperlink>
      <w:r w:rsidRPr="00377E7B">
        <w:rPr>
          <w:rStyle w:val="Hyperlink"/>
          <w:color w:val="000000" w:themeColor="text1"/>
          <w:sz w:val="24"/>
          <w:lang w:val="sv-SE"/>
        </w:rPr>
        <w:t>.</w:t>
      </w:r>
    </w:p>
  </w:footnote>
  <w:footnote w:id="16">
    <w:p w:rsidR="00351C05" w:rsidRPr="00377E7B" w:rsidRDefault="00351C05" w:rsidP="00377E7B">
      <w:pPr>
        <w:pStyle w:val="FootnoteText"/>
        <w:ind w:left="567" w:hanging="567"/>
        <w:rPr>
          <w:color w:val="000000" w:themeColor="text1"/>
          <w:sz w:val="24"/>
          <w:lang w:val="sv-SE"/>
        </w:rPr>
      </w:pPr>
      <w:r w:rsidRPr="00377E7B">
        <w:rPr>
          <w:rStyle w:val="Funotenzeichen"/>
          <w:color w:val="000000" w:themeColor="text1"/>
          <w:sz w:val="24"/>
          <w:lang w:val="sv-SE"/>
        </w:rPr>
        <w:footnoteRef/>
      </w:r>
      <w:r w:rsidR="00377E7B" w:rsidRPr="00377E7B">
        <w:rPr>
          <w:color w:val="000000" w:themeColor="text1"/>
          <w:sz w:val="24"/>
          <w:lang w:val="sv-SE"/>
        </w:rPr>
        <w:t xml:space="preserve"> </w:t>
      </w:r>
      <w:r w:rsidR="00377E7B" w:rsidRPr="00377E7B">
        <w:rPr>
          <w:color w:val="000000" w:themeColor="text1"/>
          <w:sz w:val="24"/>
          <w:lang w:val="sv-SE"/>
        </w:rPr>
        <w:tab/>
      </w:r>
      <w:r w:rsidRPr="00377E7B">
        <w:rPr>
          <w:color w:val="000000" w:themeColor="text1"/>
          <w:sz w:val="24"/>
          <w:lang w:val="sv-SE"/>
        </w:rPr>
        <w:t>Om det inte finns stöd av en kvalificerad majoritet av medlemsstaterna i omprövningskommittén ”får”, inte ”ska”, kommissionen gå vidare med godkännandet, enligt artikel 6.3 i förordning (EU) nr 182/2011.</w:t>
      </w:r>
    </w:p>
  </w:footnote>
  <w:footnote w:id="17">
    <w:p w:rsidR="00351C05" w:rsidRPr="00377E7B" w:rsidRDefault="00351C05" w:rsidP="00377E7B">
      <w:pPr>
        <w:pStyle w:val="FootnoteText"/>
        <w:ind w:left="567" w:hanging="567"/>
        <w:rPr>
          <w:color w:val="000000" w:themeColor="text1"/>
          <w:sz w:val="24"/>
          <w:lang w:val="sv-SE"/>
        </w:rPr>
      </w:pPr>
      <w:r w:rsidRPr="00377E7B">
        <w:rPr>
          <w:rStyle w:val="Funotenzeichen"/>
          <w:color w:val="000000" w:themeColor="text1"/>
          <w:sz w:val="24"/>
          <w:lang w:val="sv-SE"/>
        </w:rPr>
        <w:footnoteRef/>
      </w:r>
      <w:r w:rsidR="00377E7B" w:rsidRPr="00377E7B">
        <w:rPr>
          <w:color w:val="000000" w:themeColor="text1"/>
          <w:sz w:val="24"/>
          <w:lang w:val="sv-SE"/>
        </w:rPr>
        <w:t xml:space="preserve"> </w:t>
      </w:r>
      <w:r w:rsidR="00377E7B" w:rsidRPr="00377E7B">
        <w:rPr>
          <w:color w:val="000000" w:themeColor="text1"/>
          <w:sz w:val="24"/>
          <w:lang w:val="sv-SE"/>
        </w:rPr>
        <w:tab/>
      </w:r>
      <w:r w:rsidRPr="00377E7B">
        <w:rPr>
          <w:color w:val="000000" w:themeColor="text1"/>
          <w:sz w:val="24"/>
          <w:lang w:val="sv-SE"/>
        </w:rPr>
        <w:t>Europaparlamentets och rådets förordning (EG) nr 178/2002 av den 28 januari 2002 om allmänna principer och krav för livsmedelslagstiftning, om inrättande av Europeiska myndigheten för livsmedelssäkerhet och om förfaranden i frågor som gäller livsmedelssäkerhet (EGT L 31, 1.2.2002, s. 1, ELI: </w:t>
      </w:r>
      <w:hyperlink r:id="rId17" w:tgtFrame="Gives access to this document through its ELI URI." w:history="1">
        <w:r w:rsidRPr="00377E7B">
          <w:rPr>
            <w:rStyle w:val="Hyperlink"/>
            <w:color w:val="000000" w:themeColor="text1"/>
            <w:sz w:val="24"/>
            <w:lang w:val="sv-SE"/>
          </w:rPr>
          <w:t>http://data.europa.eu/eli/reg/2002/178/oj</w:t>
        </w:r>
      </w:hyperlink>
      <w:r w:rsidRPr="00377E7B">
        <w:rPr>
          <w:color w:val="000000" w:themeColor="text1"/>
          <w:sz w:val="24"/>
          <w:lang w:val="sv-SE"/>
        </w:rPr>
        <w:t>).</w:t>
      </w:r>
    </w:p>
  </w:footnote>
  <w:footnote w:id="18">
    <w:p w:rsidR="00351C05" w:rsidRPr="00377E7B" w:rsidRDefault="00351C05" w:rsidP="00377E7B">
      <w:pPr>
        <w:pStyle w:val="FootnoteText"/>
        <w:ind w:left="567" w:hanging="567"/>
        <w:rPr>
          <w:color w:val="000000" w:themeColor="text1"/>
          <w:sz w:val="24"/>
          <w:lang w:val="sv-SE"/>
        </w:rPr>
      </w:pPr>
      <w:r w:rsidRPr="00377E7B">
        <w:rPr>
          <w:rStyle w:val="FootnoteReference"/>
          <w:color w:val="000000" w:themeColor="text1"/>
          <w:sz w:val="24"/>
          <w:lang w:val="sv-SE"/>
        </w:rPr>
        <w:footnoteRef/>
      </w:r>
      <w:r w:rsidR="00377E7B" w:rsidRPr="00377E7B">
        <w:rPr>
          <w:color w:val="000000" w:themeColor="text1"/>
          <w:sz w:val="24"/>
          <w:lang w:val="sv-SE"/>
        </w:rPr>
        <w:t xml:space="preserve"> </w:t>
      </w:r>
      <w:r w:rsidR="00377E7B" w:rsidRPr="00377E7B">
        <w:rPr>
          <w:color w:val="000000" w:themeColor="text1"/>
          <w:sz w:val="24"/>
          <w:lang w:val="sv-SE"/>
        </w:rPr>
        <w:tab/>
      </w:r>
      <w:r w:rsidRPr="00377E7B">
        <w:rPr>
          <w:color w:val="000000" w:themeColor="text1"/>
          <w:sz w:val="24"/>
          <w:lang w:val="sv-SE"/>
        </w:rPr>
        <w:t xml:space="preserve">Enligt bilagan till kommissionens meddelande av den 14 oktober 2020 </w:t>
      </w:r>
      <w:r w:rsidRPr="00377E7B">
        <w:rPr>
          <w:i/>
          <w:iCs/>
          <w:color w:val="000000" w:themeColor="text1"/>
          <w:sz w:val="24"/>
          <w:lang w:val="sv-SE"/>
        </w:rPr>
        <w:t>Kemikaliestrategi för hållbarhet – På väg mot en giftfri miljö</w:t>
      </w:r>
      <w:r w:rsidRPr="00377E7B">
        <w:rPr>
          <w:color w:val="000000" w:themeColor="text1"/>
          <w:sz w:val="24"/>
          <w:lang w:val="sv-SE"/>
        </w:rPr>
        <w:t xml:space="preserve">, COM(2020)0667, </w:t>
      </w:r>
      <w:hyperlink r:id="rId18" w:anchor="document2" w:history="1">
        <w:r w:rsidRPr="00377E7B">
          <w:rPr>
            <w:rStyle w:val="Hyperlink"/>
            <w:color w:val="000000" w:themeColor="text1"/>
            <w:sz w:val="24"/>
            <w:lang w:val="sv-SE"/>
          </w:rPr>
          <w:t>https://eur-lex.europa.eu/legal-content/SV/TXT/?uri=COM%3A2020%3A667%3AFIN#document2</w:t>
        </w:r>
      </w:hyperlink>
      <w:r w:rsidRPr="00377E7B">
        <w:rPr>
          <w:color w:val="000000" w:themeColor="text1"/>
          <w:sz w:val="24"/>
          <w:lang w:val="sv-SE"/>
        </w:rPr>
        <w:t xml:space="preserve">. </w:t>
      </w:r>
    </w:p>
  </w:footnote>
  <w:footnote w:id="19">
    <w:p w:rsidR="00351C05" w:rsidRPr="00377E7B" w:rsidRDefault="00351C05" w:rsidP="00377E7B">
      <w:pPr>
        <w:pStyle w:val="FootnoteText"/>
        <w:ind w:left="567" w:hanging="567"/>
        <w:rPr>
          <w:color w:val="000000" w:themeColor="text1"/>
          <w:sz w:val="24"/>
          <w:lang w:val="sv-SE"/>
        </w:rPr>
      </w:pPr>
      <w:r w:rsidRPr="00377E7B">
        <w:rPr>
          <w:rStyle w:val="Funotenzeichen"/>
          <w:color w:val="000000" w:themeColor="text1"/>
          <w:sz w:val="24"/>
          <w:lang w:val="sv-SE"/>
        </w:rPr>
        <w:footnoteRef/>
      </w:r>
      <w:r w:rsidR="00377E7B" w:rsidRPr="00377E7B">
        <w:rPr>
          <w:sz w:val="24"/>
          <w:lang w:val="sv-SE"/>
        </w:rPr>
        <w:t xml:space="preserve"> </w:t>
      </w:r>
      <w:r w:rsidR="00377E7B" w:rsidRPr="00377E7B">
        <w:rPr>
          <w:sz w:val="24"/>
          <w:lang w:val="sv-SE"/>
        </w:rPr>
        <w:tab/>
      </w:r>
      <w:hyperlink r:id="rId19" w:history="1">
        <w:r w:rsidRPr="00377E7B">
          <w:rPr>
            <w:rStyle w:val="Hyperlink"/>
            <w:color w:val="000000" w:themeColor="text1"/>
            <w:sz w:val="24"/>
            <w:lang w:val="sv-SE"/>
          </w:rPr>
          <w:t>https://tillymetz.lu/wp-content/uploads/2020/09/Co-signed-letter-MEP-Metz.pdf</w:t>
        </w:r>
      </w:hyperlink>
      <w:r w:rsidRPr="00377E7B">
        <w:rPr>
          <w:rStyle w:val="Hyperlink"/>
          <w:color w:val="000000" w:themeColor="text1"/>
          <w:sz w:val="24"/>
          <w:lang w:val="sv-SE"/>
        </w:rPr>
        <w:t>.</w:t>
      </w:r>
    </w:p>
  </w:footnote>
  <w:footnote w:id="20">
    <w:p w:rsidR="00351C05" w:rsidRPr="00377E7B" w:rsidRDefault="00351C05" w:rsidP="00377E7B">
      <w:pPr>
        <w:pStyle w:val="FootnoteText"/>
        <w:ind w:left="567" w:hanging="567"/>
        <w:rPr>
          <w:color w:val="000000" w:themeColor="text1"/>
          <w:sz w:val="24"/>
          <w:lang w:val="sv-SE"/>
        </w:rPr>
      </w:pPr>
      <w:r w:rsidRPr="00377E7B">
        <w:rPr>
          <w:rStyle w:val="Funotenzeichen"/>
          <w:color w:val="000000" w:themeColor="text1"/>
          <w:sz w:val="24"/>
          <w:lang w:val="sv-SE"/>
        </w:rPr>
        <w:footnoteRef/>
      </w:r>
      <w:r w:rsidR="00377E7B" w:rsidRPr="00377E7B">
        <w:rPr>
          <w:color w:val="000000" w:themeColor="text1"/>
          <w:sz w:val="24"/>
          <w:lang w:val="sv-SE"/>
        </w:rPr>
        <w:t xml:space="preserve"> </w:t>
      </w:r>
      <w:r w:rsidR="00377E7B" w:rsidRPr="00377E7B">
        <w:rPr>
          <w:color w:val="000000" w:themeColor="text1"/>
          <w:sz w:val="24"/>
          <w:lang w:val="sv-SE"/>
        </w:rPr>
        <w:tab/>
      </w:r>
      <w:r w:rsidRPr="00377E7B">
        <w:rPr>
          <w:color w:val="000000" w:themeColor="text1"/>
          <w:sz w:val="24"/>
          <w:lang w:val="sv-SE"/>
        </w:rPr>
        <w:t>Europaparlamentets resolution av den 15 januari 2020 om den europeiska gröna given (EUT C 270, 7.7.2021, s. 2), punkt 102.</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7E7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7E7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7E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1/2025"/>
    <w:docVar w:name="dvlangue" w:val="SV"/>
    <w:docVar w:name="dvnumam" w:val="0"/>
    <w:docVar w:name="dvpe" w:val="766.932"/>
    <w:docVar w:name="dvtitre" w:val="Europaparlamentets resolution av den xx xx 2025 om utkastet till kommissionens genomförandebeslut om godkännande för utsläppande på marknaden av produkter som innehåller, består av eller har framställts av den genetiskt modifierade majsen DP910521, i enlighet med Europaparlamentets och rådets förordning (EG) nr 1829/2003(D102174/03 – 2024/3010(RSP))"/>
  </w:docVars>
  <w:rsids>
    <w:rsidRoot w:val="006A6848"/>
    <w:rsid w:val="00002272"/>
    <w:rsid w:val="00042FEA"/>
    <w:rsid w:val="00064002"/>
    <w:rsid w:val="000677B9"/>
    <w:rsid w:val="000831BA"/>
    <w:rsid w:val="000A42CC"/>
    <w:rsid w:val="000E7DD9"/>
    <w:rsid w:val="0010095E"/>
    <w:rsid w:val="00125B37"/>
    <w:rsid w:val="00187494"/>
    <w:rsid w:val="001F32AE"/>
    <w:rsid w:val="00221922"/>
    <w:rsid w:val="002767FF"/>
    <w:rsid w:val="002B18FE"/>
    <w:rsid w:val="002B5493"/>
    <w:rsid w:val="0030167E"/>
    <w:rsid w:val="00343214"/>
    <w:rsid w:val="00351C05"/>
    <w:rsid w:val="00361C00"/>
    <w:rsid w:val="00377E7B"/>
    <w:rsid w:val="00395FA1"/>
    <w:rsid w:val="003E15D4"/>
    <w:rsid w:val="00406850"/>
    <w:rsid w:val="00411CCE"/>
    <w:rsid w:val="0041666E"/>
    <w:rsid w:val="00421060"/>
    <w:rsid w:val="00471C19"/>
    <w:rsid w:val="004867E3"/>
    <w:rsid w:val="00494A28"/>
    <w:rsid w:val="004C0004"/>
    <w:rsid w:val="004C5D52"/>
    <w:rsid w:val="0050519A"/>
    <w:rsid w:val="005072A1"/>
    <w:rsid w:val="00514517"/>
    <w:rsid w:val="00533832"/>
    <w:rsid w:val="00545827"/>
    <w:rsid w:val="00560270"/>
    <w:rsid w:val="005C2568"/>
    <w:rsid w:val="005F1B17"/>
    <w:rsid w:val="006037C0"/>
    <w:rsid w:val="006631B6"/>
    <w:rsid w:val="00680577"/>
    <w:rsid w:val="006A684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4B34"/>
    <w:rsid w:val="008C2AC6"/>
    <w:rsid w:val="00930C23"/>
    <w:rsid w:val="0093193B"/>
    <w:rsid w:val="00941EFD"/>
    <w:rsid w:val="009509D8"/>
    <w:rsid w:val="00950B64"/>
    <w:rsid w:val="00981893"/>
    <w:rsid w:val="00A1687D"/>
    <w:rsid w:val="00A43E52"/>
    <w:rsid w:val="00A4678D"/>
    <w:rsid w:val="00A778C7"/>
    <w:rsid w:val="00AB441E"/>
    <w:rsid w:val="00AB6293"/>
    <w:rsid w:val="00AD1F2A"/>
    <w:rsid w:val="00AE0928"/>
    <w:rsid w:val="00AF3B82"/>
    <w:rsid w:val="00B12E95"/>
    <w:rsid w:val="00B22876"/>
    <w:rsid w:val="00B558F0"/>
    <w:rsid w:val="00B75C3B"/>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8DE4D7F-A7CE-4BFF-B290-C136E4010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qFormat/>
    <w:rsid w:val="00351C05"/>
    <w:pPr>
      <w:spacing w:before="480" w:after="240"/>
    </w:pPr>
  </w:style>
  <w:style w:type="paragraph" w:customStyle="1" w:styleId="NormalHanging12a">
    <w:name w:val="NormalHanging12a"/>
    <w:basedOn w:val="Normal"/>
    <w:qFormat/>
    <w:rsid w:val="00351C05"/>
    <w:pPr>
      <w:spacing w:after="240"/>
      <w:ind w:left="567" w:hanging="567"/>
    </w:pPr>
  </w:style>
  <w:style w:type="character" w:styleId="Hyperlink">
    <w:name w:val="Hyperlink"/>
    <w:basedOn w:val="DefaultParagraphFont"/>
    <w:uiPriority w:val="99"/>
    <w:rsid w:val="00351C05"/>
    <w:rPr>
      <w:color w:val="0563C1" w:themeColor="hyperlink"/>
      <w:u w:val="single"/>
    </w:rPr>
  </w:style>
  <w:style w:type="character" w:customStyle="1" w:styleId="Funotenzeichen">
    <w:name w:val="Fußnotenzeichen"/>
    <w:qFormat/>
    <w:rsid w:val="00351C05"/>
    <w:rPr>
      <w:vertAlign w:val="superscript"/>
    </w:rPr>
  </w:style>
  <w:style w:type="character" w:styleId="FollowedHyperlink">
    <w:name w:val="FollowedHyperlink"/>
    <w:basedOn w:val="DefaultParagraphFont"/>
    <w:rsid w:val="00042FEA"/>
    <w:rPr>
      <w:color w:val="954F72" w:themeColor="followedHyperlink"/>
      <w:u w:val="single"/>
    </w:rPr>
  </w:style>
  <w:style w:type="paragraph" w:styleId="BalloonText">
    <w:name w:val="Balloon Text"/>
    <w:basedOn w:val="Normal"/>
    <w:link w:val="BalloonTextChar"/>
    <w:rsid w:val="00221922"/>
    <w:rPr>
      <w:rFonts w:ascii="Segoe UI" w:hAnsi="Segoe UI" w:cs="Segoe UI"/>
      <w:sz w:val="18"/>
      <w:szCs w:val="18"/>
    </w:rPr>
  </w:style>
  <w:style w:type="character" w:customStyle="1" w:styleId="BalloonTextChar">
    <w:name w:val="Balloon Text Char"/>
    <w:basedOn w:val="DefaultParagraphFont"/>
    <w:link w:val="BalloonText"/>
    <w:rsid w:val="00221922"/>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nveurope.springeropen.com/articles/10.1186/2190-4715-24-24" TargetMode="External"/><Relationship Id="rId13" Type="http://schemas.openxmlformats.org/officeDocument/2006/relationships/hyperlink" Target="https://www.ohchr.org/en/documents/thematic-reports/ahrc3448-report-special-rapporteur-right-food" TargetMode="External"/><Relationship Id="rId18" Type="http://schemas.openxmlformats.org/officeDocument/2006/relationships/hyperlink" Target="https://eur-lex.europa.eu/legal-content/SV/TXT/?uri=COM:2020:667:FIN" TargetMode="External"/><Relationship Id="rId3" Type="http://schemas.openxmlformats.org/officeDocument/2006/relationships/hyperlink" Target="https://doi.org/10.2903/j.efsa.2024.8887" TargetMode="External"/><Relationship Id="rId7" Type="http://schemas.openxmlformats.org/officeDocument/2006/relationships/hyperlink" Target="https://www.ncbi.nlm.nih.gov/pubmed/26296738" TargetMode="External"/><Relationship Id="rId12" Type="http://schemas.openxmlformats.org/officeDocument/2006/relationships/hyperlink" Target="https://agriculture.ec.europa.eu/document/download/171329ff-0f50-4fa5-946f-aea11032172e_en?filename=strategic-dialogue-report-2024_en.pdf" TargetMode="External"/><Relationship Id="rId17"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commission.europa.eu/document/2c64e540-c07a-4376-a1da-368d289f4afe_en" TargetMode="External"/><Relationship Id="rId1" Type="http://schemas.openxmlformats.org/officeDocument/2006/relationships/hyperlink" Target="http://data.europa.eu/eli/reg/2003/1829/oj" TargetMode="External"/><Relationship Id="rId6" Type="http://schemas.openxmlformats.org/officeDocument/2006/relationships/hyperlink" Target="https://doi.org/10.1126/science.abe1148" TargetMode="External"/><Relationship Id="rId11" Type="http://schemas.openxmlformats.org/officeDocument/2006/relationships/hyperlink" Target="https://efsa.onlinelibrary.wiley.com/action/downloadSupplement?doi=10.2903/j.efsa.2024.8716&amp;file=efs28716-sup-0012-Annex8.pdf" TargetMode="External"/><Relationship Id="rId5" Type="http://schemas.openxmlformats.org/officeDocument/2006/relationships/hyperlink" Target="http://data.europa.eu/eli/reg_impl/2013/503/oj" TargetMode="External"/><Relationship Id="rId15" Type="http://schemas.openxmlformats.org/officeDocument/2006/relationships/hyperlink" Target="https://ec.europa.eu/commission/presscorner/detail/sv/ip_22_7834" TargetMode="External"/><Relationship Id="rId10" Type="http://schemas.openxmlformats.org/officeDocument/2006/relationships/hyperlink" Target="https://www.sciencedirect.com/science/article/pii/S0278691516300722?via=ihub" TargetMode="External"/><Relationship Id="rId19" Type="http://schemas.openxmlformats.org/officeDocument/2006/relationships/hyperlink" Target="https://tillymetz.lu/wp-content/uploads/2020/09/Co-signed-letter-MEP-Metz.pdf" TargetMode="External"/><Relationship Id="rId4" Type="http://schemas.openxmlformats.org/officeDocument/2006/relationships/hyperlink" Target="https://eur-lex.europa.eu/eli/reg/2009/1107/oj" TargetMode="External"/><Relationship Id="rId9" Type="http://schemas.openxmlformats.org/officeDocument/2006/relationships/hyperlink" Target="https://onlinelibrary.wiley.com/doi/full/10.1002/jat.3252" TargetMode="External"/><Relationship Id="rId14" Type="http://schemas.openxmlformats.org/officeDocument/2006/relationships/hyperlink" Target="https://indicators.report/targets/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A8B0F-1083-47E2-A0CB-60AE0F4F01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8</Pages>
  <Words>1994</Words>
  <Characters>12762</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2025-02-12T13:12:00Z</dcterms:created>
  <dcterms:modified xsi:type="dcterms:W3CDTF">2025-02-12T13:12:00Z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P10_TA-PROV(2025)0014_</vt:lpwstr>
  </property>
  <property fmtid="{D5CDD505-2E9C-101B-9397-08002B2CF9AE}" pid="4" name="&lt;Type&gt;">
    <vt:lpwstr>RR</vt:lpwstr>
  </property>
</Properties>
</file>