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A7F7C" w:rsidTr="0010095E">
        <w:trPr>
          <w:trHeight w:hRule="exact" w:val="1418"/>
        </w:trPr>
        <w:tc>
          <w:tcPr>
            <w:tcW w:w="6804" w:type="dxa"/>
            <w:shd w:val="clear" w:color="auto" w:fill="auto"/>
            <w:vAlign w:val="center"/>
          </w:tcPr>
          <w:p w:rsidR="00751A4A" w:rsidRPr="00FA7F7C" w:rsidRDefault="008B6781" w:rsidP="0010095E">
            <w:pPr>
              <w:pStyle w:val="EPName"/>
            </w:pPr>
            <w:r w:rsidRPr="00FA7F7C">
              <w:t>Европейски</w:t>
            </w:r>
            <w:r w:rsidR="004515F0" w:rsidRPr="00FA7F7C">
              <w:t xml:space="preserve"> парламент</w:t>
            </w:r>
          </w:p>
          <w:p w:rsidR="00751A4A" w:rsidRPr="00FA7F7C" w:rsidRDefault="005F1B17" w:rsidP="005F1B17">
            <w:pPr>
              <w:pStyle w:val="EPTerm"/>
              <w:rPr>
                <w:rStyle w:val="HideTWBExt"/>
                <w:noProof w:val="0"/>
                <w:vanish w:val="0"/>
                <w:color w:val="auto"/>
              </w:rPr>
            </w:pPr>
            <w:r w:rsidRPr="00FA7F7C">
              <w:t>2024</w:t>
            </w:r>
            <w:r w:rsidR="008B6781">
              <w:t> – </w:t>
            </w:r>
            <w:r w:rsidR="00817416" w:rsidRPr="00FA7F7C">
              <w:t>202</w:t>
            </w:r>
            <w:r w:rsidRPr="00FA7F7C">
              <w:t>9</w:t>
            </w:r>
          </w:p>
        </w:tc>
        <w:tc>
          <w:tcPr>
            <w:tcW w:w="2268" w:type="dxa"/>
            <w:shd w:val="clear" w:color="auto" w:fill="auto"/>
          </w:tcPr>
          <w:p w:rsidR="00751A4A" w:rsidRPr="00FA7F7C" w:rsidRDefault="00187494" w:rsidP="0010095E">
            <w:pPr>
              <w:pStyle w:val="EPLogo"/>
            </w:pPr>
            <w:r w:rsidRPr="00FA7F7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A7F7C" w:rsidRDefault="00D058B8" w:rsidP="004C5D52">
      <w:pPr>
        <w:pStyle w:val="LineTop"/>
      </w:pPr>
    </w:p>
    <w:p w:rsidR="00680577" w:rsidRPr="00FA7F7C" w:rsidRDefault="004515F0" w:rsidP="00680577">
      <w:pPr>
        <w:pStyle w:val="EPBodyTA1"/>
      </w:pPr>
      <w:r w:rsidRPr="00FA7F7C">
        <w:t>ПРИЕТИ ТЕКСТОВЕ</w:t>
      </w:r>
    </w:p>
    <w:p w:rsidR="00D058B8" w:rsidRPr="00FA7F7C" w:rsidRDefault="00D058B8" w:rsidP="00D058B8">
      <w:pPr>
        <w:pStyle w:val="LineBottom"/>
      </w:pPr>
    </w:p>
    <w:p w:rsidR="004515F0" w:rsidRPr="00FA7F7C" w:rsidRDefault="004515F0" w:rsidP="004515F0">
      <w:pPr>
        <w:pStyle w:val="ATHeading1"/>
      </w:pPr>
      <w:bookmarkStart w:id="0" w:name="TANumber"/>
      <w:r w:rsidRPr="00FA7F7C">
        <w:t>P10_TA(2025)00</w:t>
      </w:r>
      <w:r w:rsidR="008922F9">
        <w:t>15</w:t>
      </w:r>
      <w:bookmarkEnd w:id="0"/>
    </w:p>
    <w:p w:rsidR="004515F0" w:rsidRPr="00FA7F7C" w:rsidRDefault="008B6781" w:rsidP="004515F0">
      <w:pPr>
        <w:pStyle w:val="ATHeading2"/>
      </w:pPr>
      <w:bookmarkStart w:id="1" w:name="title"/>
      <w:r>
        <w:t>Г</w:t>
      </w:r>
      <w:r w:rsidR="004515F0" w:rsidRPr="00FA7F7C">
        <w:t>енетично модифицирана царевица MON 95275</w:t>
      </w:r>
    </w:p>
    <w:p w:rsidR="004515F0" w:rsidRPr="00FA7F7C" w:rsidRDefault="004515F0" w:rsidP="004515F0">
      <w:pPr>
        <w:rPr>
          <w:i/>
          <w:vanish/>
        </w:rPr>
      </w:pPr>
      <w:r w:rsidRPr="00FA7F7C">
        <w:rPr>
          <w:i/>
        </w:rPr>
        <w:fldChar w:fldCharType="begin"/>
      </w:r>
      <w:r w:rsidRPr="00FA7F7C">
        <w:rPr>
          <w:i/>
        </w:rPr>
        <w:instrText xml:space="preserve"> TC"(</w:instrText>
      </w:r>
      <w:bookmarkStart w:id="2" w:name="DocNumber"/>
      <w:r w:rsidRPr="00FA7F7C">
        <w:rPr>
          <w:i/>
        </w:rPr>
        <w:instrText>B10-0060/2025</w:instrText>
      </w:r>
      <w:bookmarkEnd w:id="2"/>
      <w:r w:rsidRPr="00FA7F7C">
        <w:rPr>
          <w:i/>
        </w:rPr>
        <w:instrText xml:space="preserve">)"\l3 \n&gt; \* MERGEFORMAT </w:instrText>
      </w:r>
      <w:r w:rsidRPr="00FA7F7C">
        <w:rPr>
          <w:i/>
        </w:rPr>
        <w:fldChar w:fldCharType="end"/>
      </w:r>
    </w:p>
    <w:p w:rsidR="004515F0" w:rsidRPr="00FA7F7C" w:rsidRDefault="004515F0" w:rsidP="004515F0">
      <w:pPr>
        <w:rPr>
          <w:vanish/>
        </w:rPr>
      </w:pPr>
      <w:bookmarkStart w:id="3" w:name="PE"/>
      <w:r w:rsidRPr="00FA7F7C">
        <w:rPr>
          <w:vanish/>
        </w:rPr>
        <w:t>PE766.933</w:t>
      </w:r>
      <w:bookmarkEnd w:id="3"/>
    </w:p>
    <w:p w:rsidR="004515F0" w:rsidRPr="00FA7F7C" w:rsidRDefault="004515F0" w:rsidP="008B6781">
      <w:pPr>
        <w:pStyle w:val="ATHeading3"/>
      </w:pPr>
      <w:bookmarkStart w:id="4" w:name="Sujet"/>
      <w:r w:rsidRPr="00FA7F7C">
        <w:t xml:space="preserve">Резолюция на Европейския парламент от </w:t>
      </w:r>
      <w:r w:rsidR="008B6781">
        <w:t>1</w:t>
      </w:r>
      <w:r w:rsidR="008922F9">
        <w:t>2</w:t>
      </w:r>
      <w:r w:rsidR="008B6781">
        <w:t xml:space="preserve"> февруари</w:t>
      </w:r>
      <w:r w:rsidRPr="00FA7F7C">
        <w:t xml:space="preserve"> 2025 г. относно проекта на решение за изпълнение на Комисията за разрешаване на пускането на пазара на продукти, съдържащи, състоящи се или произведени от генетично модифицирана царевица MON 95275, в съответствие с Регламент (ЕО) № 1829/2003 на Европейския парламент и на Съвета</w:t>
      </w:r>
      <w:bookmarkEnd w:id="4"/>
      <w:r w:rsidRPr="00FA7F7C">
        <w:t xml:space="preserve"> </w:t>
      </w:r>
      <w:bookmarkStart w:id="5" w:name="References"/>
      <w:r w:rsidRPr="00FA7F7C">
        <w:t>(D102172/03 – 2024/3011(RSP))</w:t>
      </w:r>
      <w:bookmarkEnd w:id="5"/>
    </w:p>
    <w:p w:rsidR="001559CB" w:rsidRPr="00FA7F7C" w:rsidRDefault="001559CB" w:rsidP="001559CB">
      <w:pPr>
        <w:pStyle w:val="EPComma"/>
      </w:pPr>
      <w:bookmarkStart w:id="6" w:name="TextBodyBegin"/>
      <w:bookmarkEnd w:id="1"/>
      <w:bookmarkEnd w:id="6"/>
      <w:r w:rsidRPr="00FA7F7C">
        <w:rPr>
          <w:i/>
          <w:iCs/>
        </w:rPr>
        <w:t>Европейският парламент,</w:t>
      </w:r>
    </w:p>
    <w:p w:rsidR="001559CB" w:rsidRPr="00FA7F7C" w:rsidRDefault="001559CB" w:rsidP="001559CB">
      <w:pPr>
        <w:pStyle w:val="NormalHanging12a"/>
      </w:pPr>
      <w:r w:rsidRPr="00FA7F7C">
        <w:t>–</w:t>
      </w:r>
      <w:r w:rsidRPr="00FA7F7C">
        <w:tab/>
        <w:t>като взе предвид проекта на решение за изпълнение на Комисията за разрешаване на пускането на пазара на продукти, съдържащи, състоящи се или произведени от генетично модифицирана царевица MON 95275, в съответствие с Регламент (ЕО) № 1829/2003 на Европейския парламент и на Съвета (D102172/03),</w:t>
      </w:r>
    </w:p>
    <w:p w:rsidR="001559CB" w:rsidRPr="00FA7F7C" w:rsidRDefault="001559CB" w:rsidP="001559CB">
      <w:pPr>
        <w:pStyle w:val="NormalHanging12a"/>
      </w:pPr>
      <w:r w:rsidRPr="00FA7F7C">
        <w:t>–</w:t>
      </w:r>
      <w:r w:rsidRPr="00FA7F7C">
        <w:tab/>
        <w:t>като взе предвид Регламент (ЕО) № 1829/2003 на Европейския парламент и на Съвета от 22 септември 2003 г. относно генетично модифицираните храни и фуражи</w:t>
      </w:r>
      <w:r w:rsidRPr="00FA7F7C">
        <w:rPr>
          <w:rStyle w:val="FootnoteReference"/>
        </w:rPr>
        <w:footnoteReference w:id="1"/>
      </w:r>
      <w:r w:rsidRPr="00FA7F7C">
        <w:t>, и по-специално член 7, параграф 3 и член 19, параграф 3 от него,</w:t>
      </w:r>
    </w:p>
    <w:p w:rsidR="001559CB" w:rsidRPr="00FA7F7C" w:rsidRDefault="001559CB" w:rsidP="001559CB">
      <w:pPr>
        <w:pStyle w:val="NormalHanging12a"/>
      </w:pPr>
      <w:r w:rsidRPr="00FA7F7C">
        <w:t>–</w:t>
      </w:r>
      <w:r w:rsidRPr="00FA7F7C">
        <w:tab/>
        <w:t>като взе предвид гласуването на 22 ноември 2024 г. в Постоянния комитет по растенията, животните, храните и фуражите, посочен в член 35 от Регламент (ЕО) № 1829/2003, при което не беше изразено становище, както и гласуването в Апелативния комитет на 17 декември 2024 г., при което също не беше изразено становище,</w:t>
      </w:r>
    </w:p>
    <w:p w:rsidR="001559CB" w:rsidRPr="00FA7F7C" w:rsidRDefault="001559CB" w:rsidP="001559CB">
      <w:pPr>
        <w:pStyle w:val="NormalHanging12a"/>
      </w:pPr>
      <w:r w:rsidRPr="00FA7F7C">
        <w:t>–</w:t>
      </w:r>
      <w:r w:rsidRPr="00FA7F7C">
        <w:tab/>
        <w:t>като взе предвид член 11 от Регламент (ЕС) № 182/2011 на Европейския парламент и на Съвета от 16 февруари 2011 г. за установяване на общите правила и принципи относно реда и условията за контрол от страна на държавите членки върху упражняването на изпълнителните правомощия от страна на Комисията</w:t>
      </w:r>
      <w:r w:rsidRPr="00FA7F7C">
        <w:rPr>
          <w:rStyle w:val="FootnoteReference"/>
        </w:rPr>
        <w:footnoteReference w:id="2"/>
      </w:r>
      <w:r w:rsidRPr="00FA7F7C">
        <w:t xml:space="preserve">, </w:t>
      </w:r>
    </w:p>
    <w:p w:rsidR="001559CB" w:rsidRPr="00FA7F7C" w:rsidRDefault="001559CB" w:rsidP="001559CB">
      <w:pPr>
        <w:pStyle w:val="NormalHanging12a"/>
      </w:pPr>
      <w:r w:rsidRPr="00FA7F7C">
        <w:t>–</w:t>
      </w:r>
      <w:r w:rsidRPr="00FA7F7C">
        <w:tab/>
        <w:t xml:space="preserve">като взе предвид становището, прието от Европейския орган за безопасност на </w:t>
      </w:r>
      <w:r w:rsidRPr="00FA7F7C">
        <w:lastRenderedPageBreak/>
        <w:t>храните (ЕОБХ) на 19 юни 2024 г. и публикувано на 1 август 2024 г.</w:t>
      </w:r>
      <w:r w:rsidRPr="00FA7F7C">
        <w:rPr>
          <w:rStyle w:val="FootnoteReference"/>
        </w:rPr>
        <w:footnoteReference w:id="3"/>
      </w:r>
      <w:r w:rsidRPr="00FA7F7C">
        <w:t>,</w:t>
      </w:r>
    </w:p>
    <w:p w:rsidR="001559CB" w:rsidRPr="00FA7F7C" w:rsidRDefault="001559CB" w:rsidP="001559CB">
      <w:pPr>
        <w:pStyle w:val="NormalHanging12a"/>
      </w:pPr>
      <w:r w:rsidRPr="00FA7F7C">
        <w:t>–</w:t>
      </w:r>
      <w:r w:rsidRPr="00FA7F7C">
        <w:tab/>
        <w:t>като взе предвид предишните си резолюции, в които възразява срещу разрешаването на генетично модифицирани организми („ГМО“)</w:t>
      </w:r>
      <w:r w:rsidRPr="00FA7F7C">
        <w:rPr>
          <w:rStyle w:val="FootnoteReference"/>
        </w:rPr>
        <w:footnoteReference w:id="4"/>
      </w:r>
      <w:r w:rsidRPr="00FA7F7C">
        <w:t>,</w:t>
      </w:r>
    </w:p>
    <w:p w:rsidR="001559CB" w:rsidRPr="00FA7F7C" w:rsidRDefault="001559CB" w:rsidP="001559CB">
      <w:pPr>
        <w:pStyle w:val="NormalHanging12a"/>
      </w:pPr>
      <w:r w:rsidRPr="00FA7F7C">
        <w:lastRenderedPageBreak/>
        <w:t>–</w:t>
      </w:r>
      <w:r w:rsidRPr="00FA7F7C">
        <w:tab/>
        <w:t>като взе предвид член 115, параграфи 2 и 3 от своя Правилник за дейността,</w:t>
      </w:r>
    </w:p>
    <w:p w:rsidR="001559CB" w:rsidRPr="00FA7F7C" w:rsidRDefault="001559CB" w:rsidP="008B6781">
      <w:pPr>
        <w:pStyle w:val="NormalHanging12a"/>
      </w:pPr>
      <w:r w:rsidRPr="00FA7F7C">
        <w:t>–</w:t>
      </w:r>
      <w:r w:rsidRPr="00FA7F7C">
        <w:tab/>
        <w:t xml:space="preserve">като взе предвид предложението за резолюция на комисията по околна среда, </w:t>
      </w:r>
      <w:r w:rsidR="008B6781">
        <w:t>климат</w:t>
      </w:r>
      <w:r w:rsidRPr="00FA7F7C">
        <w:t xml:space="preserve"> и безопасност на храните,</w:t>
      </w:r>
    </w:p>
    <w:p w:rsidR="001559CB" w:rsidRPr="00FA7F7C" w:rsidRDefault="001559CB" w:rsidP="001559CB">
      <w:pPr>
        <w:pStyle w:val="NormalHanging12a"/>
        <w:tabs>
          <w:tab w:val="left" w:pos="0"/>
        </w:tabs>
        <w:suppressAutoHyphens/>
        <w:rPr>
          <w:szCs w:val="24"/>
        </w:rPr>
      </w:pPr>
      <w:r w:rsidRPr="00FA7F7C">
        <w:t>А.</w:t>
      </w:r>
      <w:r w:rsidRPr="00FA7F7C">
        <w:tab/>
        <w:t>като има предвид, че на 29 април 2022 г. Bayer Agriculture B.V., със седалище в Белгия, от името на Bayer CropScience LP, със седалище в Съединените щати, подаде до националния компетентен орган на Нидерландия заявление за пускане на пазара на храни, хранителни съставки и фуражи, съдържащи, състоящи се или произведени от генетично модифицирана царевица MON 95275 („генетично модифицираната царевица“);</w:t>
      </w:r>
    </w:p>
    <w:p w:rsidR="001559CB" w:rsidRPr="00FA7F7C" w:rsidRDefault="001559CB" w:rsidP="001559CB">
      <w:pPr>
        <w:pStyle w:val="NormalHanging12a"/>
        <w:tabs>
          <w:tab w:val="left" w:pos="0"/>
        </w:tabs>
        <w:suppressAutoHyphens/>
        <w:rPr>
          <w:szCs w:val="24"/>
        </w:rPr>
      </w:pPr>
      <w:r w:rsidRPr="00FA7F7C">
        <w:t>Б.</w:t>
      </w:r>
      <w:r w:rsidRPr="00FA7F7C">
        <w:tab/>
        <w:t xml:space="preserve">като има предвид, че генетично модифицираната царевица произвежда два инсектицидни протеина (Mpp75Aa1 и Vpb4Da2) и експресира DvSnf7 dsRNA, насочена срещу западния царевичен коренов червей; като има предвид, че генетичната модификация включва двуетапен процес, включващ трансформация посредством </w:t>
      </w:r>
      <w:r w:rsidRPr="00FA7F7C">
        <w:rPr>
          <w:i/>
          <w:iCs/>
        </w:rPr>
        <w:t>Agrobacterium tumefaciens</w:t>
      </w:r>
      <w:r w:rsidRPr="00FA7F7C">
        <w:t xml:space="preserve"> и система за рекомбинация Cre/lox за отстраняване на селективните маркери;</w:t>
      </w:r>
    </w:p>
    <w:p w:rsidR="001559CB" w:rsidRPr="00FA7F7C" w:rsidRDefault="001559CB" w:rsidP="001559CB">
      <w:pPr>
        <w:pStyle w:val="NormalHanging12a"/>
        <w:tabs>
          <w:tab w:val="left" w:pos="0"/>
        </w:tabs>
        <w:suppressAutoHyphens/>
        <w:rPr>
          <w:szCs w:val="24"/>
        </w:rPr>
      </w:pPr>
      <w:r w:rsidRPr="00FA7F7C">
        <w:t>В.</w:t>
      </w:r>
      <w:r w:rsidRPr="00FA7F7C">
        <w:tab/>
        <w:t xml:space="preserve">като има предвид, че на 19 юни 2024 г. ЕОБХ даде положително становище относно MON 95275, което беше публикувано на 1 август 2024 г.; като има предвид, че становището на ЕОБХ не предоставя достатъчно данни за оценка на нежеланите генетични въздействия, биологичната активност на read-through секвенциите и потенциалните извънцелеви въздействия върху нецелеви рганизми; </w:t>
      </w:r>
    </w:p>
    <w:p w:rsidR="001559CB" w:rsidRPr="00FA7F7C" w:rsidRDefault="001559CB" w:rsidP="001559CB">
      <w:pPr>
        <w:pStyle w:val="NormalHanging12a"/>
        <w:tabs>
          <w:tab w:val="left" w:pos="0"/>
        </w:tabs>
        <w:suppressAutoHyphens/>
        <w:rPr>
          <w:szCs w:val="24"/>
        </w:rPr>
      </w:pPr>
      <w:r w:rsidRPr="00FA7F7C">
        <w:t>Г.</w:t>
      </w:r>
      <w:r w:rsidRPr="00FA7F7C">
        <w:tab/>
        <w:t>като има предвид, че полевите изпитвания, проведени от заявителя, не отчитат различните условия на стрес на околната среда или различните селскостопански практики, което ограничава значението на резултатите за европейската среда за отглеждане;</w:t>
      </w:r>
    </w:p>
    <w:p w:rsidR="001559CB" w:rsidRPr="00FA7F7C" w:rsidRDefault="001559CB" w:rsidP="001559CB">
      <w:pPr>
        <w:pStyle w:val="NormalHanging12a"/>
        <w:tabs>
          <w:tab w:val="left" w:pos="0"/>
        </w:tabs>
        <w:suppressAutoHyphens/>
        <w:rPr>
          <w:szCs w:val="24"/>
        </w:rPr>
      </w:pPr>
      <w:r w:rsidRPr="00FA7F7C">
        <w:t>Д.</w:t>
      </w:r>
      <w:r w:rsidRPr="00FA7F7C">
        <w:tab/>
        <w:t>като има предвид, че RNAi конструктът DvSnf7 dsRNA поражда опасения относно въздействието върху нецелеви организми;</w:t>
      </w:r>
    </w:p>
    <w:p w:rsidR="001559CB" w:rsidRPr="00FA7F7C" w:rsidRDefault="001559CB" w:rsidP="001559CB">
      <w:pPr>
        <w:pStyle w:val="NormalHanging12a"/>
        <w:tabs>
          <w:tab w:val="left" w:pos="0"/>
        </w:tabs>
        <w:suppressAutoHyphens/>
        <w:rPr>
          <w:szCs w:val="24"/>
        </w:rPr>
      </w:pPr>
      <w:r w:rsidRPr="00FA7F7C">
        <w:t>Е.</w:t>
      </w:r>
      <w:r w:rsidRPr="00FA7F7C">
        <w:tab/>
        <w:t>като има предвид, че инсектицидните протеини Mpp75Aa1 и Vpb4Da2 имат структурни сходства с известни токсини и не е налична достатъчна оценка на тяхната селективност, имунни реакции и комбинаторни ефекти;</w:t>
      </w:r>
    </w:p>
    <w:p w:rsidR="001559CB" w:rsidRPr="00FA7F7C" w:rsidRDefault="001559CB" w:rsidP="001559CB">
      <w:pPr>
        <w:pStyle w:val="NormalHanging12a"/>
        <w:tabs>
          <w:tab w:val="left" w:pos="0"/>
        </w:tabs>
        <w:suppressAutoHyphens/>
        <w:rPr>
          <w:szCs w:val="24"/>
        </w:rPr>
      </w:pPr>
      <w:r w:rsidRPr="00FA7F7C">
        <w:t>Ж.</w:t>
      </w:r>
      <w:r w:rsidRPr="00FA7F7C">
        <w:tab/>
        <w:t xml:space="preserve">като има предвид, че потенциалът за генен поток към диви родственици, включително европейските популации на </w:t>
      </w:r>
      <w:r w:rsidRPr="00FA7F7C">
        <w:rPr>
          <w:i/>
          <w:iCs/>
        </w:rPr>
        <w:t>Euchlaena mexicana</w:t>
      </w:r>
      <w:r w:rsidRPr="00FA7F7C">
        <w:t xml:space="preserve">, създава рискове от </w:t>
      </w:r>
      <w:r w:rsidRPr="00FA7F7C">
        <w:lastRenderedPageBreak/>
        <w:t>трансгенна устойчивост и екологичен дисбаланс;</w:t>
      </w:r>
    </w:p>
    <w:p w:rsidR="001559CB" w:rsidRPr="00FA7F7C" w:rsidRDefault="001559CB" w:rsidP="001559CB">
      <w:pPr>
        <w:pStyle w:val="NormalHanging12a"/>
        <w:tabs>
          <w:tab w:val="left" w:pos="0"/>
        </w:tabs>
        <w:suppressAutoHyphens/>
        <w:rPr>
          <w:szCs w:val="24"/>
        </w:rPr>
      </w:pPr>
      <w:r w:rsidRPr="00FA7F7C">
        <w:t>З.</w:t>
      </w:r>
      <w:r w:rsidRPr="00FA7F7C">
        <w:tab/>
        <w:t>като има предвид, че не са предприети подходящи действия във връзка с изискванията за мониторинг съгласно Регламент за изпълнение (ЕС) № 503/2013 на Комисията</w:t>
      </w:r>
      <w:r w:rsidRPr="00FA7F7C">
        <w:rPr>
          <w:rStyle w:val="FootnoteReference"/>
          <w:szCs w:val="24"/>
        </w:rPr>
        <w:footnoteReference w:id="5"/>
      </w:r>
      <w:r w:rsidRPr="00FA7F7C">
        <w:t>, особено по отношение на независимата проверка на данните и дългосрочното въздействие върху околната среда;</w:t>
      </w:r>
    </w:p>
    <w:p w:rsidR="001559CB" w:rsidRPr="00FA7F7C" w:rsidRDefault="001559CB" w:rsidP="001559CB">
      <w:pPr>
        <w:pStyle w:val="NormalHanging12a"/>
        <w:tabs>
          <w:tab w:val="left" w:pos="0"/>
        </w:tabs>
        <w:suppressAutoHyphens/>
        <w:rPr>
          <w:szCs w:val="24"/>
        </w:rPr>
      </w:pPr>
      <w:r w:rsidRPr="00FA7F7C">
        <w:t>И.</w:t>
      </w:r>
      <w:r w:rsidRPr="00FA7F7C">
        <w:tab/>
        <w:t>като има предвид, че оценката на ЕОБХ не разглежда в достатъчна степен ролята на взаимодействията между микробиомите или кумулативното токсично въздействие върху нецелеви организми;</w:t>
      </w:r>
    </w:p>
    <w:p w:rsidR="001559CB" w:rsidRPr="00FA7F7C" w:rsidRDefault="001559CB" w:rsidP="001559CB">
      <w:pPr>
        <w:pStyle w:val="NormalHanging12a"/>
        <w:tabs>
          <w:tab w:val="left" w:pos="0"/>
        </w:tabs>
        <w:suppressAutoHyphens/>
        <w:rPr>
          <w:szCs w:val="24"/>
        </w:rPr>
      </w:pPr>
      <w:r w:rsidRPr="00FA7F7C">
        <w:t>Й.</w:t>
      </w:r>
      <w:r w:rsidRPr="00FA7F7C">
        <w:tab/>
        <w:t>като има предвид, че за разлика от употребата на инсектициди, при която експозицията е по време на пръскането и за ограничен период от време след това, използването на инсектицидни генетично модифицирани култури води до непрекъсната експозиция на целевите и нецелеви организми на токсините;</w:t>
      </w:r>
    </w:p>
    <w:p w:rsidR="001559CB" w:rsidRPr="00FA7F7C" w:rsidRDefault="001559CB" w:rsidP="001559CB">
      <w:pPr>
        <w:pStyle w:val="NormalHanging12a"/>
        <w:rPr>
          <w:b/>
          <w:i/>
          <w:szCs w:val="24"/>
        </w:rPr>
      </w:pPr>
      <w:r w:rsidRPr="00FA7F7C">
        <w:rPr>
          <w:b/>
          <w:i/>
        </w:rPr>
        <w:t>Коментари на държавите членки и заинтересованите лица</w:t>
      </w:r>
    </w:p>
    <w:p w:rsidR="001559CB" w:rsidRPr="00FA7F7C" w:rsidRDefault="001559CB" w:rsidP="001559CB">
      <w:pPr>
        <w:pStyle w:val="NormalHanging12a"/>
        <w:tabs>
          <w:tab w:val="left" w:pos="0"/>
        </w:tabs>
        <w:suppressAutoHyphens/>
        <w:rPr>
          <w:szCs w:val="24"/>
        </w:rPr>
      </w:pPr>
      <w:r w:rsidRPr="00FA7F7C">
        <w:t>К.</w:t>
      </w:r>
      <w:r w:rsidRPr="00FA7F7C">
        <w:tab/>
        <w:t>като има предвид, че държавите членки представиха на ЕОБХ голям брой критични коментари в рамките на тримесечния период на консултации</w:t>
      </w:r>
      <w:r w:rsidRPr="00FA7F7C">
        <w:rPr>
          <w:rStyle w:val="FootnoteReference"/>
          <w:szCs w:val="24"/>
        </w:rPr>
        <w:footnoteReference w:id="6"/>
      </w:r>
      <w:r w:rsidRPr="00FA7F7C">
        <w:t xml:space="preserve">, включително по въпроса, че списъкът на имащите отношение изследвания, посочен в прегледа на използваната литература, представен от заявителя, не включва изследвания относно съдбата на инсектицидните протеини в околната среда или относно потенциалното въздействие на остатъците от културите върху нецелеви организми; </w:t>
      </w:r>
    </w:p>
    <w:p w:rsidR="001559CB" w:rsidRPr="00FA7F7C" w:rsidRDefault="001559CB" w:rsidP="001559CB">
      <w:pPr>
        <w:pStyle w:val="NormalHanging12a"/>
        <w:tabs>
          <w:tab w:val="left" w:pos="0"/>
        </w:tabs>
        <w:suppressAutoHyphens/>
        <w:rPr>
          <w:szCs w:val="24"/>
        </w:rPr>
      </w:pPr>
      <w:r w:rsidRPr="00FA7F7C">
        <w:t>Л.</w:t>
      </w:r>
      <w:r w:rsidRPr="00FA7F7C">
        <w:tab/>
        <w:t>като има предвид, че през осмия си мандат Парламентът прие общо 36 резолюции, в които възразява срещу пускането на пазара на ГМО за храни и фуражи (33 резолюции) и срещу отглеждането на ГМО в Съюза (три резолюции); като има предвид, че по време на деветия си мандат Парламентът прие 38 резолюции, в които възразява срещу пускането на ГМО на пазара, и вече прие други осем резолюции, в които възразява срещу пускането на ГМО на пазара, през настоящия десети мандат;</w:t>
      </w:r>
    </w:p>
    <w:p w:rsidR="001559CB" w:rsidRDefault="001559CB" w:rsidP="001559CB">
      <w:pPr>
        <w:pStyle w:val="NormalHanging12a"/>
        <w:tabs>
          <w:tab w:val="left" w:pos="0"/>
        </w:tabs>
        <w:suppressAutoHyphens/>
      </w:pPr>
      <w:r w:rsidRPr="00FA7F7C">
        <w:t>М.</w:t>
      </w:r>
      <w:r w:rsidRPr="00FA7F7C">
        <w:tab/>
        <w:t>като има предвид, че макар и сама да отчита недостатъчно демократичния характер на процедурата, липсата на подкрепа от страна на държавите членки и възраженията на Парламента, Комисията продължава да разрешава ГМО;</w:t>
      </w:r>
    </w:p>
    <w:p w:rsidR="008922F9" w:rsidRPr="00FA7F7C" w:rsidRDefault="00BB334B" w:rsidP="001559CB">
      <w:pPr>
        <w:pStyle w:val="NormalHanging12a"/>
        <w:tabs>
          <w:tab w:val="left" w:pos="0"/>
        </w:tabs>
        <w:suppressAutoHyphens/>
        <w:rPr>
          <w:szCs w:val="24"/>
        </w:rPr>
      </w:pPr>
      <w:r>
        <w:rPr>
          <w:szCs w:val="24"/>
        </w:rPr>
        <w:t>Н</w:t>
      </w:r>
      <w:r w:rsidR="008922F9" w:rsidRPr="008922F9">
        <w:rPr>
          <w:szCs w:val="24"/>
        </w:rPr>
        <w:t>.</w:t>
      </w:r>
      <w:r w:rsidR="008922F9" w:rsidRPr="008922F9">
        <w:rPr>
          <w:szCs w:val="24"/>
        </w:rPr>
        <w:tab/>
        <w:t xml:space="preserve">като има предвид, че търговското споразумение между ЕС и Меркосур ще стимулира вноса в Съюза на храни и фуражи, съдържащи, състоящи се или произведени от генетично модифицирани организми; като има предвид, че Бразилия и Аржентина са сред водещите световни производители на ГМО и </w:t>
      </w:r>
      <w:r w:rsidR="008922F9" w:rsidRPr="008922F9">
        <w:rPr>
          <w:szCs w:val="24"/>
        </w:rPr>
        <w:lastRenderedPageBreak/>
        <w:t>потребители на пестициди, включително ГМО и пестициди, забранени в Съюза по причини, свързани със здравето или околната среда;</w:t>
      </w:r>
    </w:p>
    <w:p w:rsidR="001559CB" w:rsidRPr="00FA7F7C" w:rsidRDefault="001559CB" w:rsidP="001559CB">
      <w:pPr>
        <w:pStyle w:val="NormalHanging12a"/>
        <w:rPr>
          <w:szCs w:val="24"/>
        </w:rPr>
      </w:pPr>
      <w:r w:rsidRPr="00FA7F7C">
        <w:t>1.</w:t>
      </w:r>
      <w:r w:rsidRPr="00FA7F7C">
        <w:tab/>
        <w:t>счита, че проектът на решение за изпълнение на Комисията превишава изпълнителните правомощия, предвидени в Регламент (ЕО) № 1829/2003;</w:t>
      </w:r>
    </w:p>
    <w:p w:rsidR="001559CB" w:rsidRPr="00FA7F7C" w:rsidRDefault="001559CB" w:rsidP="001559CB">
      <w:pPr>
        <w:pStyle w:val="NormalHanging12a"/>
        <w:rPr>
          <w:szCs w:val="24"/>
        </w:rPr>
      </w:pPr>
      <w:r w:rsidRPr="00FA7F7C">
        <w:t>2.</w:t>
      </w:r>
      <w:r w:rsidRPr="00FA7F7C">
        <w:tab/>
        <w:t>счита, че проектът на решение за изпълнение на Комисията не е в съответствие с правото на Съюза, доколкото е несъвместим с целта на Регламент (ЕО) № 1829/2003, която, в съответствие с общите принципи, определени в Регламент (ЕО) № 178/2002 на Европейския парламент и Съвета</w:t>
      </w:r>
      <w:r w:rsidRPr="00FA7F7C">
        <w:rPr>
          <w:rStyle w:val="FootnoteReference"/>
          <w:szCs w:val="24"/>
        </w:rPr>
        <w:footnoteReference w:id="7"/>
      </w:r>
      <w:r w:rsidRPr="00FA7F7C">
        <w:t>, е да се предвиди основанието за гарантиране на висока степен на защита на живота и здравето на човека, на здравето на животните и на хуманното отношение към тях и на интересите на опазването на околната среда и на потребителите по отношение на генетично модифицираните храни и фуражи, като същевременно се гарантира ефективното функциониране на вътрешния пазар;</w:t>
      </w:r>
    </w:p>
    <w:p w:rsidR="001559CB" w:rsidRPr="00FA7F7C" w:rsidRDefault="001559CB" w:rsidP="001559CB">
      <w:pPr>
        <w:pStyle w:val="NormalHanging12a"/>
        <w:rPr>
          <w:szCs w:val="24"/>
        </w:rPr>
      </w:pPr>
      <w:r w:rsidRPr="00FA7F7C">
        <w:t>3.</w:t>
      </w:r>
      <w:r w:rsidRPr="00FA7F7C">
        <w:tab/>
        <w:t>отправя искане към Комисията да оттегли своя проект на решение за изпълнение и да внесе нов проект в комитета;</w:t>
      </w:r>
    </w:p>
    <w:p w:rsidR="001559CB" w:rsidRPr="00FA7F7C" w:rsidRDefault="001559CB" w:rsidP="001559CB">
      <w:pPr>
        <w:pStyle w:val="NormalHanging12a"/>
        <w:rPr>
          <w:szCs w:val="24"/>
        </w:rPr>
      </w:pPr>
      <w:r w:rsidRPr="00FA7F7C">
        <w:t>4.</w:t>
      </w:r>
      <w:r w:rsidRPr="00FA7F7C">
        <w:tab/>
        <w:t>призовава Комисията да гарантира сближаване между Съюза и неговите партньори по отношение на стандартите в рамките на преговорите за споразумения за свободна търговия, за да се спазват стандартите на Съюза за безопасност;</w:t>
      </w:r>
    </w:p>
    <w:p w:rsidR="001559CB" w:rsidRPr="00FA7F7C" w:rsidRDefault="001559CB" w:rsidP="001559CB">
      <w:pPr>
        <w:pStyle w:val="NormalHanging12a"/>
        <w:rPr>
          <w:szCs w:val="24"/>
        </w:rPr>
      </w:pPr>
      <w:r w:rsidRPr="00FA7F7C">
        <w:t>5.</w:t>
      </w:r>
      <w:r w:rsidRPr="00FA7F7C">
        <w:tab/>
        <w:t>призовава Комисията да не разрешава генетично модифицирани култури поради рисковете за биологичното разнообразие, безопасността на храните и здравето на работниците, в съответствие с подхода „Едно здраве“;</w:t>
      </w:r>
    </w:p>
    <w:p w:rsidR="001559CB" w:rsidRPr="00FA7F7C" w:rsidRDefault="001559CB" w:rsidP="001559CB">
      <w:pPr>
        <w:pStyle w:val="NormalHanging12a"/>
        <w:rPr>
          <w:szCs w:val="24"/>
        </w:rPr>
      </w:pPr>
      <w:r w:rsidRPr="00FA7F7C">
        <w:t>6.</w:t>
      </w:r>
      <w:r w:rsidRPr="00FA7F7C">
        <w:tab/>
        <w:t>приветства факта, че в писмо от 11 септември 2020 г. до членовете на ЕП Комисията най-после призна необходимостта да се взема предвид устойчивостта, когато става въпрос за решения за разрешаване на ГМО</w:t>
      </w:r>
      <w:r w:rsidRPr="00FA7F7C">
        <w:rPr>
          <w:rStyle w:val="FootnoteReference"/>
          <w:szCs w:val="24"/>
        </w:rPr>
        <w:footnoteReference w:id="8"/>
      </w:r>
      <w:r w:rsidRPr="00FA7F7C">
        <w:t>; изразява обаче силно разочарование поради това, че впоследствие Комисията продължи да разрешава вноса на ГМО в Съюза въпреки продължаващите възражения от страна на Парламента и факта, че мнозинството от държавите членки са гласували против;</w:t>
      </w:r>
    </w:p>
    <w:p w:rsidR="001559CB" w:rsidRPr="00FA7F7C" w:rsidRDefault="001559CB" w:rsidP="001559CB">
      <w:pPr>
        <w:pStyle w:val="NormalHanging12a"/>
        <w:rPr>
          <w:szCs w:val="24"/>
        </w:rPr>
      </w:pPr>
      <w:r w:rsidRPr="00FA7F7C">
        <w:t>7.</w:t>
      </w:r>
      <w:r w:rsidRPr="00FA7F7C">
        <w:tab/>
        <w:t>отново призовава настоятелно Комисията да взема предвид задълженията на Съюза съгласно международни споразумения като Парижкото споразумение относно изменението на климата, Конвенцията на ООН за биологичното разнообразие и целите за устойчиво развитие на ООН; отново призовава проектите на актове за изпълнение да бъдат придружени от обяснителен меморандум, в който да се разяснява по какъв начин в съответните текстове е спазен принципът за ненанасяне на вреда</w:t>
      </w:r>
      <w:r w:rsidRPr="00FA7F7C">
        <w:rPr>
          <w:rStyle w:val="FootnoteReference"/>
          <w:szCs w:val="24"/>
        </w:rPr>
        <w:footnoteReference w:id="9"/>
      </w:r>
      <w:r w:rsidRPr="00FA7F7C">
        <w:t xml:space="preserve">; </w:t>
      </w:r>
    </w:p>
    <w:p w:rsidR="00FA7F7C" w:rsidRPr="00FA7F7C" w:rsidRDefault="001559CB" w:rsidP="00FA7F7C">
      <w:pPr>
        <w:pStyle w:val="NormalHanging12a"/>
        <w:rPr>
          <w:sz w:val="28"/>
          <w:lang w:eastAsia="fr-FR"/>
        </w:rPr>
      </w:pPr>
      <w:r w:rsidRPr="00FA7F7C">
        <w:lastRenderedPageBreak/>
        <w:t>8.</w:t>
      </w:r>
      <w:r w:rsidRPr="00FA7F7C">
        <w:tab/>
        <w:t>възлага на своя председател да предаде настоящата резолюция съответно на Съвета и на Комисията, както и на правителствата и парламентите на държавите членки.</w:t>
      </w:r>
    </w:p>
    <w:p w:rsidR="00E365E1" w:rsidRPr="00FA7F7C" w:rsidRDefault="00E365E1" w:rsidP="001559CB">
      <w:pPr>
        <w:rPr>
          <w:sz w:val="28"/>
          <w:lang w:eastAsia="fr-FR"/>
        </w:rPr>
      </w:pPr>
    </w:p>
    <w:sectPr w:rsidR="00E365E1" w:rsidRPr="00FA7F7C" w:rsidSect="00FA7F7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15F0" w:rsidRPr="00FA7F7C" w:rsidRDefault="004515F0">
      <w:r w:rsidRPr="00FA7F7C">
        <w:separator/>
      </w:r>
    </w:p>
  </w:endnote>
  <w:endnote w:type="continuationSeparator" w:id="0">
    <w:p w:rsidR="004515F0" w:rsidRPr="00FA7F7C" w:rsidRDefault="004515F0">
      <w:r w:rsidRPr="00FA7F7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A7F7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A7F7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A7F7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15F0" w:rsidRPr="00FA7F7C" w:rsidRDefault="004515F0">
      <w:r w:rsidRPr="00FA7F7C">
        <w:separator/>
      </w:r>
    </w:p>
  </w:footnote>
  <w:footnote w:type="continuationSeparator" w:id="0">
    <w:p w:rsidR="004515F0" w:rsidRPr="00FA7F7C" w:rsidRDefault="004515F0">
      <w:r w:rsidRPr="00FA7F7C">
        <w:continuationSeparator/>
      </w:r>
    </w:p>
  </w:footnote>
  <w:footnote w:id="1">
    <w:p w:rsidR="001559CB" w:rsidRPr="00FA7F7C" w:rsidRDefault="001559CB" w:rsidP="00FA7F7C">
      <w:pPr>
        <w:pStyle w:val="FootnoteText"/>
        <w:ind w:left="567" w:hanging="567"/>
        <w:rPr>
          <w:color w:val="000000" w:themeColor="text1"/>
          <w:sz w:val="24"/>
          <w:lang w:val="bg-BG"/>
        </w:rPr>
      </w:pPr>
      <w:r w:rsidRPr="00FA7F7C">
        <w:rPr>
          <w:rStyle w:val="Funotenzeichen"/>
          <w:color w:val="000000" w:themeColor="text1"/>
          <w:sz w:val="24"/>
          <w:lang w:val="bg-BG"/>
        </w:rPr>
        <w:footnoteRef/>
      </w:r>
      <w:r w:rsidR="00FA7F7C" w:rsidRPr="00FA7F7C">
        <w:rPr>
          <w:sz w:val="24"/>
          <w:lang w:val="bg-BG"/>
        </w:rPr>
        <w:t xml:space="preserve"> </w:t>
      </w:r>
      <w:r w:rsidR="00FA7F7C" w:rsidRPr="00FA7F7C">
        <w:rPr>
          <w:sz w:val="24"/>
          <w:lang w:val="bg-BG"/>
        </w:rPr>
        <w:tab/>
      </w:r>
      <w:r w:rsidRPr="00FA7F7C">
        <w:rPr>
          <w:sz w:val="24"/>
          <w:lang w:val="bg-BG"/>
        </w:rPr>
        <w:t>ОВ L 268, 18.10.2003 г., стр. 1, ELI:</w:t>
      </w:r>
      <w:r w:rsidRPr="00FA7F7C">
        <w:rPr>
          <w:color w:val="000000" w:themeColor="text1"/>
          <w:sz w:val="24"/>
          <w:lang w:val="bg-BG"/>
        </w:rPr>
        <w:t> </w:t>
      </w:r>
      <w:hyperlink r:id="rId1" w:history="1">
        <w:r w:rsidRPr="00FA7F7C">
          <w:rPr>
            <w:rStyle w:val="Hyperlink"/>
            <w:sz w:val="24"/>
            <w:lang w:val="bg-BG"/>
          </w:rPr>
          <w:t>http://data.europa.eu/eli/reg/2003/1829/oj</w:t>
        </w:r>
      </w:hyperlink>
      <w:r w:rsidRPr="00FA7F7C">
        <w:rPr>
          <w:rStyle w:val="Hyperlink"/>
          <w:color w:val="000000" w:themeColor="text1"/>
          <w:sz w:val="24"/>
          <w:lang w:val="bg-BG"/>
        </w:rPr>
        <w:t>.</w:t>
      </w:r>
    </w:p>
  </w:footnote>
  <w:footnote w:id="2">
    <w:p w:rsidR="001559CB" w:rsidRPr="00FA7F7C" w:rsidRDefault="001559CB" w:rsidP="00FA7F7C">
      <w:pPr>
        <w:pStyle w:val="FootnoteText"/>
        <w:ind w:left="567" w:hanging="567"/>
        <w:rPr>
          <w:color w:val="000000" w:themeColor="text1"/>
          <w:sz w:val="24"/>
          <w:lang w:val="bg-BG"/>
        </w:rPr>
      </w:pPr>
      <w:r w:rsidRPr="00FA7F7C">
        <w:rPr>
          <w:rStyle w:val="Funotenzeichen"/>
          <w:color w:val="000000" w:themeColor="text1"/>
          <w:sz w:val="24"/>
          <w:lang w:val="bg-BG"/>
        </w:rPr>
        <w:footnoteRef/>
      </w:r>
      <w:r w:rsidR="00FA7F7C" w:rsidRPr="00FA7F7C">
        <w:rPr>
          <w:color w:val="000000" w:themeColor="text1"/>
          <w:sz w:val="24"/>
          <w:lang w:val="bg-BG"/>
        </w:rPr>
        <w:t xml:space="preserve"> </w:t>
      </w:r>
      <w:r w:rsidR="00FA7F7C" w:rsidRPr="00FA7F7C">
        <w:rPr>
          <w:color w:val="000000" w:themeColor="text1"/>
          <w:sz w:val="24"/>
          <w:lang w:val="bg-BG"/>
        </w:rPr>
        <w:tab/>
      </w:r>
      <w:r w:rsidRPr="00FA7F7C">
        <w:rPr>
          <w:color w:val="000000" w:themeColor="text1"/>
          <w:sz w:val="24"/>
          <w:lang w:val="bg-BG"/>
        </w:rPr>
        <w:t>ОВ L 55, 28.2.2011 г., стр. 13, ELI:</w:t>
      </w:r>
      <w:r w:rsidRPr="00FA7F7C">
        <w:rPr>
          <w:rStyle w:val="Hyperlink"/>
          <w:color w:val="000000" w:themeColor="text1"/>
          <w:sz w:val="24"/>
          <w:lang w:val="bg-BG"/>
        </w:rPr>
        <w:t xml:space="preserve"> </w:t>
      </w:r>
      <w:hyperlink r:id="rId2" w:history="1">
        <w:r w:rsidRPr="00FA7F7C">
          <w:rPr>
            <w:rStyle w:val="Hyperlink"/>
            <w:color w:val="000000" w:themeColor="text1"/>
            <w:sz w:val="24"/>
            <w:lang w:val="bg-BG"/>
          </w:rPr>
          <w:t>http://data.europa.eu/eli/reg/2011/182/oj</w:t>
        </w:r>
      </w:hyperlink>
      <w:r w:rsidRPr="00FA7F7C">
        <w:rPr>
          <w:rStyle w:val="Hyperlink"/>
          <w:color w:val="000000" w:themeColor="text1"/>
          <w:sz w:val="24"/>
          <w:lang w:val="bg-BG"/>
        </w:rPr>
        <w:t>.</w:t>
      </w:r>
    </w:p>
  </w:footnote>
  <w:footnote w:id="3">
    <w:p w:rsidR="001559CB" w:rsidRPr="00FA7F7C" w:rsidRDefault="001559CB" w:rsidP="00FA7F7C">
      <w:pPr>
        <w:pStyle w:val="FootnoteText"/>
        <w:ind w:left="567" w:hanging="567"/>
        <w:rPr>
          <w:color w:val="000000" w:themeColor="text1"/>
          <w:sz w:val="24"/>
          <w:lang w:val="bg-BG"/>
        </w:rPr>
      </w:pPr>
      <w:r w:rsidRPr="00FA7F7C">
        <w:rPr>
          <w:rStyle w:val="FootnoteReference"/>
          <w:color w:val="000000" w:themeColor="text1"/>
          <w:sz w:val="24"/>
          <w:lang w:val="bg-BG"/>
        </w:rPr>
        <w:footnoteRef/>
      </w:r>
      <w:r w:rsidR="00FA7F7C" w:rsidRPr="00FA7F7C">
        <w:rPr>
          <w:color w:val="000000" w:themeColor="text1"/>
          <w:sz w:val="24"/>
          <w:lang w:val="bg-BG"/>
        </w:rPr>
        <w:t xml:space="preserve"> </w:t>
      </w:r>
      <w:r w:rsidR="00FA7F7C" w:rsidRPr="00FA7F7C">
        <w:rPr>
          <w:color w:val="000000" w:themeColor="text1"/>
          <w:sz w:val="24"/>
          <w:lang w:val="bg-BG"/>
        </w:rPr>
        <w:tab/>
      </w:r>
      <w:r w:rsidRPr="00FA7F7C">
        <w:rPr>
          <w:color w:val="000000" w:themeColor="text1"/>
          <w:sz w:val="24"/>
          <w:lang w:val="bg-BG"/>
        </w:rPr>
        <w:t xml:space="preserve">Научно становище на Експертната група на ЕОБХ по генетично модифицирани организми относно „Оценка на генетично модифицираната царевица MON 95275 (заявление GMFF-2022-5890)“, Бюлетин на ЕОБХ, 2024 г.; 22(8):e8886, </w:t>
      </w:r>
      <w:hyperlink r:id="rId3" w:history="1">
        <w:r w:rsidRPr="008B6781">
          <w:rPr>
            <w:rStyle w:val="Hyperlink"/>
            <w:color w:val="000000" w:themeColor="text1"/>
          </w:rPr>
          <w:t>https://doi.org/10.2903/j.efsa.2024.8886</w:t>
        </w:r>
      </w:hyperlink>
      <w:r w:rsidRPr="00FA7F7C">
        <w:rPr>
          <w:color w:val="000000" w:themeColor="text1"/>
          <w:sz w:val="24"/>
          <w:lang w:val="bg-BG"/>
        </w:rPr>
        <w:t xml:space="preserve">. </w:t>
      </w:r>
    </w:p>
  </w:footnote>
  <w:footnote w:id="4">
    <w:p w:rsidR="001559CB" w:rsidRPr="00FA7F7C" w:rsidRDefault="001559CB" w:rsidP="00FA7F7C">
      <w:pPr>
        <w:pStyle w:val="FootnoteText"/>
        <w:ind w:left="567" w:hanging="567"/>
        <w:rPr>
          <w:color w:val="000000" w:themeColor="text1"/>
          <w:sz w:val="24"/>
          <w:vertAlign w:val="superscript"/>
          <w:lang w:val="bg-BG"/>
        </w:rPr>
      </w:pPr>
      <w:r w:rsidRPr="00FA7F7C">
        <w:rPr>
          <w:rStyle w:val="FootnoteReference"/>
          <w:color w:val="000000" w:themeColor="text1"/>
          <w:sz w:val="24"/>
          <w:lang w:val="bg-BG"/>
        </w:rPr>
        <w:footnoteRef/>
      </w:r>
      <w:r w:rsidR="00FA7F7C" w:rsidRPr="00FA7F7C">
        <w:rPr>
          <w:color w:val="000000" w:themeColor="text1"/>
          <w:sz w:val="24"/>
          <w:lang w:val="bg-BG"/>
        </w:rPr>
        <w:t xml:space="preserve"> </w:t>
      </w:r>
      <w:r w:rsidR="00FA7F7C" w:rsidRPr="00FA7F7C">
        <w:rPr>
          <w:color w:val="000000" w:themeColor="text1"/>
          <w:sz w:val="24"/>
          <w:lang w:val="bg-BG"/>
        </w:rPr>
        <w:tab/>
      </w:r>
      <w:r w:rsidRPr="00FA7F7C">
        <w:rPr>
          <w:color w:val="000000" w:themeColor="text1"/>
          <w:sz w:val="24"/>
          <w:lang w:val="bg-BG"/>
        </w:rPr>
        <w:t>По време на осмия си мандат Парламентът прие 36 резолюции, а през деветия си мандат Парламентът прие 38 резолюции, в които възразява срещу разрешаването на ГМО. Освен това през десетия си мандат Парламентът прие следните резолюции:</w:t>
      </w:r>
    </w:p>
    <w:p w:rsidR="001559CB" w:rsidRPr="00FA7F7C" w:rsidRDefault="00FA7F7C" w:rsidP="008922F9">
      <w:pPr>
        <w:pStyle w:val="FootnoteText"/>
        <w:ind w:left="1134" w:hanging="567"/>
        <w:rPr>
          <w:color w:val="000000" w:themeColor="text1"/>
          <w:sz w:val="24"/>
          <w:vertAlign w:val="superscript"/>
          <w:lang w:val="bg-BG"/>
        </w:rPr>
      </w:pPr>
      <w:r w:rsidRPr="00FA7F7C">
        <w:rPr>
          <w:color w:val="000000" w:themeColor="text1"/>
          <w:sz w:val="24"/>
          <w:lang w:val="bg-BG"/>
        </w:rPr>
        <w:t xml:space="preserve"> </w:t>
      </w:r>
      <w:r w:rsidR="001559CB" w:rsidRPr="00FA7F7C">
        <w:rPr>
          <w:color w:val="000000" w:themeColor="text1"/>
          <w:sz w:val="24"/>
          <w:lang w:val="bg-BG"/>
        </w:rPr>
        <w:t>–</w:t>
      </w:r>
      <w:r w:rsidR="001559CB" w:rsidRPr="00FA7F7C">
        <w:rPr>
          <w:color w:val="000000" w:themeColor="text1"/>
          <w:sz w:val="24"/>
          <w:lang w:val="bg-BG"/>
        </w:rPr>
        <w:tab/>
        <w:t>Резолюция на Европейския парламент от 26 ноември 2024 г. относно Решение за изпълнение (ЕС) 2024/2628 на Комисията за подновяване на разрешението за пускането на пазара на продукти, съдържащи, състоящи се или произведени от генетично модифицирана царевица MON 89034 × 1507 × NK603, в съответствие с Регламент (ЕО) № 1829/2003 на Европейския парламент и на Съвета (P10_TA(2024)0038).</w:t>
      </w:r>
    </w:p>
    <w:p w:rsidR="001559CB" w:rsidRPr="00FA7F7C" w:rsidRDefault="00FA7F7C" w:rsidP="008922F9">
      <w:pPr>
        <w:pStyle w:val="FootnoteText"/>
        <w:ind w:left="1134" w:hanging="567"/>
        <w:rPr>
          <w:color w:val="000000" w:themeColor="text1"/>
          <w:sz w:val="24"/>
          <w:vertAlign w:val="superscript"/>
          <w:lang w:val="bg-BG"/>
        </w:rPr>
      </w:pPr>
      <w:r w:rsidRPr="00FA7F7C">
        <w:rPr>
          <w:color w:val="000000" w:themeColor="text1"/>
          <w:sz w:val="24"/>
          <w:lang w:val="bg-BG"/>
        </w:rPr>
        <w:t xml:space="preserve"> </w:t>
      </w:r>
      <w:r w:rsidR="001559CB" w:rsidRPr="00FA7F7C">
        <w:rPr>
          <w:color w:val="000000" w:themeColor="text1"/>
          <w:sz w:val="24"/>
          <w:lang w:val="bg-BG"/>
        </w:rPr>
        <w:t>–</w:t>
      </w:r>
      <w:r w:rsidR="001559CB" w:rsidRPr="00FA7F7C">
        <w:rPr>
          <w:color w:val="000000" w:themeColor="text1"/>
          <w:sz w:val="24"/>
          <w:lang w:val="bg-BG"/>
        </w:rPr>
        <w:tab/>
        <w:t>Резолюция на Европейския парламент от 26 ноември 2024 г. относно Решение за изпълнение (ЕС) 2024/2627 на Комисията за разрешаване на пускането на пазара на продукти, съдържащи, състоящи се или произведени от генетично модифициран памук COT102, в съответствие с Регламент (ЕО) № 1829/2003 на Европейския парламент и на Съвета (P10_TA(2024)0039).</w:t>
      </w:r>
    </w:p>
    <w:p w:rsidR="001559CB" w:rsidRPr="00FA7F7C" w:rsidRDefault="00FA7F7C" w:rsidP="008922F9">
      <w:pPr>
        <w:pStyle w:val="FootnoteText"/>
        <w:ind w:left="1134" w:hanging="567"/>
        <w:rPr>
          <w:color w:val="000000" w:themeColor="text1"/>
          <w:sz w:val="24"/>
          <w:vertAlign w:val="superscript"/>
          <w:lang w:val="bg-BG"/>
        </w:rPr>
      </w:pPr>
      <w:r w:rsidRPr="00FA7F7C">
        <w:rPr>
          <w:color w:val="000000" w:themeColor="text1"/>
          <w:sz w:val="24"/>
          <w:lang w:val="bg-BG"/>
        </w:rPr>
        <w:t xml:space="preserve"> </w:t>
      </w:r>
      <w:r w:rsidR="001559CB" w:rsidRPr="00FA7F7C">
        <w:rPr>
          <w:color w:val="000000" w:themeColor="text1"/>
          <w:sz w:val="24"/>
          <w:lang w:val="bg-BG"/>
        </w:rPr>
        <w:t>–</w:t>
      </w:r>
      <w:r w:rsidR="001559CB" w:rsidRPr="00FA7F7C">
        <w:rPr>
          <w:color w:val="000000" w:themeColor="text1"/>
          <w:sz w:val="24"/>
          <w:lang w:val="bg-BG"/>
        </w:rPr>
        <w:tab/>
        <w:t>Резолюция на Европейския парламент от 26 ноември 2024 г. относно Решение за изпълнение (ЕС) 2024/2629 на Комисията относно подновяването на разрешението за пускането на пазара на продукти, съдържащи, състоящи се или произведени от генетично модифицирана царевица MON 89034 × 1507 × MON 88017 × 59122 и осем нейни подкомбинации, в съответствие с Регламент (ЕО) № 1829/2003 на Европейския парламент и на Съвета (P10_TA(2024)0040).</w:t>
      </w:r>
    </w:p>
    <w:p w:rsidR="001559CB" w:rsidRPr="00FA7F7C" w:rsidRDefault="00FA7F7C" w:rsidP="008922F9">
      <w:pPr>
        <w:pStyle w:val="FootnoteText"/>
        <w:ind w:left="1134" w:hanging="567"/>
        <w:rPr>
          <w:color w:val="000000" w:themeColor="text1"/>
          <w:sz w:val="24"/>
          <w:vertAlign w:val="superscript"/>
          <w:lang w:val="bg-BG"/>
        </w:rPr>
      </w:pPr>
      <w:r w:rsidRPr="00FA7F7C">
        <w:rPr>
          <w:color w:val="000000" w:themeColor="text1"/>
          <w:sz w:val="24"/>
          <w:lang w:val="bg-BG"/>
        </w:rPr>
        <w:t xml:space="preserve"> </w:t>
      </w:r>
      <w:r w:rsidR="001559CB" w:rsidRPr="00FA7F7C">
        <w:rPr>
          <w:color w:val="000000" w:themeColor="text1"/>
          <w:sz w:val="24"/>
          <w:lang w:val="bg-BG"/>
        </w:rPr>
        <w:t>–</w:t>
      </w:r>
      <w:r w:rsidR="001559CB" w:rsidRPr="00FA7F7C">
        <w:rPr>
          <w:color w:val="000000" w:themeColor="text1"/>
          <w:sz w:val="24"/>
          <w:lang w:val="bg-BG"/>
        </w:rPr>
        <w:tab/>
        <w:t xml:space="preserve">Резолюция на Европейския парламент от 26 ноември 2024 г. </w:t>
      </w:r>
      <w:r w:rsidR="001559CB" w:rsidRPr="00FA7F7C">
        <w:rPr>
          <w:color w:val="000000" w:themeColor="text1"/>
          <w:sz w:val="24"/>
          <w:lang w:val="bg-BG"/>
        </w:rPr>
        <w:t>относно Решение за изпълнение (ЕС) 2024/182</w:t>
      </w:r>
      <w:r w:rsidR="00A47F2B">
        <w:rPr>
          <w:color w:val="000000" w:themeColor="text1"/>
          <w:sz w:val="24"/>
          <w:lang w:val="bg-BG"/>
        </w:rPr>
        <w:t>8</w:t>
      </w:r>
      <w:r w:rsidR="001559CB" w:rsidRPr="00FA7F7C">
        <w:rPr>
          <w:color w:val="000000" w:themeColor="text1"/>
          <w:sz w:val="24"/>
          <w:lang w:val="bg-BG"/>
        </w:rPr>
        <w:t xml:space="preserve"> на Комисията за подновяване на разрешението за пускане на пазара на фуражи, съдържащи, състоящи се от генетично модифицирана царевица MON 810 и на храни и фуражи, произведени от нея, в съответствие с Регламент (ЕО) № 1829/2003 на Европейския парламент и на Съвета и за отмяна на Решение за изпълнение (ЕС) 2017/1207 на Комисията (P10_TA(2024)0041).</w:t>
      </w:r>
    </w:p>
    <w:p w:rsidR="001559CB" w:rsidRPr="00FA7F7C" w:rsidRDefault="00FA7F7C" w:rsidP="008922F9">
      <w:pPr>
        <w:pStyle w:val="FootnoteText"/>
        <w:ind w:left="1134" w:hanging="567"/>
        <w:rPr>
          <w:color w:val="000000" w:themeColor="text1"/>
          <w:sz w:val="24"/>
          <w:vertAlign w:val="superscript"/>
          <w:lang w:val="bg-BG"/>
        </w:rPr>
      </w:pPr>
      <w:r w:rsidRPr="00FA7F7C">
        <w:rPr>
          <w:color w:val="000000" w:themeColor="text1"/>
          <w:sz w:val="24"/>
          <w:lang w:val="bg-BG"/>
        </w:rPr>
        <w:t xml:space="preserve"> </w:t>
      </w:r>
      <w:r w:rsidR="001559CB" w:rsidRPr="00FA7F7C">
        <w:rPr>
          <w:color w:val="000000" w:themeColor="text1"/>
          <w:sz w:val="24"/>
          <w:lang w:val="bg-BG"/>
        </w:rPr>
        <w:t>–</w:t>
      </w:r>
      <w:r w:rsidR="001559CB" w:rsidRPr="00FA7F7C">
        <w:rPr>
          <w:color w:val="000000" w:themeColor="text1"/>
          <w:sz w:val="24"/>
          <w:lang w:val="bg-BG"/>
        </w:rPr>
        <w:tab/>
        <w:t>Резолюция на Европейския парламент от 26 ноември 2024 г. относно Решение за изпълнение (ЕС) 2024/1822 на Комисията за разрешаване на пускането на пазара на продукти, съдържащи, състоящи се или произведени от генетично модифицирана царевица DP915635, в съответствие с Регламент (ЕО) № 1829/2003 на Европейския парламент и на Съвета (P10_TA(2024)0042).</w:t>
      </w:r>
    </w:p>
    <w:p w:rsidR="001559CB" w:rsidRPr="00FA7F7C" w:rsidRDefault="00FA7F7C" w:rsidP="008922F9">
      <w:pPr>
        <w:pStyle w:val="FootnoteText"/>
        <w:ind w:left="1134" w:hanging="567"/>
        <w:rPr>
          <w:color w:val="000000" w:themeColor="text1"/>
          <w:sz w:val="24"/>
          <w:vertAlign w:val="superscript"/>
          <w:lang w:val="bg-BG"/>
        </w:rPr>
      </w:pPr>
      <w:r w:rsidRPr="00FA7F7C">
        <w:rPr>
          <w:color w:val="000000" w:themeColor="text1"/>
          <w:sz w:val="24"/>
          <w:lang w:val="bg-BG"/>
        </w:rPr>
        <w:t xml:space="preserve"> </w:t>
      </w:r>
      <w:r w:rsidR="001559CB" w:rsidRPr="00FA7F7C">
        <w:rPr>
          <w:color w:val="000000" w:themeColor="text1"/>
          <w:sz w:val="24"/>
          <w:lang w:val="bg-BG"/>
        </w:rPr>
        <w:t>–</w:t>
      </w:r>
      <w:r w:rsidR="001559CB" w:rsidRPr="00FA7F7C">
        <w:rPr>
          <w:color w:val="000000" w:themeColor="text1"/>
          <w:sz w:val="24"/>
          <w:lang w:val="bg-BG"/>
        </w:rPr>
        <w:tab/>
        <w:t>Резолюция на Европейския парламент от 26 ноември 2024 г. относно Решение за изпълнение (ЕС) 2024/182</w:t>
      </w:r>
      <w:r w:rsidR="00A47F2B">
        <w:rPr>
          <w:color w:val="000000" w:themeColor="text1"/>
          <w:sz w:val="24"/>
          <w:lang w:val="bg-BG"/>
        </w:rPr>
        <w:t>6</w:t>
      </w:r>
      <w:bookmarkStart w:id="7" w:name="_GoBack"/>
      <w:bookmarkEnd w:id="7"/>
      <w:r w:rsidR="001559CB" w:rsidRPr="00FA7F7C">
        <w:rPr>
          <w:color w:val="000000" w:themeColor="text1"/>
          <w:sz w:val="24"/>
          <w:lang w:val="bg-BG"/>
        </w:rPr>
        <w:t xml:space="preserve"> на Комисията за разрешаване на пускането на пазара на продукти, съдържащи, състоящи се или произведени от генетично модифицирана царевица DP23211, в съответствие с Регламент (ЕО) № 1829/2003 на Европейския парламент и на Съвета (P10_TA(2024)0043).</w:t>
      </w:r>
    </w:p>
    <w:p w:rsidR="001559CB" w:rsidRPr="00FA7F7C" w:rsidRDefault="00FA7F7C" w:rsidP="008922F9">
      <w:pPr>
        <w:pStyle w:val="FootnoteText"/>
        <w:ind w:left="1134" w:hanging="567"/>
        <w:rPr>
          <w:color w:val="000000" w:themeColor="text1"/>
          <w:sz w:val="24"/>
          <w:vertAlign w:val="superscript"/>
          <w:lang w:val="bg-BG"/>
        </w:rPr>
      </w:pPr>
      <w:r w:rsidRPr="00FA7F7C">
        <w:rPr>
          <w:color w:val="000000" w:themeColor="text1"/>
          <w:sz w:val="24"/>
          <w:lang w:val="bg-BG"/>
        </w:rPr>
        <w:t xml:space="preserve"> </w:t>
      </w:r>
      <w:r w:rsidR="001559CB" w:rsidRPr="00FA7F7C">
        <w:rPr>
          <w:color w:val="000000" w:themeColor="text1"/>
          <w:sz w:val="24"/>
          <w:lang w:val="bg-BG"/>
        </w:rPr>
        <w:t>–</w:t>
      </w:r>
      <w:r w:rsidR="001559CB" w:rsidRPr="00FA7F7C">
        <w:rPr>
          <w:color w:val="000000" w:themeColor="text1"/>
          <w:sz w:val="24"/>
          <w:lang w:val="bg-BG"/>
        </w:rPr>
        <w:tab/>
        <w:t>Резолюция на Европейския парламент от 26 ноември 2024 г. относно Решение за изпълнение (ЕС) 2024/2618 на Комисията за разрешаване на пускането на пазара на продукти, съдържащи, състоящи се или произведени от генетично модифицирана царевица DP202216, в съответствие с Регламент (ЕО) № 1829/2003 на Европейския парламент и на Съвета (P10_TA(2024)0044).</w:t>
      </w:r>
    </w:p>
    <w:p w:rsidR="001559CB" w:rsidRPr="00FA7F7C" w:rsidRDefault="00FA7F7C" w:rsidP="008922F9">
      <w:pPr>
        <w:pStyle w:val="FootnoteText"/>
        <w:ind w:left="1134" w:hanging="567"/>
        <w:rPr>
          <w:color w:val="000000" w:themeColor="text1"/>
          <w:sz w:val="24"/>
          <w:lang w:val="bg-BG"/>
        </w:rPr>
      </w:pPr>
      <w:r w:rsidRPr="00FA7F7C">
        <w:rPr>
          <w:color w:val="000000" w:themeColor="text1"/>
          <w:sz w:val="24"/>
          <w:lang w:val="bg-BG"/>
        </w:rPr>
        <w:t xml:space="preserve"> </w:t>
      </w:r>
      <w:r w:rsidR="001559CB" w:rsidRPr="00FA7F7C">
        <w:rPr>
          <w:color w:val="000000" w:themeColor="text1"/>
          <w:sz w:val="24"/>
          <w:lang w:val="bg-BG"/>
        </w:rPr>
        <w:t>–</w:t>
      </w:r>
      <w:r w:rsidR="001559CB" w:rsidRPr="00FA7F7C">
        <w:rPr>
          <w:color w:val="000000" w:themeColor="text1"/>
          <w:sz w:val="24"/>
          <w:lang w:val="bg-BG"/>
        </w:rPr>
        <w:tab/>
        <w:t>Резолюция на Европейския парламент от 26 ноември 2024 г. относно проекта на решение на Комисията за разрешаване на пускането на пазара на продукти, съдържащи, състоящи се или произведени от генетично модифицирана царевица MON 94804, в съответствие с Регламент (ЕО) № 1829/2003 на Европейския парламент и на Съвета (P10_TA(2024)0045).</w:t>
      </w:r>
    </w:p>
  </w:footnote>
  <w:footnote w:id="5">
    <w:p w:rsidR="001559CB" w:rsidRPr="00FA7F7C" w:rsidRDefault="001559CB" w:rsidP="00FA7F7C">
      <w:pPr>
        <w:pStyle w:val="FootnoteText"/>
        <w:ind w:left="567" w:hanging="567"/>
        <w:rPr>
          <w:sz w:val="24"/>
          <w:lang w:val="bg-BG"/>
        </w:rPr>
      </w:pPr>
      <w:r w:rsidRPr="00FA7F7C">
        <w:rPr>
          <w:rStyle w:val="FootnoteReference"/>
          <w:sz w:val="24"/>
          <w:lang w:val="bg-BG"/>
        </w:rPr>
        <w:footnoteRef/>
      </w:r>
      <w:r w:rsidR="00FA7F7C" w:rsidRPr="00FA7F7C">
        <w:rPr>
          <w:color w:val="000000" w:themeColor="text1"/>
          <w:sz w:val="24"/>
          <w:lang w:val="bg-BG"/>
        </w:rPr>
        <w:t xml:space="preserve"> </w:t>
      </w:r>
      <w:r w:rsidR="00FA7F7C" w:rsidRPr="00FA7F7C">
        <w:rPr>
          <w:color w:val="000000" w:themeColor="text1"/>
          <w:sz w:val="24"/>
          <w:lang w:val="bg-BG"/>
        </w:rPr>
        <w:tab/>
      </w:r>
      <w:r w:rsidRPr="00FA7F7C">
        <w:rPr>
          <w:color w:val="000000" w:themeColor="text1"/>
          <w:sz w:val="24"/>
          <w:lang w:val="bg-BG"/>
        </w:rPr>
        <w:t xml:space="preserve">Регламент за изпълнение (ЕС) № 503/2013 на Комисията от 3 април 2013 г. относно заявленията за разрешение за генетично модифицирани храни и фуражи в съответствие с Регламент (ЕО) № 1829/2003 на Европейския парламент и на Съвета и за изменение на регламенти (ЕО) № 641/2004 и (ЕО) № 1981/2006 на Комисията (ОВ L 157, 8.6.2013 г., стр. 1, ELI: </w:t>
      </w:r>
      <w:hyperlink r:id="rId4" w:tgtFrame="Gives access to this document through its ELI URI." w:history="1">
        <w:r w:rsidRPr="00FA7F7C">
          <w:rPr>
            <w:rStyle w:val="Hyperlink"/>
            <w:color w:val="000000" w:themeColor="text1"/>
            <w:sz w:val="24"/>
            <w:lang w:val="bg-BG"/>
          </w:rPr>
          <w:t>http://data.europa.eu/eli/reg_impl/2013/503/oj</w:t>
        </w:r>
      </w:hyperlink>
      <w:r w:rsidRPr="00FA7F7C">
        <w:rPr>
          <w:rStyle w:val="Hyperlink"/>
          <w:color w:val="000000" w:themeColor="text1"/>
          <w:sz w:val="24"/>
          <w:lang w:val="bg-BG"/>
        </w:rPr>
        <w:t>).</w:t>
      </w:r>
    </w:p>
  </w:footnote>
  <w:footnote w:id="6">
    <w:p w:rsidR="001559CB" w:rsidRPr="00FA7F7C" w:rsidRDefault="001559CB" w:rsidP="00FA7F7C">
      <w:pPr>
        <w:pStyle w:val="FootnoteText"/>
        <w:ind w:left="567" w:hanging="567"/>
        <w:rPr>
          <w:color w:val="000000" w:themeColor="text1"/>
          <w:sz w:val="24"/>
          <w:lang w:val="bg-BG"/>
        </w:rPr>
      </w:pPr>
      <w:r w:rsidRPr="00FA7F7C">
        <w:rPr>
          <w:rStyle w:val="Funotenzeichen"/>
          <w:color w:val="000000" w:themeColor="text1"/>
          <w:sz w:val="24"/>
          <w:lang w:val="bg-BG"/>
        </w:rPr>
        <w:footnoteRef/>
      </w:r>
      <w:r w:rsidR="00FA7F7C" w:rsidRPr="00FA7F7C">
        <w:rPr>
          <w:sz w:val="24"/>
          <w:lang w:val="bg-BG"/>
        </w:rPr>
        <w:t xml:space="preserve"> </w:t>
      </w:r>
      <w:r w:rsidR="00FA7F7C" w:rsidRPr="00FA7F7C">
        <w:rPr>
          <w:sz w:val="24"/>
          <w:lang w:val="bg-BG"/>
        </w:rPr>
        <w:tab/>
      </w:r>
      <w:hyperlink r:id="rId5" w:history="1">
        <w:r w:rsidR="0093002A" w:rsidRPr="0093002A">
          <w:rPr>
            <w:rStyle w:val="Hyperlink"/>
            <w:sz w:val="24"/>
            <w:szCs w:val="24"/>
          </w:rPr>
          <w:t>https://efsa.onlinelibrary.wiley.com/action/downloadSupplement?doi=10.2903%2Fj.efsa.2024.8716&amp;file=efs28716-sup-0012-Annex8.pdf</w:t>
        </w:r>
      </w:hyperlink>
      <w:r w:rsidRPr="00FA7F7C">
        <w:rPr>
          <w:rStyle w:val="Hyperlink"/>
          <w:color w:val="000000" w:themeColor="text1"/>
          <w:sz w:val="24"/>
          <w:lang w:val="bg-BG"/>
        </w:rPr>
        <w:t>.</w:t>
      </w:r>
    </w:p>
  </w:footnote>
  <w:footnote w:id="7">
    <w:p w:rsidR="001559CB" w:rsidRPr="00FA7F7C" w:rsidRDefault="001559CB" w:rsidP="00FA7F7C">
      <w:pPr>
        <w:pStyle w:val="FootnoteText"/>
        <w:ind w:left="567" w:hanging="567"/>
        <w:rPr>
          <w:color w:val="000000" w:themeColor="text1"/>
          <w:sz w:val="24"/>
          <w:lang w:val="bg-BG"/>
        </w:rPr>
      </w:pPr>
      <w:r w:rsidRPr="00FA7F7C">
        <w:rPr>
          <w:rStyle w:val="Funotenzeichen"/>
          <w:color w:val="000000" w:themeColor="text1"/>
          <w:sz w:val="24"/>
          <w:lang w:val="bg-BG"/>
        </w:rPr>
        <w:footnoteRef/>
      </w:r>
      <w:r w:rsidR="00FA7F7C" w:rsidRPr="00FA7F7C">
        <w:rPr>
          <w:color w:val="000000" w:themeColor="text1"/>
          <w:sz w:val="24"/>
          <w:lang w:val="bg-BG"/>
        </w:rPr>
        <w:t xml:space="preserve"> </w:t>
      </w:r>
      <w:r w:rsidR="00FA7F7C" w:rsidRPr="00FA7F7C">
        <w:rPr>
          <w:color w:val="000000" w:themeColor="text1"/>
          <w:sz w:val="24"/>
          <w:lang w:val="bg-BG"/>
        </w:rPr>
        <w:tab/>
      </w:r>
      <w:r w:rsidRPr="00FA7F7C">
        <w:rPr>
          <w:color w:val="000000" w:themeColor="text1"/>
          <w:sz w:val="24"/>
          <w:lang w:val="bg-BG"/>
        </w:rPr>
        <w:t>Регламент (ЕО) № 178/2002 на Европейския парламент и на Съвета от 28 януари 2002 г. за установяване на общите принципи и изисквания на законодателството в областта на храните, за създаване на Европейски орган за безопасност на храните и за определяне на процедури относно безопасността на храните (ОВ L 31, 1.2.2002 г., стр. 1, ELI: </w:t>
      </w:r>
      <w:hyperlink r:id="rId6" w:tgtFrame="Gives access to this document through its ELI URI." w:history="1">
        <w:r w:rsidRPr="00FA7F7C">
          <w:rPr>
            <w:rStyle w:val="Hyperlink"/>
            <w:color w:val="000000" w:themeColor="text1"/>
            <w:sz w:val="24"/>
            <w:lang w:val="bg-BG"/>
          </w:rPr>
          <w:t>http://data.europa.eu/eli/reg/2002/178/oj</w:t>
        </w:r>
      </w:hyperlink>
      <w:r w:rsidRPr="00FA7F7C">
        <w:rPr>
          <w:color w:val="000000" w:themeColor="text1"/>
          <w:sz w:val="24"/>
          <w:lang w:val="bg-BG"/>
        </w:rPr>
        <w:t>).</w:t>
      </w:r>
    </w:p>
  </w:footnote>
  <w:footnote w:id="8">
    <w:p w:rsidR="001559CB" w:rsidRPr="00FA7F7C" w:rsidRDefault="001559CB" w:rsidP="00FA7F7C">
      <w:pPr>
        <w:pStyle w:val="FootnoteText"/>
        <w:ind w:left="567" w:hanging="567"/>
        <w:rPr>
          <w:color w:val="000000" w:themeColor="text1"/>
          <w:sz w:val="24"/>
          <w:lang w:val="bg-BG"/>
        </w:rPr>
      </w:pPr>
      <w:r w:rsidRPr="00FA7F7C">
        <w:rPr>
          <w:rStyle w:val="Funotenzeichen"/>
          <w:color w:val="000000" w:themeColor="text1"/>
          <w:sz w:val="24"/>
          <w:lang w:val="bg-BG"/>
        </w:rPr>
        <w:footnoteRef/>
      </w:r>
      <w:r w:rsidR="00FA7F7C" w:rsidRPr="00FA7F7C">
        <w:rPr>
          <w:sz w:val="24"/>
          <w:lang w:val="bg-BG"/>
        </w:rPr>
        <w:t xml:space="preserve"> </w:t>
      </w:r>
      <w:r w:rsidR="00FA7F7C" w:rsidRPr="00FA7F7C">
        <w:rPr>
          <w:sz w:val="24"/>
          <w:lang w:val="bg-BG"/>
        </w:rPr>
        <w:tab/>
      </w:r>
      <w:hyperlink r:id="rId7" w:history="1">
        <w:r w:rsidRPr="00FA7F7C">
          <w:rPr>
            <w:rStyle w:val="Hyperlink"/>
            <w:color w:val="000000" w:themeColor="text1"/>
            <w:sz w:val="24"/>
            <w:lang w:val="bg-BG"/>
          </w:rPr>
          <w:t>https://tillymetz.lu/wp-content/uploads/2020/09/Co-signed-letter-MEP-Metz.pdf</w:t>
        </w:r>
      </w:hyperlink>
      <w:r w:rsidRPr="00FA7F7C">
        <w:rPr>
          <w:rStyle w:val="Hyperlink"/>
          <w:color w:val="000000" w:themeColor="text1"/>
          <w:sz w:val="24"/>
          <w:lang w:val="bg-BG"/>
        </w:rPr>
        <w:t>.</w:t>
      </w:r>
    </w:p>
  </w:footnote>
  <w:footnote w:id="9">
    <w:p w:rsidR="001559CB" w:rsidRPr="00FA7F7C" w:rsidRDefault="001559CB" w:rsidP="00FA7F7C">
      <w:pPr>
        <w:pStyle w:val="FootnoteText"/>
        <w:ind w:left="567" w:hanging="567"/>
        <w:rPr>
          <w:color w:val="000000" w:themeColor="text1"/>
          <w:sz w:val="24"/>
          <w:lang w:val="bg-BG"/>
        </w:rPr>
      </w:pPr>
      <w:r w:rsidRPr="00FA7F7C">
        <w:rPr>
          <w:rStyle w:val="Funotenzeichen"/>
          <w:color w:val="000000" w:themeColor="text1"/>
          <w:sz w:val="24"/>
          <w:lang w:val="bg-BG"/>
        </w:rPr>
        <w:footnoteRef/>
      </w:r>
      <w:r w:rsidR="00FA7F7C" w:rsidRPr="00FA7F7C">
        <w:rPr>
          <w:color w:val="000000" w:themeColor="text1"/>
          <w:sz w:val="24"/>
          <w:lang w:val="bg-BG"/>
        </w:rPr>
        <w:t xml:space="preserve"> </w:t>
      </w:r>
      <w:r w:rsidR="00FA7F7C" w:rsidRPr="00FA7F7C">
        <w:rPr>
          <w:color w:val="000000" w:themeColor="text1"/>
          <w:sz w:val="24"/>
          <w:lang w:val="bg-BG"/>
        </w:rPr>
        <w:tab/>
      </w:r>
      <w:r w:rsidRPr="00FA7F7C">
        <w:rPr>
          <w:color w:val="000000" w:themeColor="text1"/>
          <w:sz w:val="24"/>
          <w:lang w:val="bg-BG"/>
        </w:rPr>
        <w:t>Резолюция на Европейския парламент от 15 януари 2020 г. относно Европейския зелен пакт (ОВ C 270, 7.7.2021 г., стр. 2), параграф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A7F7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A7F7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A7F7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60/2025"/>
    <w:docVar w:name="dvlangue" w:val="BG"/>
    <w:docVar w:name="dvnumam" w:val="0"/>
    <w:docVar w:name="dvpe" w:val="766.933"/>
    <w:docVar w:name="dvtitre" w:val="Резолюция на Европейския парламент от ... 2025 г. относно проекта на решение за изпълнение на Комисията за разрешаване на пускането на пазара на продукти, съдържащи, състоящи се или произведени от генетично модифицирана царевица MON 95275, в съответствие с Регламент (ЕО) № 1829/2003 на Европейския парламент и на Съвета(D102172/03 – 2024/3011(RSP))"/>
  </w:docVars>
  <w:rsids>
    <w:rsidRoot w:val="004515F0"/>
    <w:rsid w:val="00002272"/>
    <w:rsid w:val="00064002"/>
    <w:rsid w:val="000677B9"/>
    <w:rsid w:val="000831BA"/>
    <w:rsid w:val="000A42CC"/>
    <w:rsid w:val="000E7DD9"/>
    <w:rsid w:val="0010095E"/>
    <w:rsid w:val="00125B37"/>
    <w:rsid w:val="001559CB"/>
    <w:rsid w:val="00187494"/>
    <w:rsid w:val="001F32AE"/>
    <w:rsid w:val="002767FF"/>
    <w:rsid w:val="002B18FE"/>
    <w:rsid w:val="002B5493"/>
    <w:rsid w:val="00343214"/>
    <w:rsid w:val="00361C00"/>
    <w:rsid w:val="00395FA1"/>
    <w:rsid w:val="003E15D4"/>
    <w:rsid w:val="00411CCE"/>
    <w:rsid w:val="0041666E"/>
    <w:rsid w:val="00421060"/>
    <w:rsid w:val="004515F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22F9"/>
    <w:rsid w:val="008B6781"/>
    <w:rsid w:val="008C2AC6"/>
    <w:rsid w:val="0093002A"/>
    <w:rsid w:val="00930C23"/>
    <w:rsid w:val="0093193B"/>
    <w:rsid w:val="009509D8"/>
    <w:rsid w:val="00950B64"/>
    <w:rsid w:val="00981893"/>
    <w:rsid w:val="00A1687D"/>
    <w:rsid w:val="00A43E52"/>
    <w:rsid w:val="00A4678D"/>
    <w:rsid w:val="00A47F2B"/>
    <w:rsid w:val="00A778C7"/>
    <w:rsid w:val="00AB441E"/>
    <w:rsid w:val="00AB6293"/>
    <w:rsid w:val="00AE0928"/>
    <w:rsid w:val="00AF3B82"/>
    <w:rsid w:val="00B12E95"/>
    <w:rsid w:val="00B22876"/>
    <w:rsid w:val="00B558F0"/>
    <w:rsid w:val="00BB334B"/>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7F7C"/>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C061F4"/>
  <w15:chartTrackingRefBased/>
  <w15:docId w15:val="{83ACA0F7-DCED-429B-9DA4-6A6B7113C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559CB"/>
    <w:pPr>
      <w:spacing w:before="480" w:after="240"/>
    </w:pPr>
  </w:style>
  <w:style w:type="paragraph" w:customStyle="1" w:styleId="NormalHanging12a">
    <w:name w:val="NormalHanging12a"/>
    <w:basedOn w:val="Normal"/>
    <w:qFormat/>
    <w:rsid w:val="001559CB"/>
    <w:pPr>
      <w:spacing w:after="240"/>
      <w:ind w:left="567" w:hanging="567"/>
    </w:pPr>
  </w:style>
  <w:style w:type="character" w:styleId="Hyperlink">
    <w:name w:val="Hyperlink"/>
    <w:basedOn w:val="DefaultParagraphFont"/>
    <w:uiPriority w:val="99"/>
    <w:rsid w:val="001559CB"/>
    <w:rPr>
      <w:color w:val="0563C1" w:themeColor="hyperlink"/>
      <w:u w:val="single"/>
    </w:rPr>
  </w:style>
  <w:style w:type="character" w:customStyle="1" w:styleId="Funotenzeichen">
    <w:name w:val="Fußnotenzeichen"/>
    <w:qFormat/>
    <w:rsid w:val="001559CB"/>
    <w:rPr>
      <w:vertAlign w:val="superscript"/>
    </w:rPr>
  </w:style>
  <w:style w:type="paragraph" w:styleId="BalloonText">
    <w:name w:val="Balloon Text"/>
    <w:basedOn w:val="Normal"/>
    <w:link w:val="BalloonTextChar"/>
    <w:rsid w:val="008B6781"/>
    <w:rPr>
      <w:rFonts w:ascii="Segoe UI" w:hAnsi="Segoe UI" w:cs="Segoe UI"/>
      <w:sz w:val="18"/>
      <w:szCs w:val="18"/>
    </w:rPr>
  </w:style>
  <w:style w:type="character" w:customStyle="1" w:styleId="BalloonTextChar">
    <w:name w:val="Balloon Text Char"/>
    <w:basedOn w:val="DefaultParagraphFont"/>
    <w:link w:val="BalloonText"/>
    <w:rsid w:val="008B6781"/>
    <w:rPr>
      <w:rFonts w:ascii="Segoe UI" w:hAnsi="Segoe UI" w:cs="Segoe UI"/>
      <w:sz w:val="18"/>
      <w:szCs w:val="18"/>
      <w:lang w:val="bg-BG"/>
    </w:rPr>
  </w:style>
  <w:style w:type="character" w:styleId="FollowedHyperlink">
    <w:name w:val="FollowedHyperlink"/>
    <w:basedOn w:val="DefaultParagraphFont"/>
    <w:rsid w:val="0093002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2903/j.efsa.2024.8886" TargetMode="External"/><Relationship Id="rId7" Type="http://schemas.openxmlformats.org/officeDocument/2006/relationships/hyperlink" Target="https://tillymetz.lu/wp-content/uploads/2020/09/Co-signed-letter-MEP-Metz.pdf" TargetMode="External"/><Relationship Id="rId2" Type="http://schemas.openxmlformats.org/officeDocument/2006/relationships/hyperlink" Target="http://data.europa.eu/eli/reg/2011/182/oj"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reg/2002/178/oj" TargetMode="External"/><Relationship Id="rId5" Type="http://schemas.openxmlformats.org/officeDocument/2006/relationships/hyperlink" Target="https://efsa.onlinelibrary.wiley.com/action/downloadSupplement?doi=10.2903%2Fj.efsa.2024.8716&amp;file=efs28716-sup-0012-Annex8.pdf" TargetMode="External"/><Relationship Id="rId4" Type="http://schemas.openxmlformats.org/officeDocument/2006/relationships/hyperlink" Target="http://data.europa.eu/eli/reg_impl/2013/50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389AF2-0E7F-4853-B79E-97F78E0E92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1298</Words>
  <Characters>7562</Characters>
  <Application>Microsoft Office Word</Application>
  <DocSecurity>0</DocSecurity>
  <Lines>157</Lines>
  <Paragraphs>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DIMITROV Cvetan</cp:lastModifiedBy>
  <cp:revision>2</cp:revision>
  <cp:lastPrinted>2004-11-19T15:42:00Z</cp:lastPrinted>
  <dcterms:created xsi:type="dcterms:W3CDTF">2025-03-04T09:54:00Z</dcterms:created>
  <dcterms:modified xsi:type="dcterms:W3CDTF">2025-03-04T09:54:00Z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B10-0060/2025</vt:lpwstr>
  </property>
  <property fmtid="{D5CDD505-2E9C-101B-9397-08002B2CF9AE}" pid="4" name="&lt;Type&gt;">
    <vt:lpwstr>RR</vt:lpwstr>
  </property>
</Properties>
</file>