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68ED" w:rsidTr="0010095E">
        <w:trPr>
          <w:trHeight w:hRule="exact" w:val="1418"/>
        </w:trPr>
        <w:tc>
          <w:tcPr>
            <w:tcW w:w="6804" w:type="dxa"/>
            <w:shd w:val="clear" w:color="auto" w:fill="auto"/>
            <w:vAlign w:val="center"/>
          </w:tcPr>
          <w:p w:rsidR="00751A4A" w:rsidRPr="005668ED" w:rsidRDefault="00720938" w:rsidP="0010095E">
            <w:pPr>
              <w:pStyle w:val="EPName"/>
            </w:pPr>
            <w:r w:rsidRPr="00732F1A">
              <w:t>Europa-Parlamentet</w:t>
            </w:r>
          </w:p>
          <w:p w:rsidR="00751A4A" w:rsidRPr="005668ED" w:rsidRDefault="005F1B17" w:rsidP="005F1B17">
            <w:pPr>
              <w:pStyle w:val="EPTerm"/>
              <w:rPr>
                <w:rStyle w:val="HideTWBExt"/>
                <w:noProof w:val="0"/>
                <w:vanish w:val="0"/>
                <w:color w:val="auto"/>
              </w:rPr>
            </w:pPr>
            <w:r w:rsidRPr="005668ED">
              <w:t>2024</w:t>
            </w:r>
            <w:r w:rsidR="00817416" w:rsidRPr="005668ED">
              <w:t>-202</w:t>
            </w:r>
            <w:r w:rsidRPr="005668ED">
              <w:t>9</w:t>
            </w:r>
          </w:p>
        </w:tc>
        <w:tc>
          <w:tcPr>
            <w:tcW w:w="2268" w:type="dxa"/>
            <w:shd w:val="clear" w:color="auto" w:fill="auto"/>
          </w:tcPr>
          <w:p w:rsidR="00751A4A" w:rsidRPr="00732F1A" w:rsidRDefault="00187494" w:rsidP="0010095E">
            <w:pPr>
              <w:pStyle w:val="EPLogo"/>
            </w:pPr>
            <w:r w:rsidRPr="00732F1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668ED" w:rsidRDefault="00D058B8" w:rsidP="004C5D52">
      <w:pPr>
        <w:pStyle w:val="LineTop"/>
      </w:pPr>
    </w:p>
    <w:p w:rsidR="00680577" w:rsidRPr="005668ED" w:rsidRDefault="00720938" w:rsidP="00680577">
      <w:pPr>
        <w:pStyle w:val="EPBodyTA1"/>
      </w:pPr>
      <w:r w:rsidRPr="005668ED">
        <w:t>VEDTAGNE TEKSTER</w:t>
      </w:r>
    </w:p>
    <w:p w:rsidR="00D058B8" w:rsidRPr="005668ED" w:rsidRDefault="00D058B8" w:rsidP="00D058B8">
      <w:pPr>
        <w:pStyle w:val="LineBottom"/>
      </w:pPr>
    </w:p>
    <w:p w:rsidR="00720938" w:rsidRPr="008F40C7" w:rsidRDefault="00720938" w:rsidP="00720938">
      <w:pPr>
        <w:pStyle w:val="ATHeading1"/>
      </w:pPr>
      <w:bookmarkStart w:id="0" w:name="TANumber"/>
      <w:r w:rsidRPr="008F40C7">
        <w:t>P10_</w:t>
      </w:r>
      <w:proofErr w:type="gramStart"/>
      <w:r w:rsidRPr="008F40C7">
        <w:t>TA(</w:t>
      </w:r>
      <w:proofErr w:type="gramEnd"/>
      <w:r w:rsidRPr="008F40C7">
        <w:t>2025)00</w:t>
      </w:r>
      <w:r w:rsidR="0009334C">
        <w:t>15</w:t>
      </w:r>
      <w:bookmarkEnd w:id="0"/>
    </w:p>
    <w:p w:rsidR="00720938" w:rsidRPr="008F40C7" w:rsidRDefault="00C614C5" w:rsidP="00720938">
      <w:pPr>
        <w:pStyle w:val="ATHeading2"/>
      </w:pPr>
      <w:bookmarkStart w:id="1" w:name="title"/>
      <w:r w:rsidRPr="008F40C7">
        <w:t>G</w:t>
      </w:r>
      <w:r w:rsidR="00720938" w:rsidRPr="008F40C7">
        <w:t>enetisk modificeret MON 95275-majs</w:t>
      </w:r>
      <w:bookmarkEnd w:id="1"/>
    </w:p>
    <w:p w:rsidR="00720938" w:rsidRPr="00732F1A" w:rsidRDefault="00720938" w:rsidP="00720938">
      <w:pPr>
        <w:rPr>
          <w:i/>
          <w:vanish/>
        </w:rPr>
      </w:pPr>
      <w:r w:rsidRPr="00732F1A">
        <w:rPr>
          <w:i/>
        </w:rPr>
        <w:fldChar w:fldCharType="begin"/>
      </w:r>
      <w:r w:rsidRPr="00732F1A">
        <w:rPr>
          <w:i/>
        </w:rPr>
        <w:instrText xml:space="preserve"> TC"(</w:instrText>
      </w:r>
      <w:bookmarkStart w:id="2" w:name="DocNumber"/>
      <w:r w:rsidRPr="00732F1A">
        <w:rPr>
          <w:i/>
        </w:rPr>
        <w:instrText>B10-0060/2025</w:instrText>
      </w:r>
      <w:bookmarkEnd w:id="2"/>
      <w:r w:rsidRPr="00732F1A">
        <w:rPr>
          <w:i/>
        </w:rPr>
        <w:instrText xml:space="preserve">)"\l3 \n&gt; \* MERGEFORMAT </w:instrText>
      </w:r>
      <w:r w:rsidRPr="00732F1A">
        <w:rPr>
          <w:i/>
        </w:rPr>
        <w:fldChar w:fldCharType="end"/>
      </w:r>
    </w:p>
    <w:p w:rsidR="00720938" w:rsidRPr="008F40C7" w:rsidRDefault="00720938" w:rsidP="00720938">
      <w:pPr>
        <w:rPr>
          <w:vanish/>
        </w:rPr>
      </w:pPr>
      <w:bookmarkStart w:id="3" w:name="PE"/>
      <w:r w:rsidRPr="005668ED">
        <w:rPr>
          <w:vanish/>
        </w:rPr>
        <w:t>PE766.933</w:t>
      </w:r>
      <w:bookmarkEnd w:id="3"/>
    </w:p>
    <w:p w:rsidR="00720938" w:rsidRPr="008F40C7" w:rsidRDefault="00720938" w:rsidP="00720938">
      <w:pPr>
        <w:pStyle w:val="ATHeading3"/>
      </w:pPr>
      <w:bookmarkStart w:id="4" w:name="Sujet"/>
      <w:r w:rsidRPr="008F40C7">
        <w:t xml:space="preserve">Europa-Parlamentets beslutning af </w:t>
      </w:r>
      <w:r w:rsidR="00732F1A" w:rsidRPr="008F40C7">
        <w:t>12</w:t>
      </w:r>
      <w:r w:rsidRPr="008F40C7">
        <w:t>. februar 2025 om udkast til Kommissionens gennemførelsesafgørelse om tilladelse til markedsføring af produkter, der indeholder, består af eller er fremstillet af genetisk modificeret MON 95275-majs, i henhold til Europa-Parlamentets og Rådets forordning (EF) nr. 1829/2003</w:t>
      </w:r>
      <w:bookmarkEnd w:id="4"/>
      <w:r w:rsidRPr="008F40C7">
        <w:t xml:space="preserve"> </w:t>
      </w:r>
      <w:bookmarkStart w:id="5" w:name="References"/>
      <w:r w:rsidRPr="008F40C7">
        <w:t>(D102172/03 – 2024/3011(RSP))</w:t>
      </w:r>
      <w:bookmarkEnd w:id="5"/>
    </w:p>
    <w:p w:rsidR="00B13104" w:rsidRPr="005668ED" w:rsidRDefault="00B13104" w:rsidP="00B13104">
      <w:pPr>
        <w:pStyle w:val="EPComma"/>
      </w:pPr>
      <w:bookmarkStart w:id="6" w:name="TextBodyBegin"/>
      <w:bookmarkEnd w:id="6"/>
      <w:r w:rsidRPr="00732F1A">
        <w:rPr>
          <w:i/>
          <w:iCs/>
        </w:rPr>
        <w:t>Europa-Parlamentet,</w:t>
      </w:r>
    </w:p>
    <w:p w:rsidR="00B13104" w:rsidRPr="008F40C7" w:rsidRDefault="00B13104" w:rsidP="00B13104">
      <w:pPr>
        <w:pStyle w:val="NormalHanging12a"/>
      </w:pPr>
      <w:r w:rsidRPr="008F40C7">
        <w:t>–</w:t>
      </w:r>
      <w:r w:rsidRPr="008F40C7">
        <w:tab/>
        <w:t>der henviser til udkast til Kommissionens gennemførelsesafgørelse om tilladelse til markedsføring af produkter, der indeholder, består af eller er fremstillet af genetisk modificeret MON 95275-majs, i henhold til Europa-Parlamentets og Rådets forordning (EF) nr. 1829/2003 (D102172/03),</w:t>
      </w:r>
    </w:p>
    <w:p w:rsidR="00B13104" w:rsidRPr="008F40C7" w:rsidRDefault="00B13104" w:rsidP="00B13104">
      <w:pPr>
        <w:pStyle w:val="NormalHanging12a"/>
      </w:pPr>
      <w:r w:rsidRPr="008F40C7">
        <w:t>–</w:t>
      </w:r>
      <w:r w:rsidRPr="008F40C7">
        <w:tab/>
        <w:t>der henviser til Europa-Parlamentets og Rådets forordning (EF) nr. 1829/2003 af 22. september 2003 om genetisk modificerede fødevarer og foderstoffer</w:t>
      </w:r>
      <w:r w:rsidRPr="00732F1A">
        <w:rPr>
          <w:rStyle w:val="FootnoteReference"/>
        </w:rPr>
        <w:footnoteReference w:id="1"/>
      </w:r>
      <w:r w:rsidRPr="00732F1A">
        <w:t>, særlig artikel 7, stk. 3, og</w:t>
      </w:r>
      <w:r w:rsidRPr="005668ED">
        <w:t xml:space="preserve"> artikel 19, stk. 3,</w:t>
      </w:r>
    </w:p>
    <w:p w:rsidR="00B13104" w:rsidRPr="008F40C7" w:rsidRDefault="00B13104" w:rsidP="00B13104">
      <w:pPr>
        <w:pStyle w:val="NormalHanging12a"/>
      </w:pPr>
      <w:r w:rsidRPr="008F40C7">
        <w:t>–</w:t>
      </w:r>
      <w:r w:rsidRPr="008F40C7">
        <w:tab/>
        <w:t>der henviser til afstemningen i Den Stående Komité for Planter, Dyr, Fødevarer og Foder, jf. artikel 35 i forordning (EF) nr. 1829/2003, den 22. november 2024, som ikke mundede ud i en udtalelse, og til afstemningen i appeludvalget den 17. december 2024, som heller ikke mundede ud i en udtalelse,</w:t>
      </w:r>
    </w:p>
    <w:p w:rsidR="00B13104" w:rsidRPr="005668ED" w:rsidRDefault="00B13104" w:rsidP="00B13104">
      <w:pPr>
        <w:pStyle w:val="NormalHanging12a"/>
      </w:pPr>
      <w:r w:rsidRPr="008F40C7">
        <w:t>–</w:t>
      </w:r>
      <w:r w:rsidRPr="008F40C7">
        <w:tab/>
        <w:t>der henviser til artikel 11 i Europa-Parlamentets og Rådets forordning (EU) nr. 182/2011 af 16. februar 2011 om de generelle regler og principper for, hvordan medlemsstaterne skal kontrollere Kommissionens udøvelse af gennemførelsesbeføjelser</w:t>
      </w:r>
      <w:r w:rsidRPr="00732F1A">
        <w:rPr>
          <w:rStyle w:val="FootnoteReference"/>
        </w:rPr>
        <w:footnoteReference w:id="2"/>
      </w:r>
      <w:r w:rsidRPr="00732F1A">
        <w:t xml:space="preserve">, </w:t>
      </w:r>
    </w:p>
    <w:p w:rsidR="00B13104" w:rsidRPr="005668ED" w:rsidRDefault="00B13104" w:rsidP="00B13104">
      <w:pPr>
        <w:pStyle w:val="NormalHanging12a"/>
      </w:pPr>
      <w:r w:rsidRPr="008F40C7">
        <w:t>–</w:t>
      </w:r>
      <w:r w:rsidRPr="008F40C7">
        <w:tab/>
        <w:t>der henviser til den udtalelse, der blev vedtaget af Den Europæiske Fødevaresikkerhedsautoritet (EFSA) den 19. juni 2024 og offentliggjort den 1. august 2024</w:t>
      </w:r>
      <w:r w:rsidRPr="00732F1A">
        <w:rPr>
          <w:rStyle w:val="FootnoteReference"/>
        </w:rPr>
        <w:footnoteReference w:id="3"/>
      </w:r>
      <w:r w:rsidRPr="00732F1A">
        <w:t>,</w:t>
      </w:r>
    </w:p>
    <w:p w:rsidR="00B13104" w:rsidRPr="00732F1A" w:rsidRDefault="00B13104" w:rsidP="00B13104">
      <w:pPr>
        <w:pStyle w:val="NormalHanging12a"/>
      </w:pPr>
      <w:r w:rsidRPr="008F40C7">
        <w:lastRenderedPageBreak/>
        <w:t>–</w:t>
      </w:r>
      <w:r w:rsidRPr="008F40C7">
        <w:tab/>
        <w:t>der henviser til sine tidligere beslutninger, hvori det gør indsigelse mod godkendelse af genetisk modificerede organismer ("GMO'er")</w:t>
      </w:r>
      <w:r w:rsidRPr="00732F1A">
        <w:rPr>
          <w:rStyle w:val="FootnoteReference"/>
        </w:rPr>
        <w:footnoteReference w:id="4"/>
      </w:r>
      <w:r w:rsidRPr="00732F1A">
        <w:t>,</w:t>
      </w:r>
    </w:p>
    <w:p w:rsidR="00B13104" w:rsidRPr="008F40C7" w:rsidRDefault="00B13104" w:rsidP="00B13104">
      <w:pPr>
        <w:pStyle w:val="NormalHanging12a"/>
      </w:pPr>
      <w:r w:rsidRPr="008F40C7">
        <w:t>–</w:t>
      </w:r>
      <w:r w:rsidRPr="008F40C7">
        <w:tab/>
        <w:t>der henviser til forretningsordenens artikel 115, stk. 2 og 3,</w:t>
      </w:r>
    </w:p>
    <w:p w:rsidR="00B13104" w:rsidRPr="008F40C7" w:rsidRDefault="00B13104" w:rsidP="00B13104">
      <w:pPr>
        <w:pStyle w:val="NormalHanging12a"/>
      </w:pPr>
      <w:r w:rsidRPr="008F40C7">
        <w:t>–</w:t>
      </w:r>
      <w:r w:rsidRPr="008F40C7">
        <w:tab/>
        <w:t xml:space="preserve">der henviser til forslag til beslutning fra Udvalget om Miljø, </w:t>
      </w:r>
      <w:r w:rsidR="00942B94" w:rsidRPr="008F40C7">
        <w:t xml:space="preserve">Klima </w:t>
      </w:r>
      <w:r w:rsidRPr="008F40C7">
        <w:t>og Fødevaresikkerhed,</w:t>
      </w:r>
    </w:p>
    <w:p w:rsidR="00B13104" w:rsidRPr="008F40C7" w:rsidRDefault="00B13104" w:rsidP="00B13104">
      <w:pPr>
        <w:pStyle w:val="NormalHanging12a"/>
        <w:tabs>
          <w:tab w:val="left" w:pos="0"/>
        </w:tabs>
        <w:suppressAutoHyphens/>
        <w:rPr>
          <w:szCs w:val="24"/>
        </w:rPr>
      </w:pPr>
      <w:r w:rsidRPr="008F40C7">
        <w:lastRenderedPageBreak/>
        <w:t>A.</w:t>
      </w:r>
      <w:r w:rsidRPr="008F40C7">
        <w:tab/>
        <w:t xml:space="preserve">der henviser til, at Bayer </w:t>
      </w:r>
      <w:proofErr w:type="spellStart"/>
      <w:r w:rsidRPr="008F40C7">
        <w:t>Agriculture</w:t>
      </w:r>
      <w:proofErr w:type="spellEnd"/>
      <w:r w:rsidRPr="008F40C7">
        <w:t xml:space="preserve"> B.V., med hjemsted i Belgien, på vegne af Bayer </w:t>
      </w:r>
      <w:proofErr w:type="spellStart"/>
      <w:r w:rsidRPr="008F40C7">
        <w:t>CropScience</w:t>
      </w:r>
      <w:proofErr w:type="spellEnd"/>
      <w:r w:rsidRPr="008F40C7">
        <w:t xml:space="preserve"> LP, med hjemsted i USA, den 29. april 2022 indgav en ansøgning til Nederlandenes nationale kompetente myndighed om tilladelse til markedsføring af fødevarer, fødevareingredienser og foderstoffer, der indeholder, består af eller er fremstillet af genetisk modificeret MON 95275-majs ("GM-majs");</w:t>
      </w:r>
    </w:p>
    <w:p w:rsidR="00B13104" w:rsidRPr="008F40C7" w:rsidRDefault="00B13104" w:rsidP="00B13104">
      <w:pPr>
        <w:pStyle w:val="NormalHanging12a"/>
        <w:tabs>
          <w:tab w:val="left" w:pos="0"/>
        </w:tabs>
        <w:suppressAutoHyphens/>
        <w:rPr>
          <w:szCs w:val="24"/>
        </w:rPr>
      </w:pPr>
      <w:r w:rsidRPr="008F40C7">
        <w:t>B.</w:t>
      </w:r>
      <w:r w:rsidRPr="008F40C7">
        <w:tab/>
        <w:t xml:space="preserve">der henviser til, at GM-majsen producerer to insektdræbende proteiner (Mpp75Aa1 og Vpb4Da2) og udtrykker en DvSnf7 </w:t>
      </w:r>
      <w:proofErr w:type="spellStart"/>
      <w:r w:rsidRPr="008F40C7">
        <w:t>dsRNA</w:t>
      </w:r>
      <w:proofErr w:type="spellEnd"/>
      <w:r w:rsidRPr="008F40C7">
        <w:t xml:space="preserve">, der anvendes mod </w:t>
      </w:r>
      <w:proofErr w:type="spellStart"/>
      <w:r w:rsidRPr="008F40C7">
        <w:t>majsrodbille</w:t>
      </w:r>
      <w:proofErr w:type="spellEnd"/>
      <w:r w:rsidRPr="008F40C7">
        <w:t xml:space="preserve">; der henviser til, at den genetiske modifikation involverer en </w:t>
      </w:r>
      <w:proofErr w:type="spellStart"/>
      <w:r w:rsidRPr="008F40C7">
        <w:t>totrinsproces</w:t>
      </w:r>
      <w:proofErr w:type="spellEnd"/>
      <w:r w:rsidRPr="008F40C7">
        <w:t xml:space="preserve">, der omfatter en </w:t>
      </w:r>
      <w:proofErr w:type="spellStart"/>
      <w:r w:rsidRPr="008F40C7">
        <w:t>agrobacterium</w:t>
      </w:r>
      <w:proofErr w:type="spellEnd"/>
      <w:r w:rsidRPr="008F40C7">
        <w:t xml:space="preserve"> </w:t>
      </w:r>
      <w:proofErr w:type="spellStart"/>
      <w:r w:rsidRPr="008F40C7">
        <w:t>tumefaciens</w:t>
      </w:r>
      <w:proofErr w:type="spellEnd"/>
      <w:r w:rsidRPr="008F40C7">
        <w:t xml:space="preserve">-medieret transformation og et </w:t>
      </w:r>
      <w:proofErr w:type="spellStart"/>
      <w:r w:rsidRPr="008F40C7">
        <w:t>Cre</w:t>
      </w:r>
      <w:proofErr w:type="spellEnd"/>
      <w:r w:rsidRPr="008F40C7">
        <w:t>/</w:t>
      </w:r>
      <w:proofErr w:type="spellStart"/>
      <w:r w:rsidRPr="008F40C7">
        <w:t>lox-rekombinationssystem</w:t>
      </w:r>
      <w:proofErr w:type="spellEnd"/>
      <w:r w:rsidRPr="008F40C7">
        <w:t xml:space="preserve"> til fjernelse af selektive markører;</w:t>
      </w:r>
    </w:p>
    <w:p w:rsidR="00B13104" w:rsidRPr="008F40C7" w:rsidRDefault="00B13104" w:rsidP="00B13104">
      <w:pPr>
        <w:pStyle w:val="NormalHanging12a"/>
        <w:tabs>
          <w:tab w:val="left" w:pos="0"/>
        </w:tabs>
        <w:suppressAutoHyphens/>
        <w:rPr>
          <w:szCs w:val="24"/>
        </w:rPr>
      </w:pPr>
      <w:r w:rsidRPr="008F40C7">
        <w:t>C.</w:t>
      </w:r>
      <w:r w:rsidRPr="008F40C7">
        <w:tab/>
        <w:t xml:space="preserve">der henviser til, at EFSA den 19. juni 2024 vedtog en positiv udtalelse, som blev offentliggjort den 1. august 2024 vedrørende MON 95275; der henviser til, at </w:t>
      </w:r>
      <w:proofErr w:type="spellStart"/>
      <w:r w:rsidRPr="008F40C7">
        <w:t>EFSA's</w:t>
      </w:r>
      <w:proofErr w:type="spellEnd"/>
      <w:r w:rsidRPr="008F40C7">
        <w:t xml:space="preserve"> udtalelse ikke giver tilstrækkelige data til at bedømme utilsigtede genetiske virkninger, den biologiske aktivitet af "</w:t>
      </w:r>
      <w:proofErr w:type="spellStart"/>
      <w:r w:rsidRPr="008F40C7">
        <w:t>read</w:t>
      </w:r>
      <w:proofErr w:type="spellEnd"/>
      <w:r w:rsidRPr="008F40C7">
        <w:t>-</w:t>
      </w:r>
      <w:proofErr w:type="spellStart"/>
      <w:r w:rsidRPr="008F40C7">
        <w:t>through</w:t>
      </w:r>
      <w:proofErr w:type="spellEnd"/>
      <w:r w:rsidRPr="008F40C7">
        <w:t xml:space="preserve">"-sekvenser og potentielle utilsigtede virkninger på organismer uden for målgruppen; </w:t>
      </w:r>
    </w:p>
    <w:p w:rsidR="00B13104" w:rsidRPr="008F40C7" w:rsidRDefault="00B13104" w:rsidP="00B13104">
      <w:pPr>
        <w:pStyle w:val="NormalHanging12a"/>
        <w:tabs>
          <w:tab w:val="left" w:pos="0"/>
        </w:tabs>
        <w:suppressAutoHyphens/>
        <w:rPr>
          <w:szCs w:val="24"/>
        </w:rPr>
      </w:pPr>
      <w:r w:rsidRPr="008F40C7">
        <w:t>D.</w:t>
      </w:r>
      <w:r w:rsidRPr="008F40C7">
        <w:tab/>
        <w:t>der henviser til, at de feltforsøg, som ansøgeren gennemførte, ikke tog højde for forskellige miljømæssige stressforhold eller varierende landbrugspraksis, hvilket begrænser resultaternes relevans for de europæiske dyrkningsmiljøer;</w:t>
      </w:r>
    </w:p>
    <w:p w:rsidR="00B13104" w:rsidRPr="008F40C7" w:rsidRDefault="00B13104" w:rsidP="00B13104">
      <w:pPr>
        <w:pStyle w:val="NormalHanging12a"/>
        <w:tabs>
          <w:tab w:val="left" w:pos="0"/>
        </w:tabs>
        <w:suppressAutoHyphens/>
        <w:rPr>
          <w:szCs w:val="24"/>
        </w:rPr>
      </w:pPr>
      <w:r w:rsidRPr="008F40C7">
        <w:t>E.</w:t>
      </w:r>
      <w:r w:rsidRPr="008F40C7">
        <w:tab/>
        <w:t xml:space="preserve">der henviser til, at </w:t>
      </w:r>
      <w:proofErr w:type="spellStart"/>
      <w:r w:rsidRPr="008F40C7">
        <w:t>RNAi</w:t>
      </w:r>
      <w:proofErr w:type="spellEnd"/>
      <w:r w:rsidRPr="008F40C7">
        <w:t xml:space="preserve">-konstruktionen DvSnf7 </w:t>
      </w:r>
      <w:proofErr w:type="spellStart"/>
      <w:r w:rsidRPr="008F40C7">
        <w:t>dsRNA</w:t>
      </w:r>
      <w:proofErr w:type="spellEnd"/>
      <w:r w:rsidRPr="008F40C7">
        <w:t xml:space="preserve"> giver anledning til bekymring over virkningerne på organismer uden for målgruppen;</w:t>
      </w:r>
    </w:p>
    <w:p w:rsidR="00B13104" w:rsidRPr="008F40C7" w:rsidRDefault="00B13104" w:rsidP="00B13104">
      <w:pPr>
        <w:pStyle w:val="NormalHanging12a"/>
        <w:tabs>
          <w:tab w:val="left" w:pos="0"/>
        </w:tabs>
        <w:suppressAutoHyphens/>
        <w:rPr>
          <w:szCs w:val="24"/>
        </w:rPr>
      </w:pPr>
      <w:r w:rsidRPr="008F40C7">
        <w:t>F.</w:t>
      </w:r>
      <w:r w:rsidRPr="008F40C7">
        <w:tab/>
        <w:t>der henviser til, at de insektdræbende proteiner Mpp75Aa1 og Vpb4Da2 har strukturelle ligheder med kendte toksiner og mangler tilstrækkelig vurdering af deres specificitet, immunrespons og kombinatoriske virkninger;</w:t>
      </w:r>
    </w:p>
    <w:p w:rsidR="00B13104" w:rsidRPr="008F40C7" w:rsidRDefault="00B13104" w:rsidP="00B13104">
      <w:pPr>
        <w:pStyle w:val="NormalHanging12a"/>
        <w:tabs>
          <w:tab w:val="left" w:pos="0"/>
        </w:tabs>
        <w:suppressAutoHyphens/>
        <w:rPr>
          <w:szCs w:val="24"/>
        </w:rPr>
      </w:pPr>
      <w:r w:rsidRPr="008F40C7">
        <w:t>G.</w:t>
      </w:r>
      <w:r w:rsidRPr="008F40C7">
        <w:tab/>
        <w:t xml:space="preserve">der henviser til, at potentialet for </w:t>
      </w:r>
      <w:proofErr w:type="spellStart"/>
      <w:r w:rsidRPr="008F40C7">
        <w:t>genflow</w:t>
      </w:r>
      <w:proofErr w:type="spellEnd"/>
      <w:r w:rsidRPr="008F40C7">
        <w:t xml:space="preserve"> til vilde slægtninge, herunder europæiske </w:t>
      </w:r>
      <w:proofErr w:type="spellStart"/>
      <w:r w:rsidRPr="008F40C7">
        <w:t>teosinte</w:t>
      </w:r>
      <w:proofErr w:type="spellEnd"/>
      <w:r w:rsidRPr="008F40C7">
        <w:t xml:space="preserve">-bestande, udgør en risiko for </w:t>
      </w:r>
      <w:proofErr w:type="spellStart"/>
      <w:r w:rsidRPr="008F40C7">
        <w:t>transgenpersistens</w:t>
      </w:r>
      <w:proofErr w:type="spellEnd"/>
      <w:r w:rsidRPr="008F40C7">
        <w:t xml:space="preserve"> og økologisk ubalance;</w:t>
      </w:r>
    </w:p>
    <w:p w:rsidR="00B13104" w:rsidRPr="005668ED" w:rsidRDefault="00B13104" w:rsidP="00B13104">
      <w:pPr>
        <w:pStyle w:val="NormalHanging12a"/>
        <w:tabs>
          <w:tab w:val="left" w:pos="0"/>
        </w:tabs>
        <w:suppressAutoHyphens/>
        <w:rPr>
          <w:szCs w:val="24"/>
        </w:rPr>
      </w:pPr>
      <w:r w:rsidRPr="008F40C7">
        <w:t>H.</w:t>
      </w:r>
      <w:r w:rsidRPr="008F40C7">
        <w:tab/>
        <w:t>der henviser til, at der ikke er taget tilstrækkeligt hensyn til overvågningskravene i Kommissionens gennemførelsesforordning (EU) nr. 503/2013</w:t>
      </w:r>
      <w:r w:rsidRPr="00732F1A">
        <w:rPr>
          <w:rStyle w:val="FootnoteReference"/>
          <w:szCs w:val="24"/>
        </w:rPr>
        <w:footnoteReference w:id="5"/>
      </w:r>
      <w:r w:rsidRPr="00732F1A">
        <w:t>, navnlig med hensyn til uafhængig dataverifikation og langsigtede miljøvirkninger;</w:t>
      </w:r>
    </w:p>
    <w:p w:rsidR="00B13104" w:rsidRPr="008F40C7" w:rsidRDefault="00B13104" w:rsidP="00B13104">
      <w:pPr>
        <w:pStyle w:val="NormalHanging12a"/>
        <w:tabs>
          <w:tab w:val="left" w:pos="0"/>
        </w:tabs>
        <w:suppressAutoHyphens/>
        <w:rPr>
          <w:szCs w:val="24"/>
        </w:rPr>
      </w:pPr>
      <w:r w:rsidRPr="008F40C7">
        <w:t>I.</w:t>
      </w:r>
      <w:r w:rsidRPr="008F40C7">
        <w:tab/>
        <w:t xml:space="preserve">der henviser til, at </w:t>
      </w:r>
      <w:proofErr w:type="spellStart"/>
      <w:r w:rsidRPr="008F40C7">
        <w:t>EFSA's</w:t>
      </w:r>
      <w:proofErr w:type="spellEnd"/>
      <w:r w:rsidRPr="008F40C7">
        <w:t xml:space="preserve"> vurdering ikke i tilstrækkelig grad tog hensyn til den rolle, som </w:t>
      </w:r>
      <w:proofErr w:type="spellStart"/>
      <w:r w:rsidRPr="008F40C7">
        <w:t>mikrobiomers</w:t>
      </w:r>
      <w:proofErr w:type="spellEnd"/>
      <w:r w:rsidRPr="008F40C7">
        <w:t xml:space="preserve"> interaktioner eller kumulative toksicitetsvirkninger på organismer uden for målgruppen spiller;</w:t>
      </w:r>
    </w:p>
    <w:p w:rsidR="00B13104" w:rsidRPr="008F40C7" w:rsidRDefault="00B13104" w:rsidP="00B13104">
      <w:pPr>
        <w:pStyle w:val="NormalHanging12a"/>
        <w:tabs>
          <w:tab w:val="left" w:pos="0"/>
        </w:tabs>
        <w:suppressAutoHyphens/>
        <w:rPr>
          <w:szCs w:val="24"/>
        </w:rPr>
      </w:pPr>
      <w:r w:rsidRPr="008F40C7">
        <w:t>J.</w:t>
      </w:r>
      <w:r w:rsidRPr="008F40C7">
        <w:tab/>
        <w:t>der henviser til, at anvendelsen af insektdræbende genmodificerede afgrøder fører til, at organismer i og uden for målgruppen kontinuerligt eksponeres for toksiner, mens eksponeringen ved anvendelse af insekticider i modsætning hertil finder sted på sprøjtningstidspunktet og i et begrænset tidsrum derefter;</w:t>
      </w:r>
    </w:p>
    <w:p w:rsidR="00B13104" w:rsidRPr="008F40C7" w:rsidRDefault="00B13104" w:rsidP="00B13104">
      <w:pPr>
        <w:pStyle w:val="NormalHanging12a"/>
        <w:rPr>
          <w:b/>
          <w:i/>
          <w:szCs w:val="24"/>
        </w:rPr>
      </w:pPr>
      <w:r w:rsidRPr="008F40C7">
        <w:rPr>
          <w:b/>
          <w:i/>
        </w:rPr>
        <w:lastRenderedPageBreak/>
        <w:t>Bemærkninger fra medlemsstater og interessenter</w:t>
      </w:r>
    </w:p>
    <w:p w:rsidR="00B13104" w:rsidRPr="008F40C7" w:rsidRDefault="00B13104" w:rsidP="00B13104">
      <w:pPr>
        <w:pStyle w:val="NormalHanging12a"/>
        <w:tabs>
          <w:tab w:val="left" w:pos="0"/>
        </w:tabs>
        <w:suppressAutoHyphens/>
        <w:rPr>
          <w:szCs w:val="24"/>
        </w:rPr>
      </w:pPr>
      <w:r w:rsidRPr="008F40C7">
        <w:t>K.</w:t>
      </w:r>
      <w:r w:rsidRPr="008F40C7">
        <w:tab/>
        <w:t>der henviser til, at medlemsstaterne indsendte mange kritiske bemærkninger til EFSA i løbet af høringsperioden på tre måneder</w:t>
      </w:r>
      <w:r w:rsidRPr="00732F1A">
        <w:rPr>
          <w:rStyle w:val="FootnoteReference"/>
          <w:szCs w:val="24"/>
        </w:rPr>
        <w:footnoteReference w:id="6"/>
      </w:r>
      <w:r w:rsidRPr="00732F1A">
        <w:t>, herunder kritik af, at listen over relevante undersøgelser i ansøgerens litteraturgennemgang ikke omfattede undersøgelser af, hvad der videre sker med insektdræbende proteiner i miljøet, eller af potentiel</w:t>
      </w:r>
      <w:r w:rsidRPr="005668ED">
        <w:t xml:space="preserve">le virkninger af afgrøderester på organismer uden for målgruppen; </w:t>
      </w:r>
    </w:p>
    <w:p w:rsidR="00B13104" w:rsidRPr="008F40C7" w:rsidRDefault="00B13104" w:rsidP="00B13104">
      <w:pPr>
        <w:pStyle w:val="NormalHanging12a"/>
        <w:tabs>
          <w:tab w:val="left" w:pos="0"/>
        </w:tabs>
        <w:suppressAutoHyphens/>
        <w:rPr>
          <w:szCs w:val="24"/>
        </w:rPr>
      </w:pPr>
      <w:r w:rsidRPr="008F40C7">
        <w:t>L.</w:t>
      </w:r>
      <w:r w:rsidRPr="008F40C7">
        <w:tab/>
        <w:t>der henviser til, at Parlamentet i sin ottende</w:t>
      </w:r>
      <w:r w:rsidR="00702675" w:rsidRPr="008F40C7">
        <w:t xml:space="preserve"> </w:t>
      </w:r>
      <w:r w:rsidRPr="008F40C7">
        <w:t>valgperiode vedtog i alt 36 beslutninger, hvori der blev gjort indsigelse mod markedsføring af GMO'er til fødevarer og foderstoffer (33 beslutninger) og mod dyrkning af GMO'er i Unionen (3 beslutninger); der henviser til, at Parlamentet i sin niende valgperiode vedtog 38 beslutninger, hvori det gjorde indsigelse mod markedsføring af GMO'er, og at det har vedtaget yderligere 8 beslutninger om indsigelse mod markedsføring af GMO'er allerede i indeværende tiende valgperiode;</w:t>
      </w:r>
    </w:p>
    <w:p w:rsidR="00B13104" w:rsidRDefault="00B13104" w:rsidP="00B13104">
      <w:pPr>
        <w:pStyle w:val="NormalHanging12a"/>
        <w:tabs>
          <w:tab w:val="left" w:pos="0"/>
        </w:tabs>
        <w:suppressAutoHyphens/>
      </w:pPr>
      <w:r w:rsidRPr="008F40C7">
        <w:t>M.</w:t>
      </w:r>
      <w:r w:rsidRPr="008F40C7">
        <w:tab/>
        <w:t>der henviser til, at Kommissionen – trods sin egen erkendelse af de demokratiske mangler, medlemsstaternes manglende støtte og Parlamentets indsigelser – fortsat giver tilladelse til GMO'er;</w:t>
      </w:r>
    </w:p>
    <w:p w:rsidR="00514CBE" w:rsidRPr="008F40C7" w:rsidRDefault="00514CBE" w:rsidP="00B13104">
      <w:pPr>
        <w:pStyle w:val="NormalHanging12a"/>
        <w:tabs>
          <w:tab w:val="left" w:pos="0"/>
        </w:tabs>
        <w:suppressAutoHyphens/>
        <w:rPr>
          <w:szCs w:val="24"/>
        </w:rPr>
      </w:pPr>
      <w:r>
        <w:rPr>
          <w:szCs w:val="24"/>
        </w:rPr>
        <w:t>N</w:t>
      </w:r>
      <w:r w:rsidRPr="00514CBE">
        <w:rPr>
          <w:szCs w:val="24"/>
        </w:rPr>
        <w:t>.</w:t>
      </w:r>
      <w:r w:rsidRPr="00514CBE">
        <w:rPr>
          <w:szCs w:val="24"/>
        </w:rPr>
        <w:tab/>
        <w:t xml:space="preserve">der henviser til, at handelsaftalen mellem EU og </w:t>
      </w:r>
      <w:proofErr w:type="spellStart"/>
      <w:r w:rsidRPr="00514CBE">
        <w:rPr>
          <w:szCs w:val="24"/>
        </w:rPr>
        <w:t>Mercosur</w:t>
      </w:r>
      <w:proofErr w:type="spellEnd"/>
      <w:r w:rsidRPr="00514CBE">
        <w:rPr>
          <w:szCs w:val="24"/>
        </w:rPr>
        <w:t xml:space="preserve"> vil tilskynde til import til Unionen af fødevarer og foderstoffer, der indeholder, består af eller er fremstillet af genetisk modificerede organismer; der henviser til, at Brasilien og Argentina er blandt verdens største producenter af GMO'er og brugere af pesticider, herunder GMO'er og pesticider, der er forbudt i Unionen af sundheds- eller miljømæssige årsager;</w:t>
      </w:r>
      <w:bookmarkStart w:id="7" w:name="_GoBack"/>
      <w:bookmarkEnd w:id="7"/>
    </w:p>
    <w:p w:rsidR="00B13104" w:rsidRPr="008F40C7" w:rsidRDefault="00B13104" w:rsidP="00B13104">
      <w:pPr>
        <w:pStyle w:val="NormalHanging12a"/>
        <w:rPr>
          <w:szCs w:val="24"/>
        </w:rPr>
      </w:pPr>
      <w:r w:rsidRPr="008F40C7">
        <w:t>1.</w:t>
      </w:r>
      <w:r w:rsidRPr="008F40C7">
        <w:tab/>
        <w:t>mener, at udkastet til Kommissionens gennemførelsesafgørelse indebærer en overskridelse af de gennemførelsesbeføjelser, der er fastsat i forordning (EF) nr. 1829/2003;</w:t>
      </w:r>
    </w:p>
    <w:p w:rsidR="00B13104" w:rsidRPr="008F40C7" w:rsidRDefault="00B13104" w:rsidP="00B13104">
      <w:pPr>
        <w:pStyle w:val="NormalHanging12a"/>
        <w:rPr>
          <w:szCs w:val="24"/>
        </w:rPr>
      </w:pPr>
      <w:r w:rsidRPr="008F40C7">
        <w:t>2.</w:t>
      </w:r>
      <w:r w:rsidRPr="008F40C7">
        <w:tab/>
        <w:t>mener, at udkastet til Kommissionens gennemførelsesafgørelse ikke er i overensstemmelse med EU-retten, idet det ikke er foreneligt med målet for forordning (EF) nr. 1829/2003, som i overensstemmelse med de generelle principper, der er fastlagt i Europa-Parlamentets og Rådets forordning (EF) nr. 178/2002</w:t>
      </w:r>
      <w:r w:rsidRPr="00732F1A">
        <w:rPr>
          <w:rStyle w:val="FootnoteReference"/>
          <w:szCs w:val="24"/>
        </w:rPr>
        <w:footnoteReference w:id="7"/>
      </w:r>
      <w:r w:rsidRPr="00732F1A">
        <w:t>, er at skab</w:t>
      </w:r>
      <w:r w:rsidRPr="005668ED">
        <w:t>e et grundlag for at sikre et højt niveau for beskyttelse af menneskers liv og sundhed, af dyrs sundhed og velfærd, af miljøet samt af forbrugernes interesser i relation til genmodificerede fødevarer og ‑foderstoffer, samtidig med at det sikres, at det ind</w:t>
      </w:r>
      <w:r w:rsidRPr="008F40C7">
        <w:t>re marked fungerer tilfredsstillende;</w:t>
      </w:r>
    </w:p>
    <w:p w:rsidR="00B13104" w:rsidRPr="008F40C7" w:rsidRDefault="00B13104" w:rsidP="00B13104">
      <w:pPr>
        <w:pStyle w:val="NormalHanging12a"/>
        <w:rPr>
          <w:szCs w:val="24"/>
        </w:rPr>
      </w:pPr>
      <w:r w:rsidRPr="008F40C7">
        <w:t>3.</w:t>
      </w:r>
      <w:r w:rsidRPr="008F40C7">
        <w:tab/>
        <w:t>anmoder Kommissionen om at trække udkastet til gennemførelsesafgørelse tilbage og forelægge udvalget et nyt udkast;</w:t>
      </w:r>
    </w:p>
    <w:p w:rsidR="00B13104" w:rsidRPr="008F40C7" w:rsidRDefault="00B13104" w:rsidP="00B13104">
      <w:pPr>
        <w:pStyle w:val="NormalHanging12a"/>
        <w:rPr>
          <w:szCs w:val="24"/>
        </w:rPr>
      </w:pPr>
      <w:r w:rsidRPr="008F40C7">
        <w:t>4.</w:t>
      </w:r>
      <w:r w:rsidRPr="008F40C7">
        <w:tab/>
        <w:t xml:space="preserve">opfordrer Kommissionen til, ved forhandlinger om frihandelsaftaler, at sikre konvergens med hensyn til standarder i Unionen og hos dens partnere med henblik på at tilgodese </w:t>
      </w:r>
      <w:r w:rsidRPr="008F40C7">
        <w:lastRenderedPageBreak/>
        <w:t>Unionens sikkerhedsstandarder;</w:t>
      </w:r>
    </w:p>
    <w:p w:rsidR="00B13104" w:rsidRPr="008F40C7" w:rsidRDefault="00B13104" w:rsidP="00B13104">
      <w:pPr>
        <w:pStyle w:val="NormalHanging12a"/>
        <w:rPr>
          <w:szCs w:val="24"/>
        </w:rPr>
      </w:pPr>
      <w:r w:rsidRPr="008F40C7">
        <w:t>5.</w:t>
      </w:r>
      <w:r w:rsidRPr="008F40C7">
        <w:tab/>
        <w:t>opfordrer Kommissionen til ikke at godkende genmodificerede afgrøder på grund af risici for biodiversiteten, fødevaresikkerheden og arbejdstagernes sundhed i overensstemmelse med One Health-modellen;</w:t>
      </w:r>
    </w:p>
    <w:p w:rsidR="00B13104" w:rsidRPr="00732F1A" w:rsidRDefault="00B13104" w:rsidP="00B13104">
      <w:pPr>
        <w:pStyle w:val="NormalHanging12a"/>
        <w:rPr>
          <w:szCs w:val="24"/>
        </w:rPr>
      </w:pPr>
      <w:r w:rsidRPr="008F40C7">
        <w:t>6.</w:t>
      </w:r>
      <w:r w:rsidRPr="008F40C7">
        <w:tab/>
        <w:t>glæder sig over, at Kommissionen i en skrivelse af 11. september 2020 til medlemmerne endelig anerkendte behovet for at tage højde for bæredygtighed, når det gælder afgørelser om tilladelse til GMO'er</w:t>
      </w:r>
      <w:r w:rsidRPr="00732F1A">
        <w:rPr>
          <w:rStyle w:val="FootnoteReference"/>
          <w:szCs w:val="24"/>
        </w:rPr>
        <w:footnoteReference w:id="8"/>
      </w:r>
      <w:r w:rsidRPr="00732F1A">
        <w:t>; udtrykker imidlertid sin dybe skuffelse over, at Kommissionen siden da er fortsat med at give tilladelse til import af GMO'er til Unionen, selv om Parlamentet løbende har gjort indsigelse, og et flertal af medlemsstaterne har stemt imod;</w:t>
      </w:r>
    </w:p>
    <w:p w:rsidR="00B13104" w:rsidRPr="00732F1A" w:rsidRDefault="00B13104" w:rsidP="00B13104">
      <w:pPr>
        <w:pStyle w:val="NormalHanging12a"/>
        <w:rPr>
          <w:szCs w:val="24"/>
        </w:rPr>
      </w:pPr>
      <w:r w:rsidRPr="008F40C7">
        <w:t>7.</w:t>
      </w:r>
      <w:r w:rsidRPr="008F40C7">
        <w:tab/>
        <w:t>opfordrer på ny indtrængende Kommissionen til at tage hensyn til Unionens forpligtelser i henhold til internationale aftaler såsom klimaaftalen fra Paris, De Forenede Nationers biodiversitetskonvention og De Forenede Nationers verdensmål for bæredygtig udvikling; gentager sin opfordring til, at udkast til gennemførelsesretsakter ledsages af en begrundelse, der forklarer, hvordan de overholder princippet om "ikke at gøre skade"</w:t>
      </w:r>
      <w:r w:rsidRPr="00732F1A">
        <w:rPr>
          <w:rStyle w:val="FootnoteReference"/>
          <w:szCs w:val="24"/>
        </w:rPr>
        <w:footnoteReference w:id="9"/>
      </w:r>
      <w:r w:rsidRPr="00732F1A">
        <w:t xml:space="preserve">; </w:t>
      </w:r>
    </w:p>
    <w:p w:rsidR="00E365E1" w:rsidRPr="008F40C7" w:rsidRDefault="00B13104" w:rsidP="008F40C7">
      <w:pPr>
        <w:ind w:left="567" w:hanging="567"/>
      </w:pPr>
      <w:r w:rsidRPr="005668ED">
        <w:t>8.</w:t>
      </w:r>
      <w:r w:rsidRPr="005668ED">
        <w:tab/>
        <w:t>pålægger sin formand at sende denne beslutning til Rådet og Kommissionen samt til med</w:t>
      </w:r>
      <w:r w:rsidRPr="008F40C7">
        <w:t>lemsstaternes regeringer og parlamenter.</w:t>
      </w:r>
    </w:p>
    <w:sectPr w:rsidR="00E365E1" w:rsidRPr="008F40C7" w:rsidSect="000B625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938" w:rsidRPr="000B6256" w:rsidRDefault="00720938">
      <w:r w:rsidRPr="000B6256">
        <w:separator/>
      </w:r>
    </w:p>
  </w:endnote>
  <w:endnote w:type="continuationSeparator" w:id="0">
    <w:p w:rsidR="00720938" w:rsidRPr="000B6256" w:rsidRDefault="00720938">
      <w:r w:rsidRPr="000B62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a??f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25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25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2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938" w:rsidRPr="000B6256" w:rsidRDefault="00720938">
      <w:r w:rsidRPr="000B6256">
        <w:separator/>
      </w:r>
    </w:p>
  </w:footnote>
  <w:footnote w:type="continuationSeparator" w:id="0">
    <w:p w:rsidR="00720938" w:rsidRPr="000B6256" w:rsidRDefault="00720938">
      <w:r w:rsidRPr="000B6256">
        <w:continuationSeparator/>
      </w:r>
    </w:p>
  </w:footnote>
  <w:footnote w:id="1">
    <w:p w:rsidR="00B13104" w:rsidRPr="000B6256" w:rsidRDefault="00B13104" w:rsidP="000B6256">
      <w:pPr>
        <w:pStyle w:val="FootnoteText"/>
        <w:ind w:left="567" w:hanging="567"/>
        <w:rPr>
          <w:color w:val="000000" w:themeColor="text1"/>
          <w:sz w:val="24"/>
          <w:lang w:val="da-DK"/>
        </w:rPr>
      </w:pPr>
      <w:r w:rsidRPr="000B6256">
        <w:rPr>
          <w:rStyle w:val="Funotenzeichen"/>
          <w:color w:val="000000" w:themeColor="text1"/>
          <w:sz w:val="24"/>
          <w:lang w:val="da-DK"/>
        </w:rPr>
        <w:footnoteRef/>
      </w:r>
      <w:r w:rsidR="000B6256" w:rsidRPr="000B6256">
        <w:rPr>
          <w:color w:val="000000" w:themeColor="text1"/>
          <w:sz w:val="24"/>
          <w:lang w:val="da-DK"/>
        </w:rPr>
        <w:t xml:space="preserve"> </w:t>
      </w:r>
      <w:r w:rsidR="000B6256" w:rsidRPr="000B6256">
        <w:rPr>
          <w:color w:val="000000" w:themeColor="text1"/>
          <w:sz w:val="24"/>
          <w:lang w:val="da-DK"/>
        </w:rPr>
        <w:tab/>
      </w:r>
      <w:r w:rsidRPr="000B6256">
        <w:rPr>
          <w:color w:val="000000" w:themeColor="text1"/>
          <w:sz w:val="24"/>
          <w:lang w:val="da-DK"/>
        </w:rPr>
        <w:t>EUT L 268 af 18.10.2003, s. 1, ELI: </w:t>
      </w:r>
      <w:hyperlink r:id="rId1" w:history="1">
        <w:r w:rsidRPr="000B6256">
          <w:rPr>
            <w:rStyle w:val="Hyperlink"/>
            <w:sz w:val="24"/>
            <w:lang w:val="da-DK"/>
          </w:rPr>
          <w:t>http://data.europa.eu/eli/reg/2003/1829/oj</w:t>
        </w:r>
      </w:hyperlink>
      <w:r w:rsidRPr="000B6256">
        <w:rPr>
          <w:sz w:val="24"/>
          <w:lang w:val="da-DK"/>
        </w:rPr>
        <w:t>.</w:t>
      </w:r>
    </w:p>
  </w:footnote>
  <w:footnote w:id="2">
    <w:p w:rsidR="00B13104" w:rsidRPr="000B6256" w:rsidRDefault="00B13104" w:rsidP="000B6256">
      <w:pPr>
        <w:pStyle w:val="FootnoteText"/>
        <w:ind w:left="567" w:hanging="567"/>
        <w:rPr>
          <w:color w:val="000000" w:themeColor="text1"/>
          <w:sz w:val="24"/>
          <w:lang w:val="da-DK"/>
        </w:rPr>
      </w:pPr>
      <w:r w:rsidRPr="000B6256">
        <w:rPr>
          <w:rStyle w:val="Funotenzeichen"/>
          <w:color w:val="000000" w:themeColor="text1"/>
          <w:sz w:val="24"/>
          <w:lang w:val="da-DK"/>
        </w:rPr>
        <w:footnoteRef/>
      </w:r>
      <w:r w:rsidR="000B6256" w:rsidRPr="000B6256">
        <w:rPr>
          <w:color w:val="000000" w:themeColor="text1"/>
          <w:sz w:val="24"/>
          <w:lang w:val="da-DK"/>
        </w:rPr>
        <w:t xml:space="preserve"> </w:t>
      </w:r>
      <w:r w:rsidR="000B6256" w:rsidRPr="000B6256">
        <w:rPr>
          <w:color w:val="000000" w:themeColor="text1"/>
          <w:sz w:val="24"/>
          <w:lang w:val="da-DK"/>
        </w:rPr>
        <w:tab/>
      </w:r>
      <w:r w:rsidRPr="000B6256">
        <w:rPr>
          <w:color w:val="000000" w:themeColor="text1"/>
          <w:sz w:val="24"/>
          <w:lang w:val="da-DK"/>
        </w:rPr>
        <w:t>EUT L 55 af 28.2.2011, s. 13, ELI</w:t>
      </w:r>
      <w:r w:rsidRPr="000B6256">
        <w:rPr>
          <w:rStyle w:val="Hyperlink"/>
          <w:color w:val="000000" w:themeColor="text1"/>
          <w:sz w:val="24"/>
          <w:lang w:val="da-DK"/>
        </w:rPr>
        <w:t xml:space="preserve">: </w:t>
      </w:r>
      <w:hyperlink r:id="rId2" w:history="1">
        <w:r w:rsidRPr="000B6256">
          <w:rPr>
            <w:rStyle w:val="Hyperlink"/>
            <w:color w:val="000000" w:themeColor="text1"/>
            <w:sz w:val="24"/>
            <w:lang w:val="da-DK"/>
          </w:rPr>
          <w:t>http://data.europa.eu/eli/reg/2011/182/oj</w:t>
        </w:r>
      </w:hyperlink>
      <w:r w:rsidRPr="000B6256">
        <w:rPr>
          <w:sz w:val="24"/>
          <w:lang w:val="da-DK"/>
        </w:rPr>
        <w:t>.</w:t>
      </w:r>
    </w:p>
  </w:footnote>
  <w:footnote w:id="3">
    <w:p w:rsidR="00B13104" w:rsidRPr="000B6256" w:rsidRDefault="00B13104" w:rsidP="000B6256">
      <w:pPr>
        <w:pStyle w:val="FootnoteText"/>
        <w:ind w:left="567" w:hanging="567"/>
        <w:rPr>
          <w:color w:val="000000" w:themeColor="text1"/>
          <w:sz w:val="24"/>
          <w:lang w:val="da-DK"/>
        </w:rPr>
      </w:pPr>
      <w:r w:rsidRPr="000B6256">
        <w:rPr>
          <w:rStyle w:val="FootnoteReference"/>
          <w:color w:val="000000" w:themeColor="text1"/>
          <w:sz w:val="24"/>
          <w:lang w:val="da-DK"/>
        </w:rPr>
        <w:footnoteRef/>
      </w:r>
      <w:r w:rsidR="000B6256" w:rsidRPr="000B6256">
        <w:rPr>
          <w:color w:val="000000" w:themeColor="text1"/>
          <w:sz w:val="24"/>
          <w:lang w:val="da-DK"/>
        </w:rPr>
        <w:t xml:space="preserve"> </w:t>
      </w:r>
      <w:r w:rsidR="000B6256" w:rsidRPr="000B6256">
        <w:rPr>
          <w:color w:val="000000" w:themeColor="text1"/>
          <w:sz w:val="24"/>
          <w:lang w:val="da-DK"/>
        </w:rPr>
        <w:tab/>
      </w:r>
      <w:r w:rsidRPr="000B6256">
        <w:rPr>
          <w:color w:val="000000" w:themeColor="text1"/>
          <w:sz w:val="24"/>
          <w:lang w:val="da-DK"/>
        </w:rPr>
        <w:t xml:space="preserve">Videnskabelig udtalelse fra </w:t>
      </w:r>
      <w:proofErr w:type="spellStart"/>
      <w:r w:rsidRPr="000B6256">
        <w:rPr>
          <w:color w:val="000000" w:themeColor="text1"/>
          <w:sz w:val="24"/>
          <w:lang w:val="da-DK"/>
        </w:rPr>
        <w:t>EFSA's</w:t>
      </w:r>
      <w:proofErr w:type="spellEnd"/>
      <w:r w:rsidRPr="000B6256">
        <w:rPr>
          <w:color w:val="000000" w:themeColor="text1"/>
          <w:sz w:val="24"/>
          <w:lang w:val="da-DK"/>
        </w:rPr>
        <w:t xml:space="preserve"> Ekspertpanel for Genetisk Modificerede Organismer om "</w:t>
      </w:r>
      <w:proofErr w:type="spellStart"/>
      <w:r w:rsidRPr="000B6256">
        <w:rPr>
          <w:color w:val="000000" w:themeColor="text1"/>
          <w:sz w:val="24"/>
          <w:lang w:val="da-DK"/>
        </w:rPr>
        <w:t>Assessment</w:t>
      </w:r>
      <w:proofErr w:type="spellEnd"/>
      <w:r w:rsidRPr="000B6256">
        <w:rPr>
          <w:color w:val="000000" w:themeColor="text1"/>
          <w:sz w:val="24"/>
          <w:lang w:val="da-DK"/>
        </w:rPr>
        <w:t xml:space="preserve"> of </w:t>
      </w:r>
      <w:proofErr w:type="spellStart"/>
      <w:r w:rsidRPr="000B6256">
        <w:rPr>
          <w:color w:val="000000" w:themeColor="text1"/>
          <w:sz w:val="24"/>
          <w:lang w:val="da-DK"/>
        </w:rPr>
        <w:t>genetically</w:t>
      </w:r>
      <w:proofErr w:type="spellEnd"/>
      <w:r w:rsidRPr="000B6256">
        <w:rPr>
          <w:color w:val="000000" w:themeColor="text1"/>
          <w:sz w:val="24"/>
          <w:lang w:val="da-DK"/>
        </w:rPr>
        <w:t xml:space="preserve"> </w:t>
      </w:r>
      <w:proofErr w:type="spellStart"/>
      <w:r w:rsidRPr="000B6256">
        <w:rPr>
          <w:color w:val="000000" w:themeColor="text1"/>
          <w:sz w:val="24"/>
          <w:lang w:val="da-DK"/>
        </w:rPr>
        <w:t>modified</w:t>
      </w:r>
      <w:proofErr w:type="spellEnd"/>
      <w:r w:rsidRPr="000B6256">
        <w:rPr>
          <w:color w:val="000000" w:themeColor="text1"/>
          <w:sz w:val="24"/>
          <w:lang w:val="da-DK"/>
        </w:rPr>
        <w:t xml:space="preserve"> </w:t>
      </w:r>
      <w:proofErr w:type="spellStart"/>
      <w:r w:rsidRPr="000B6256">
        <w:rPr>
          <w:color w:val="000000" w:themeColor="text1"/>
          <w:sz w:val="24"/>
          <w:lang w:val="da-DK"/>
        </w:rPr>
        <w:t>maize</w:t>
      </w:r>
      <w:proofErr w:type="spellEnd"/>
      <w:r w:rsidRPr="000B6256">
        <w:rPr>
          <w:color w:val="000000" w:themeColor="text1"/>
          <w:sz w:val="24"/>
          <w:lang w:val="da-DK"/>
        </w:rPr>
        <w:t xml:space="preserve"> MON 95275 (</w:t>
      </w:r>
      <w:proofErr w:type="spellStart"/>
      <w:r w:rsidRPr="000B6256">
        <w:rPr>
          <w:color w:val="000000" w:themeColor="text1"/>
          <w:sz w:val="24"/>
          <w:lang w:val="da-DK"/>
        </w:rPr>
        <w:t>application</w:t>
      </w:r>
      <w:proofErr w:type="spellEnd"/>
      <w:r w:rsidRPr="000B6256">
        <w:rPr>
          <w:color w:val="000000" w:themeColor="text1"/>
          <w:sz w:val="24"/>
          <w:lang w:val="da-DK"/>
        </w:rPr>
        <w:t xml:space="preserve"> GMFF‐2022‐5890)", EFSA Journal 2024; 22(8):e8886, </w:t>
      </w:r>
      <w:hyperlink r:id="rId3" w:history="1">
        <w:r w:rsidRPr="000B6256">
          <w:rPr>
            <w:rStyle w:val="Hyperlink"/>
            <w:color w:val="000000" w:themeColor="text1"/>
            <w:sz w:val="24"/>
            <w:lang w:val="da-DK"/>
          </w:rPr>
          <w:t>https://doi.org/10.2903/j.efsa.2024.8886</w:t>
        </w:r>
      </w:hyperlink>
      <w:r w:rsidRPr="000B6256">
        <w:rPr>
          <w:color w:val="000000" w:themeColor="text1"/>
          <w:sz w:val="24"/>
          <w:lang w:val="da-DK"/>
        </w:rPr>
        <w:t xml:space="preserve">. </w:t>
      </w:r>
    </w:p>
  </w:footnote>
  <w:footnote w:id="4">
    <w:p w:rsidR="00B13104" w:rsidRPr="000B6256" w:rsidRDefault="00B13104" w:rsidP="000B6256">
      <w:pPr>
        <w:pStyle w:val="FootnoteText"/>
        <w:ind w:left="567" w:hanging="567"/>
        <w:rPr>
          <w:color w:val="000000" w:themeColor="text1"/>
          <w:sz w:val="24"/>
          <w:vertAlign w:val="superscript"/>
          <w:lang w:val="da-DK"/>
        </w:rPr>
      </w:pPr>
      <w:r w:rsidRPr="000B6256">
        <w:rPr>
          <w:rStyle w:val="FootnoteReference"/>
          <w:color w:val="000000" w:themeColor="text1"/>
          <w:sz w:val="24"/>
          <w:lang w:val="da-DK"/>
        </w:rPr>
        <w:footnoteRef/>
      </w:r>
      <w:r w:rsidR="000B6256" w:rsidRPr="000B6256">
        <w:rPr>
          <w:color w:val="000000" w:themeColor="text1"/>
          <w:sz w:val="24"/>
          <w:lang w:val="da-DK"/>
        </w:rPr>
        <w:t xml:space="preserve"> </w:t>
      </w:r>
      <w:r w:rsidR="000B6256" w:rsidRPr="000B6256">
        <w:rPr>
          <w:color w:val="000000" w:themeColor="text1"/>
          <w:sz w:val="24"/>
          <w:lang w:val="da-DK"/>
        </w:rPr>
        <w:tab/>
      </w:r>
      <w:r w:rsidRPr="000B6256">
        <w:rPr>
          <w:color w:val="000000" w:themeColor="text1"/>
          <w:sz w:val="24"/>
          <w:lang w:val="da-DK"/>
        </w:rPr>
        <w:t>Parlamentet vedtog i sin ottende valgperiode 36 beslutninger og i sin niende valgperiode 38 beslutninger, hvori det gjorde indsigelse mod godkendelsen af GMO'er. Desuden har Europa-Parlamentet i sin tiende valgperiode vedtaget følgende beslutninger:</w:t>
      </w:r>
    </w:p>
    <w:p w:rsidR="00B13104" w:rsidRPr="000B6256" w:rsidRDefault="000B6256" w:rsidP="000B6256">
      <w:pPr>
        <w:pStyle w:val="FootnoteText"/>
        <w:ind w:left="567" w:hanging="567"/>
        <w:rPr>
          <w:color w:val="000000" w:themeColor="text1"/>
          <w:sz w:val="24"/>
          <w:vertAlign w:val="superscript"/>
          <w:lang w:val="da-DK"/>
        </w:rPr>
      </w:pPr>
      <w:r w:rsidRPr="000B6256">
        <w:rPr>
          <w:color w:val="000000" w:themeColor="text1"/>
          <w:sz w:val="24"/>
          <w:lang w:val="da-DK"/>
        </w:rPr>
        <w:t xml:space="preserve"> </w:t>
      </w:r>
      <w:r w:rsidRPr="000B6256">
        <w:rPr>
          <w:color w:val="000000" w:themeColor="text1"/>
          <w:sz w:val="24"/>
          <w:lang w:val="da-DK"/>
        </w:rPr>
        <w:tab/>
      </w:r>
      <w:r w:rsidR="00B13104" w:rsidRPr="000B6256">
        <w:rPr>
          <w:color w:val="000000" w:themeColor="text1"/>
          <w:sz w:val="24"/>
          <w:lang w:val="da-DK"/>
        </w:rPr>
        <w:t>–</w:t>
      </w:r>
      <w:r w:rsidR="00B13104" w:rsidRPr="000B6256">
        <w:rPr>
          <w:color w:val="000000" w:themeColor="text1"/>
          <w:sz w:val="24"/>
          <w:lang w:val="da-DK"/>
        </w:rPr>
        <w:tab/>
        <w:t>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(P10_</w:t>
      </w:r>
      <w:proofErr w:type="gramStart"/>
      <w:r w:rsidR="00B13104" w:rsidRPr="000B6256">
        <w:rPr>
          <w:color w:val="000000" w:themeColor="text1"/>
          <w:sz w:val="24"/>
          <w:lang w:val="da-DK"/>
        </w:rPr>
        <w:t>TA(</w:t>
      </w:r>
      <w:proofErr w:type="gramEnd"/>
      <w:r w:rsidR="00B13104" w:rsidRPr="000B6256">
        <w:rPr>
          <w:color w:val="000000" w:themeColor="text1"/>
          <w:sz w:val="24"/>
          <w:lang w:val="da-DK"/>
        </w:rPr>
        <w:t>2024)0038).</w:t>
      </w:r>
    </w:p>
    <w:p w:rsidR="00B13104" w:rsidRPr="000B6256" w:rsidRDefault="000B6256" w:rsidP="000B6256">
      <w:pPr>
        <w:pStyle w:val="FootnoteText"/>
        <w:ind w:left="567" w:hanging="567"/>
        <w:rPr>
          <w:color w:val="000000" w:themeColor="text1"/>
          <w:sz w:val="24"/>
          <w:vertAlign w:val="superscript"/>
          <w:lang w:val="da-DK"/>
        </w:rPr>
      </w:pPr>
      <w:r w:rsidRPr="000B6256">
        <w:rPr>
          <w:color w:val="000000" w:themeColor="text1"/>
          <w:sz w:val="24"/>
          <w:lang w:val="da-DK"/>
        </w:rPr>
        <w:t xml:space="preserve"> </w:t>
      </w:r>
      <w:r w:rsidRPr="000B6256">
        <w:rPr>
          <w:color w:val="000000" w:themeColor="text1"/>
          <w:sz w:val="24"/>
          <w:lang w:val="da-DK"/>
        </w:rPr>
        <w:tab/>
      </w:r>
      <w:r w:rsidR="00B13104" w:rsidRPr="000B6256">
        <w:rPr>
          <w:color w:val="000000" w:themeColor="text1"/>
          <w:sz w:val="24"/>
          <w:lang w:val="da-DK"/>
        </w:rPr>
        <w:t>–</w:t>
      </w:r>
      <w:r w:rsidR="00B13104" w:rsidRPr="000B6256">
        <w:rPr>
          <w:color w:val="000000" w:themeColor="text1"/>
          <w:sz w:val="24"/>
          <w:lang w:val="da-DK"/>
        </w:rPr>
        <w:tab/>
        <w:t>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(P10_</w:t>
      </w:r>
      <w:proofErr w:type="gramStart"/>
      <w:r w:rsidR="00B13104" w:rsidRPr="000B6256">
        <w:rPr>
          <w:color w:val="000000" w:themeColor="text1"/>
          <w:sz w:val="24"/>
          <w:lang w:val="da-DK"/>
        </w:rPr>
        <w:t>TA(</w:t>
      </w:r>
      <w:proofErr w:type="gramEnd"/>
      <w:r w:rsidR="00B13104" w:rsidRPr="000B6256">
        <w:rPr>
          <w:color w:val="000000" w:themeColor="text1"/>
          <w:sz w:val="24"/>
          <w:lang w:val="da-DK"/>
        </w:rPr>
        <w:t>2024)0039).</w:t>
      </w:r>
    </w:p>
    <w:p w:rsidR="00B13104" w:rsidRPr="000B6256" w:rsidRDefault="000B6256" w:rsidP="000B6256">
      <w:pPr>
        <w:pStyle w:val="FootnoteText"/>
        <w:ind w:left="567" w:hanging="567"/>
        <w:rPr>
          <w:color w:val="000000" w:themeColor="text1"/>
          <w:sz w:val="24"/>
          <w:vertAlign w:val="superscript"/>
          <w:lang w:val="da-DK"/>
        </w:rPr>
      </w:pPr>
      <w:r w:rsidRPr="000B6256">
        <w:rPr>
          <w:color w:val="000000" w:themeColor="text1"/>
          <w:sz w:val="24"/>
          <w:lang w:val="da-DK"/>
        </w:rPr>
        <w:t xml:space="preserve"> </w:t>
      </w:r>
      <w:r w:rsidRPr="000B6256">
        <w:rPr>
          <w:color w:val="000000" w:themeColor="text1"/>
          <w:sz w:val="24"/>
          <w:lang w:val="da-DK"/>
        </w:rPr>
        <w:tab/>
      </w:r>
      <w:r w:rsidR="00B13104" w:rsidRPr="000B6256">
        <w:rPr>
          <w:color w:val="000000" w:themeColor="text1"/>
          <w:sz w:val="24"/>
          <w:lang w:val="da-DK"/>
        </w:rPr>
        <w:t>–</w:t>
      </w:r>
      <w:r w:rsidR="00B13104" w:rsidRPr="000B6256">
        <w:rPr>
          <w:color w:val="000000" w:themeColor="text1"/>
          <w:sz w:val="24"/>
          <w:lang w:val="da-DK"/>
        </w:rPr>
        <w:tab/>
        <w:t>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(P10_</w:t>
      </w:r>
      <w:proofErr w:type="gramStart"/>
      <w:r w:rsidR="00B13104" w:rsidRPr="000B6256">
        <w:rPr>
          <w:color w:val="000000" w:themeColor="text1"/>
          <w:sz w:val="24"/>
          <w:lang w:val="da-DK"/>
        </w:rPr>
        <w:t>TA(</w:t>
      </w:r>
      <w:proofErr w:type="gramEnd"/>
      <w:r w:rsidR="00B13104" w:rsidRPr="000B6256">
        <w:rPr>
          <w:color w:val="000000" w:themeColor="text1"/>
          <w:sz w:val="24"/>
          <w:lang w:val="da-DK"/>
        </w:rPr>
        <w:t>2024)0040).</w:t>
      </w:r>
    </w:p>
    <w:p w:rsidR="00B13104" w:rsidRPr="000B6256" w:rsidRDefault="000B6256" w:rsidP="000B6256">
      <w:pPr>
        <w:pStyle w:val="FootnoteText"/>
        <w:ind w:left="567" w:hanging="567"/>
        <w:rPr>
          <w:color w:val="000000" w:themeColor="text1"/>
          <w:sz w:val="24"/>
          <w:vertAlign w:val="superscript"/>
          <w:lang w:val="da-DK"/>
        </w:rPr>
      </w:pPr>
      <w:r w:rsidRPr="000B6256">
        <w:rPr>
          <w:color w:val="000000" w:themeColor="text1"/>
          <w:sz w:val="24"/>
          <w:lang w:val="da-DK"/>
        </w:rPr>
        <w:t xml:space="preserve"> </w:t>
      </w:r>
      <w:r w:rsidRPr="000B6256">
        <w:rPr>
          <w:color w:val="000000" w:themeColor="text1"/>
          <w:sz w:val="24"/>
          <w:lang w:val="da-DK"/>
        </w:rPr>
        <w:tab/>
      </w:r>
      <w:r w:rsidR="00B13104" w:rsidRPr="000B6256">
        <w:rPr>
          <w:color w:val="000000" w:themeColor="text1"/>
          <w:sz w:val="24"/>
          <w:lang w:val="da-DK"/>
        </w:rPr>
        <w:t>–</w:t>
      </w:r>
      <w:r w:rsidR="00B13104" w:rsidRPr="000B6256">
        <w:rPr>
          <w:color w:val="000000" w:themeColor="text1"/>
          <w:sz w:val="24"/>
          <w:lang w:val="da-DK"/>
        </w:rPr>
        <w:tab/>
        <w:t>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(P10_</w:t>
      </w:r>
      <w:proofErr w:type="gramStart"/>
      <w:r w:rsidR="00B13104" w:rsidRPr="000B6256">
        <w:rPr>
          <w:color w:val="000000" w:themeColor="text1"/>
          <w:sz w:val="24"/>
          <w:lang w:val="da-DK"/>
        </w:rPr>
        <w:t>TA(</w:t>
      </w:r>
      <w:proofErr w:type="gramEnd"/>
      <w:r w:rsidR="00B13104" w:rsidRPr="000B6256">
        <w:rPr>
          <w:color w:val="000000" w:themeColor="text1"/>
          <w:sz w:val="24"/>
          <w:lang w:val="da-DK"/>
        </w:rPr>
        <w:t>2024)0041).</w:t>
      </w:r>
    </w:p>
    <w:p w:rsidR="00B13104" w:rsidRPr="000B6256" w:rsidRDefault="000B6256" w:rsidP="000B6256">
      <w:pPr>
        <w:pStyle w:val="FootnoteText"/>
        <w:ind w:left="567" w:hanging="567"/>
        <w:rPr>
          <w:color w:val="000000" w:themeColor="text1"/>
          <w:sz w:val="24"/>
          <w:vertAlign w:val="superscript"/>
          <w:lang w:val="da-DK"/>
        </w:rPr>
      </w:pPr>
      <w:r w:rsidRPr="000B6256">
        <w:rPr>
          <w:color w:val="000000" w:themeColor="text1"/>
          <w:sz w:val="24"/>
          <w:lang w:val="da-DK"/>
        </w:rPr>
        <w:t xml:space="preserve"> </w:t>
      </w:r>
      <w:r w:rsidRPr="000B6256">
        <w:rPr>
          <w:color w:val="000000" w:themeColor="text1"/>
          <w:sz w:val="24"/>
          <w:lang w:val="da-DK"/>
        </w:rPr>
        <w:tab/>
      </w:r>
      <w:r w:rsidR="00B13104" w:rsidRPr="000B6256">
        <w:rPr>
          <w:color w:val="000000" w:themeColor="text1"/>
          <w:sz w:val="24"/>
          <w:lang w:val="da-DK"/>
        </w:rPr>
        <w:t>–</w:t>
      </w:r>
      <w:r w:rsidR="00B13104" w:rsidRPr="000B6256">
        <w:rPr>
          <w:color w:val="000000" w:themeColor="text1"/>
          <w:sz w:val="24"/>
          <w:lang w:val="da-DK"/>
        </w:rPr>
        <w:tab/>
        <w:t>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(P10_</w:t>
      </w:r>
      <w:proofErr w:type="gramStart"/>
      <w:r w:rsidR="00B13104" w:rsidRPr="000B6256">
        <w:rPr>
          <w:color w:val="000000" w:themeColor="text1"/>
          <w:sz w:val="24"/>
          <w:lang w:val="da-DK"/>
        </w:rPr>
        <w:t>TA(</w:t>
      </w:r>
      <w:proofErr w:type="gramEnd"/>
      <w:r w:rsidR="00B13104" w:rsidRPr="000B6256">
        <w:rPr>
          <w:color w:val="000000" w:themeColor="text1"/>
          <w:sz w:val="24"/>
          <w:lang w:val="da-DK"/>
        </w:rPr>
        <w:t>2024)0042).</w:t>
      </w:r>
    </w:p>
    <w:p w:rsidR="00B13104" w:rsidRPr="000B6256" w:rsidRDefault="000B6256" w:rsidP="000B6256">
      <w:pPr>
        <w:pStyle w:val="FootnoteText"/>
        <w:ind w:left="567" w:hanging="567"/>
        <w:rPr>
          <w:color w:val="000000" w:themeColor="text1"/>
          <w:sz w:val="24"/>
          <w:vertAlign w:val="superscript"/>
          <w:lang w:val="da-DK"/>
        </w:rPr>
      </w:pPr>
      <w:r w:rsidRPr="000B6256">
        <w:rPr>
          <w:color w:val="000000" w:themeColor="text1"/>
          <w:sz w:val="24"/>
          <w:lang w:val="da-DK"/>
        </w:rPr>
        <w:t xml:space="preserve"> </w:t>
      </w:r>
      <w:r w:rsidRPr="000B6256">
        <w:rPr>
          <w:color w:val="000000" w:themeColor="text1"/>
          <w:sz w:val="24"/>
          <w:lang w:val="da-DK"/>
        </w:rPr>
        <w:tab/>
      </w:r>
      <w:r w:rsidR="00B13104" w:rsidRPr="000B6256">
        <w:rPr>
          <w:color w:val="000000" w:themeColor="text1"/>
          <w:sz w:val="24"/>
          <w:lang w:val="da-DK"/>
        </w:rPr>
        <w:t>–</w:t>
      </w:r>
      <w:r w:rsidR="00B13104" w:rsidRPr="000B6256">
        <w:rPr>
          <w:color w:val="000000" w:themeColor="text1"/>
          <w:sz w:val="24"/>
          <w:lang w:val="da-DK"/>
        </w:rPr>
        <w:tab/>
        <w:t>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(P10_</w:t>
      </w:r>
      <w:proofErr w:type="gramStart"/>
      <w:r w:rsidR="00B13104" w:rsidRPr="000B6256">
        <w:rPr>
          <w:color w:val="000000" w:themeColor="text1"/>
          <w:sz w:val="24"/>
          <w:lang w:val="da-DK"/>
        </w:rPr>
        <w:t>TA(</w:t>
      </w:r>
      <w:proofErr w:type="gramEnd"/>
      <w:r w:rsidR="00B13104" w:rsidRPr="000B6256">
        <w:rPr>
          <w:color w:val="000000" w:themeColor="text1"/>
          <w:sz w:val="24"/>
          <w:lang w:val="da-DK"/>
        </w:rPr>
        <w:t>2024)0043).</w:t>
      </w:r>
    </w:p>
    <w:p w:rsidR="00B13104" w:rsidRPr="000B6256" w:rsidRDefault="000B6256" w:rsidP="000B6256">
      <w:pPr>
        <w:pStyle w:val="FootnoteText"/>
        <w:ind w:left="567" w:hanging="567"/>
        <w:rPr>
          <w:color w:val="000000" w:themeColor="text1"/>
          <w:sz w:val="24"/>
          <w:vertAlign w:val="superscript"/>
          <w:lang w:val="da-DK"/>
        </w:rPr>
      </w:pPr>
      <w:r w:rsidRPr="000B6256">
        <w:rPr>
          <w:color w:val="000000" w:themeColor="text1"/>
          <w:sz w:val="24"/>
          <w:lang w:val="da-DK"/>
        </w:rPr>
        <w:t xml:space="preserve"> </w:t>
      </w:r>
      <w:r w:rsidRPr="000B6256">
        <w:rPr>
          <w:color w:val="000000" w:themeColor="text1"/>
          <w:sz w:val="24"/>
          <w:lang w:val="da-DK"/>
        </w:rPr>
        <w:tab/>
      </w:r>
      <w:r w:rsidR="00B13104" w:rsidRPr="000B6256">
        <w:rPr>
          <w:color w:val="000000" w:themeColor="text1"/>
          <w:sz w:val="24"/>
          <w:lang w:val="da-DK"/>
        </w:rPr>
        <w:t>–</w:t>
      </w:r>
      <w:r w:rsidR="00B13104" w:rsidRPr="000B6256">
        <w:rPr>
          <w:color w:val="000000" w:themeColor="text1"/>
          <w:sz w:val="24"/>
          <w:lang w:val="da-DK"/>
        </w:rPr>
        <w:tab/>
        <w:t>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1829/2003(P10_</w:t>
      </w:r>
      <w:proofErr w:type="gramStart"/>
      <w:r w:rsidR="00B13104" w:rsidRPr="000B6256">
        <w:rPr>
          <w:color w:val="000000" w:themeColor="text1"/>
          <w:sz w:val="24"/>
          <w:lang w:val="da-DK"/>
        </w:rPr>
        <w:t>TA(</w:t>
      </w:r>
      <w:proofErr w:type="gramEnd"/>
      <w:r w:rsidR="00B13104" w:rsidRPr="000B6256">
        <w:rPr>
          <w:color w:val="000000" w:themeColor="text1"/>
          <w:sz w:val="24"/>
          <w:lang w:val="da-DK"/>
        </w:rPr>
        <w:t>2024)0044).</w:t>
      </w:r>
    </w:p>
    <w:p w:rsidR="00B13104" w:rsidRPr="000B6256" w:rsidRDefault="000B6256" w:rsidP="000B6256">
      <w:pPr>
        <w:pStyle w:val="FootnoteText"/>
        <w:ind w:left="567" w:hanging="567"/>
        <w:rPr>
          <w:color w:val="000000" w:themeColor="text1"/>
          <w:sz w:val="24"/>
          <w:lang w:val="da-DK"/>
        </w:rPr>
      </w:pPr>
      <w:r w:rsidRPr="000B6256">
        <w:rPr>
          <w:color w:val="000000" w:themeColor="text1"/>
          <w:sz w:val="24"/>
          <w:lang w:val="da-DK"/>
        </w:rPr>
        <w:t xml:space="preserve"> </w:t>
      </w:r>
      <w:r w:rsidRPr="000B6256">
        <w:rPr>
          <w:color w:val="000000" w:themeColor="text1"/>
          <w:sz w:val="24"/>
          <w:lang w:val="da-DK"/>
        </w:rPr>
        <w:tab/>
      </w:r>
      <w:r w:rsidR="00B13104" w:rsidRPr="000B6256">
        <w:rPr>
          <w:color w:val="000000" w:themeColor="text1"/>
          <w:sz w:val="24"/>
          <w:lang w:val="da-DK"/>
        </w:rPr>
        <w:t>–</w:t>
      </w:r>
      <w:r w:rsidR="00B13104" w:rsidRPr="000B6256">
        <w:rPr>
          <w:color w:val="000000" w:themeColor="text1"/>
          <w:sz w:val="24"/>
          <w:lang w:val="da-DK"/>
        </w:rPr>
        <w:tab/>
        <w:t>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 1829/2003 (P10_</w:t>
      </w:r>
      <w:proofErr w:type="gramStart"/>
      <w:r w:rsidR="00B13104" w:rsidRPr="000B6256">
        <w:rPr>
          <w:color w:val="000000" w:themeColor="text1"/>
          <w:sz w:val="24"/>
          <w:lang w:val="da-DK"/>
        </w:rPr>
        <w:t>TA(</w:t>
      </w:r>
      <w:proofErr w:type="gramEnd"/>
      <w:r w:rsidR="00B13104" w:rsidRPr="000B6256">
        <w:rPr>
          <w:color w:val="000000" w:themeColor="text1"/>
          <w:sz w:val="24"/>
          <w:lang w:val="da-DK"/>
        </w:rPr>
        <w:t>2024)0045).</w:t>
      </w:r>
    </w:p>
  </w:footnote>
  <w:footnote w:id="5">
    <w:p w:rsidR="00B13104" w:rsidRPr="000B6256" w:rsidRDefault="00B13104" w:rsidP="000B6256">
      <w:pPr>
        <w:pStyle w:val="FootnoteText"/>
        <w:ind w:left="567" w:hanging="567"/>
        <w:rPr>
          <w:sz w:val="24"/>
          <w:lang w:val="da-DK"/>
        </w:rPr>
      </w:pPr>
      <w:r w:rsidRPr="000B6256">
        <w:rPr>
          <w:rStyle w:val="FootnoteReference"/>
          <w:sz w:val="24"/>
          <w:lang w:val="da-DK"/>
        </w:rPr>
        <w:footnoteRef/>
      </w:r>
      <w:r w:rsidR="000B6256" w:rsidRPr="000B6256">
        <w:rPr>
          <w:color w:val="000000" w:themeColor="text1"/>
          <w:sz w:val="24"/>
          <w:lang w:val="da-DK"/>
        </w:rPr>
        <w:t xml:space="preserve"> </w:t>
      </w:r>
      <w:r w:rsidR="000B6256" w:rsidRPr="000B6256">
        <w:rPr>
          <w:color w:val="000000" w:themeColor="text1"/>
          <w:sz w:val="24"/>
          <w:lang w:val="da-DK"/>
        </w:rPr>
        <w:tab/>
      </w:r>
      <w:r w:rsidRPr="000B6256">
        <w:rPr>
          <w:color w:val="000000" w:themeColor="text1"/>
          <w:sz w:val="24"/>
          <w:lang w:val="da-DK"/>
        </w:rPr>
        <w:t xml:space="preserve">Kommissionens gennemførelsesforordning (EU) nr. 503/2013 af 3. april 2013 om ansøgninger om tilladelse til genetisk modificerede fødevarer og foderstoffer i henhold til Europa-Parlamentets og Rådets forordning (EF) nr. 1829/2003 og om ændring af Kommissionens forordning (EF) nr. 641/2004 og (EF) nr. 1981/2006 (EUT L 157 af 8.6.2013, s. 1, ELI: </w:t>
      </w:r>
      <w:hyperlink r:id="rId4" w:tgtFrame="Gives access to this document through its ELI URI." w:history="1">
        <w:r w:rsidRPr="000B6256">
          <w:rPr>
            <w:rStyle w:val="Hyperlink"/>
            <w:color w:val="000000" w:themeColor="text1"/>
            <w:sz w:val="24"/>
            <w:lang w:val="da-DK"/>
          </w:rPr>
          <w:t>http://data.europa.eu/eli/reg_impl/2013/503/oj</w:t>
        </w:r>
      </w:hyperlink>
      <w:r w:rsidRPr="000B6256">
        <w:rPr>
          <w:rStyle w:val="Hyperlink"/>
          <w:color w:val="000000" w:themeColor="text1"/>
          <w:sz w:val="24"/>
          <w:lang w:val="da-DK"/>
        </w:rPr>
        <w:t>).</w:t>
      </w:r>
    </w:p>
  </w:footnote>
  <w:footnote w:id="6">
    <w:p w:rsidR="00B13104" w:rsidRPr="000B6256" w:rsidRDefault="00B13104" w:rsidP="000B6256">
      <w:pPr>
        <w:pStyle w:val="FootnoteText"/>
        <w:ind w:left="567" w:hanging="567"/>
        <w:rPr>
          <w:color w:val="000000" w:themeColor="text1"/>
          <w:sz w:val="24"/>
          <w:lang w:val="da-DK"/>
        </w:rPr>
      </w:pPr>
      <w:r w:rsidRPr="000B6256">
        <w:rPr>
          <w:rStyle w:val="Funotenzeichen"/>
          <w:color w:val="000000" w:themeColor="text1"/>
          <w:sz w:val="24"/>
          <w:lang w:val="da-DK"/>
        </w:rPr>
        <w:footnoteRef/>
      </w:r>
      <w:r w:rsidR="000B6256" w:rsidRPr="000B6256">
        <w:rPr>
          <w:sz w:val="24"/>
          <w:lang w:val="da-DK"/>
        </w:rPr>
        <w:t xml:space="preserve"> </w:t>
      </w:r>
      <w:r w:rsidR="000B6256" w:rsidRPr="000B6256">
        <w:rPr>
          <w:sz w:val="24"/>
          <w:lang w:val="da-DK"/>
        </w:rPr>
        <w:tab/>
      </w:r>
      <w:hyperlink r:id="rId5" w:history="1">
        <w:r w:rsidRPr="000B6256">
          <w:rPr>
            <w:rStyle w:val="Hyperlink"/>
            <w:color w:val="000000" w:themeColor="text1"/>
            <w:sz w:val="24"/>
            <w:lang w:val="da-DK"/>
          </w:rPr>
          <w:t>https://efsa.onlinelibrary.wiley.com/action/downloadSupplement?doi=10.2903%</w:t>
        </w:r>
        <w:r w:rsidR="0001721B">
          <w:rPr>
            <w:rStyle w:val="Hyperlink"/>
            <w:color w:val="000000" w:themeColor="text1"/>
            <w:sz w:val="24"/>
            <w:lang w:val="da-DK"/>
          </w:rPr>
          <w:t>‌</w:t>
        </w:r>
        <w:r w:rsidRPr="000B6256">
          <w:rPr>
            <w:rStyle w:val="Hyperlink"/>
            <w:color w:val="000000" w:themeColor="text1"/>
            <w:sz w:val="24"/>
            <w:lang w:val="da-DK"/>
          </w:rPr>
          <w:t>2Fj.efsa.2024.8716&amp;file=efs28716-sup-0012-Annex8.pdf</w:t>
        </w:r>
      </w:hyperlink>
      <w:r w:rsidRPr="000B6256">
        <w:rPr>
          <w:sz w:val="24"/>
          <w:lang w:val="da-DK"/>
        </w:rPr>
        <w:t>.</w:t>
      </w:r>
    </w:p>
  </w:footnote>
  <w:footnote w:id="7">
    <w:p w:rsidR="00B13104" w:rsidRPr="000B6256" w:rsidRDefault="00B13104" w:rsidP="000B6256">
      <w:pPr>
        <w:pStyle w:val="FootnoteText"/>
        <w:ind w:left="567" w:hanging="567"/>
        <w:rPr>
          <w:color w:val="000000" w:themeColor="text1"/>
          <w:sz w:val="24"/>
          <w:lang w:val="da-DK"/>
        </w:rPr>
      </w:pPr>
      <w:r w:rsidRPr="000B6256">
        <w:rPr>
          <w:rStyle w:val="Funotenzeichen"/>
          <w:color w:val="000000" w:themeColor="text1"/>
          <w:sz w:val="24"/>
          <w:lang w:val="da-DK"/>
        </w:rPr>
        <w:footnoteRef/>
      </w:r>
      <w:r w:rsidR="000B6256" w:rsidRPr="000B6256">
        <w:rPr>
          <w:color w:val="000000" w:themeColor="text1"/>
          <w:sz w:val="24"/>
          <w:lang w:val="da-DK"/>
        </w:rPr>
        <w:t xml:space="preserve"> </w:t>
      </w:r>
      <w:r w:rsidR="000B6256" w:rsidRPr="000B6256">
        <w:rPr>
          <w:color w:val="000000" w:themeColor="text1"/>
          <w:sz w:val="24"/>
          <w:lang w:val="da-DK"/>
        </w:rPr>
        <w:tab/>
      </w:r>
      <w:r w:rsidRPr="000B6256">
        <w:rPr>
          <w:color w:val="000000" w:themeColor="text1"/>
          <w:sz w:val="24"/>
          <w:lang w:val="da-DK"/>
        </w:rPr>
        <w:t>Europa-Parlamentets og Rådets forordning (EF) nr. 178/2002 af 28. januar 2002 om generelle principper og krav i fødevarelovgivningen, om oprettelse af Den Europæiske Fødevaresikkerhedsautoritet og om procedurer vedrørende fødevaresikkerhed (EFT L 31 af 1.2.2002, s. 1, ELI: </w:t>
      </w:r>
      <w:hyperlink r:id="rId6" w:tgtFrame="Gives access to this document through its ELI URI." w:history="1">
        <w:r w:rsidRPr="000B6256">
          <w:rPr>
            <w:rStyle w:val="Hyperlink"/>
            <w:color w:val="000000" w:themeColor="text1"/>
            <w:sz w:val="24"/>
            <w:lang w:val="da-DK"/>
          </w:rPr>
          <w:t>http://data.europa.eu/eli/reg/2002/178/oj</w:t>
        </w:r>
      </w:hyperlink>
      <w:r w:rsidRPr="000B6256">
        <w:rPr>
          <w:color w:val="000000" w:themeColor="text1"/>
          <w:sz w:val="24"/>
          <w:lang w:val="da-DK"/>
        </w:rPr>
        <w:t>).</w:t>
      </w:r>
    </w:p>
  </w:footnote>
  <w:footnote w:id="8">
    <w:p w:rsidR="00B13104" w:rsidRPr="000B6256" w:rsidRDefault="00B13104" w:rsidP="000B6256">
      <w:pPr>
        <w:pStyle w:val="FootnoteText"/>
        <w:ind w:left="567" w:hanging="567"/>
        <w:rPr>
          <w:color w:val="000000" w:themeColor="text1"/>
          <w:sz w:val="24"/>
          <w:lang w:val="da-DK"/>
        </w:rPr>
      </w:pPr>
      <w:r w:rsidRPr="000B6256">
        <w:rPr>
          <w:rStyle w:val="Funotenzeichen"/>
          <w:color w:val="000000" w:themeColor="text1"/>
          <w:sz w:val="24"/>
          <w:lang w:val="da-DK"/>
        </w:rPr>
        <w:footnoteRef/>
      </w:r>
      <w:r w:rsidR="000B6256" w:rsidRPr="000B6256">
        <w:rPr>
          <w:sz w:val="24"/>
          <w:lang w:val="da-DK"/>
        </w:rPr>
        <w:t xml:space="preserve"> </w:t>
      </w:r>
      <w:r w:rsidR="000B6256" w:rsidRPr="000B6256">
        <w:rPr>
          <w:sz w:val="24"/>
          <w:lang w:val="da-DK"/>
        </w:rPr>
        <w:tab/>
      </w:r>
      <w:hyperlink r:id="rId7" w:history="1">
        <w:r w:rsidRPr="000B6256">
          <w:rPr>
            <w:rStyle w:val="Hyperlink"/>
            <w:color w:val="000000" w:themeColor="text1"/>
            <w:sz w:val="24"/>
            <w:lang w:val="da-DK"/>
          </w:rPr>
          <w:t>https://tillymetz.lu/wp-content/uploads/2020/09/Co-signed-letter-MEP-Metz.pdf</w:t>
        </w:r>
      </w:hyperlink>
      <w:r w:rsidRPr="000B6256">
        <w:rPr>
          <w:rStyle w:val="Hyperlink"/>
          <w:color w:val="000000" w:themeColor="text1"/>
          <w:sz w:val="24"/>
          <w:lang w:val="da-DK"/>
        </w:rPr>
        <w:t>.</w:t>
      </w:r>
    </w:p>
  </w:footnote>
  <w:footnote w:id="9">
    <w:p w:rsidR="00B13104" w:rsidRPr="000B6256" w:rsidRDefault="00B13104" w:rsidP="000B6256">
      <w:pPr>
        <w:pStyle w:val="FootnoteText"/>
        <w:ind w:left="567" w:hanging="567"/>
        <w:rPr>
          <w:color w:val="000000" w:themeColor="text1"/>
          <w:sz w:val="24"/>
          <w:lang w:val="da-DK"/>
        </w:rPr>
      </w:pPr>
      <w:r w:rsidRPr="000B6256">
        <w:rPr>
          <w:rStyle w:val="Funotenzeichen"/>
          <w:color w:val="000000" w:themeColor="text1"/>
          <w:sz w:val="24"/>
          <w:lang w:val="da-DK"/>
        </w:rPr>
        <w:footnoteRef/>
      </w:r>
      <w:r w:rsidR="000B6256" w:rsidRPr="000B6256">
        <w:rPr>
          <w:color w:val="000000" w:themeColor="text1"/>
          <w:sz w:val="24"/>
          <w:lang w:val="da-DK"/>
        </w:rPr>
        <w:t xml:space="preserve"> </w:t>
      </w:r>
      <w:r w:rsidR="000B6256" w:rsidRPr="000B6256">
        <w:rPr>
          <w:color w:val="000000" w:themeColor="text1"/>
          <w:sz w:val="24"/>
          <w:lang w:val="da-DK"/>
        </w:rPr>
        <w:tab/>
      </w:r>
      <w:r w:rsidRPr="000B6256">
        <w:rPr>
          <w:color w:val="000000" w:themeColor="text1"/>
          <w:sz w:val="24"/>
          <w:lang w:val="da-DK"/>
        </w:rPr>
        <w:t>Europa-Parlamentets beslutning af 15. januar 2020 om den europæiske grønne pagt (EUT C 270 af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2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2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2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DA"/>
    <w:docVar w:name="dvnumam" w:val="0"/>
    <w:docVar w:name="dvpe" w:val="766.933"/>
    <w:docVar w:name="dvtitre" w:val="Europa-Parlamentets beslutning af xx. februar 2025 om udkast til Kommissionens gennemførelsesafgørelse om tilladelse til markedsføring af produkter, der indeholder, består af eller er fremstillet af genetisk modificeret MON 95275-majs, i henhold til Europa-Parlamentets og Rådets forordning (EF) nr. 1829/2003(D102172/03 – 2024/3011(RSP))"/>
  </w:docVars>
  <w:rsids>
    <w:rsidRoot w:val="00720938"/>
    <w:rsid w:val="00002272"/>
    <w:rsid w:val="0001721B"/>
    <w:rsid w:val="00064002"/>
    <w:rsid w:val="000677B9"/>
    <w:rsid w:val="000831BA"/>
    <w:rsid w:val="0009334C"/>
    <w:rsid w:val="000A42CC"/>
    <w:rsid w:val="000B6256"/>
    <w:rsid w:val="000E7DD9"/>
    <w:rsid w:val="0010095E"/>
    <w:rsid w:val="001028E6"/>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4CBE"/>
    <w:rsid w:val="00545827"/>
    <w:rsid w:val="00560270"/>
    <w:rsid w:val="005668ED"/>
    <w:rsid w:val="005C2568"/>
    <w:rsid w:val="005F1B17"/>
    <w:rsid w:val="006037C0"/>
    <w:rsid w:val="006631B6"/>
    <w:rsid w:val="00680577"/>
    <w:rsid w:val="006F74FA"/>
    <w:rsid w:val="00702675"/>
    <w:rsid w:val="00720938"/>
    <w:rsid w:val="00731ADD"/>
    <w:rsid w:val="00732F1A"/>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0C7"/>
    <w:rsid w:val="00930C23"/>
    <w:rsid w:val="0093193B"/>
    <w:rsid w:val="00942B94"/>
    <w:rsid w:val="009509D8"/>
    <w:rsid w:val="00950B64"/>
    <w:rsid w:val="00981893"/>
    <w:rsid w:val="00A1687D"/>
    <w:rsid w:val="00A43E52"/>
    <w:rsid w:val="00A4678D"/>
    <w:rsid w:val="00A778C7"/>
    <w:rsid w:val="00AB441E"/>
    <w:rsid w:val="00AB6293"/>
    <w:rsid w:val="00AE0928"/>
    <w:rsid w:val="00AF3B82"/>
    <w:rsid w:val="00B12E95"/>
    <w:rsid w:val="00B13104"/>
    <w:rsid w:val="00B22876"/>
    <w:rsid w:val="00B558F0"/>
    <w:rsid w:val="00BD48FE"/>
    <w:rsid w:val="00BD7BD8"/>
    <w:rsid w:val="00BE6ADC"/>
    <w:rsid w:val="00C05BFE"/>
    <w:rsid w:val="00C23CD4"/>
    <w:rsid w:val="00C614C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F1CBAC3-5A37-461A-987A-CA37995B9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13104"/>
    <w:pPr>
      <w:spacing w:before="480" w:after="240"/>
    </w:pPr>
  </w:style>
  <w:style w:type="paragraph" w:customStyle="1" w:styleId="NormalHanging12a">
    <w:name w:val="NormalHanging12a"/>
    <w:basedOn w:val="Normal"/>
    <w:qFormat/>
    <w:rsid w:val="00B13104"/>
    <w:pPr>
      <w:spacing w:after="240"/>
      <w:ind w:left="567" w:hanging="567"/>
    </w:pPr>
  </w:style>
  <w:style w:type="character" w:styleId="Hyperlink">
    <w:name w:val="Hyperlink"/>
    <w:basedOn w:val="DefaultParagraphFont"/>
    <w:uiPriority w:val="99"/>
    <w:rsid w:val="00B13104"/>
    <w:rPr>
      <w:color w:val="0563C1" w:themeColor="hyperlink"/>
      <w:u w:val="single"/>
    </w:rPr>
  </w:style>
  <w:style w:type="character" w:customStyle="1" w:styleId="Funotenzeichen">
    <w:name w:val="Fußnotenzeichen"/>
    <w:qFormat/>
    <w:rsid w:val="00B13104"/>
    <w:rPr>
      <w:vertAlign w:val="superscript"/>
    </w:rPr>
  </w:style>
  <w:style w:type="paragraph" w:styleId="BalloonText">
    <w:name w:val="Balloon Text"/>
    <w:basedOn w:val="Normal"/>
    <w:link w:val="BalloonTextChar"/>
    <w:rsid w:val="0001721B"/>
    <w:rPr>
      <w:rFonts w:ascii="Segoe UI" w:hAnsi="Segoe UI" w:cs="Segoe UI"/>
      <w:sz w:val="18"/>
      <w:szCs w:val="18"/>
    </w:rPr>
  </w:style>
  <w:style w:type="character" w:customStyle="1" w:styleId="BalloonTextChar">
    <w:name w:val="Balloon Text Char"/>
    <w:basedOn w:val="DefaultParagraphFont"/>
    <w:link w:val="BalloonText"/>
    <w:rsid w:val="0001721B"/>
    <w:rPr>
      <w:rFonts w:ascii="Segoe UI" w:hAnsi="Segoe UI" w:cs="Segoe UI"/>
      <w:sz w:val="18"/>
      <w:szCs w:val="18"/>
      <w:lang w:val="da-DK"/>
    </w:rPr>
  </w:style>
  <w:style w:type="character" w:styleId="FollowedHyperlink">
    <w:name w:val="FollowedHyperlink"/>
    <w:basedOn w:val="DefaultParagraphFont"/>
    <w:rsid w:val="007026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24.8886" TargetMode="External"/><Relationship Id="rId7"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reg/2002/178/oj" TargetMode="External"/><Relationship Id="rId5" Type="http://schemas.openxmlformats.org/officeDocument/2006/relationships/hyperlink" Target="https://efsa.onlinelibrary.wiley.com/action/downloadSupplement?doi=10.2903/j.efsa.2024.8716&amp;file=efs28716-sup-0012-Annex8.pdf" TargetMode="External"/><Relationship Id="rId4" Type="http://schemas.openxmlformats.org/officeDocument/2006/relationships/hyperlink" Target="http://data.europa.eu/eli/reg_impl/2013/5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7630D-68C0-4562-9648-664EF9069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1170</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2025-02-12T12:24:00Z</dcterms:created>
  <dcterms:modified xsi:type="dcterms:W3CDTF">2025-02-12T12:24:00Z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P10_TA-PROV(2025)0015_B10-0060_2025_</vt:lpwstr>
  </property>
  <property fmtid="{D5CDD505-2E9C-101B-9397-08002B2CF9AE}" pid="4" name="&lt;Type&gt;">
    <vt:lpwstr>RR</vt:lpwstr>
  </property>
</Properties>
</file>