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157E" w:rsidTr="0010095E">
        <w:trPr>
          <w:trHeight w:hRule="exact" w:val="1418"/>
        </w:trPr>
        <w:tc>
          <w:tcPr>
            <w:tcW w:w="6804" w:type="dxa"/>
            <w:shd w:val="clear" w:color="auto" w:fill="auto"/>
            <w:vAlign w:val="center"/>
          </w:tcPr>
          <w:p w:rsidR="00751A4A" w:rsidRPr="0041157E" w:rsidRDefault="00E71543" w:rsidP="0010095E">
            <w:pPr>
              <w:pStyle w:val="EPName"/>
            </w:pPr>
            <w:bookmarkStart w:id="0" w:name="_GoBack"/>
            <w:bookmarkEnd w:id="0"/>
            <w:r w:rsidRPr="0041157E">
              <w:t>Ευρωπαϊκό Κοινοβούλιο</w:t>
            </w:r>
          </w:p>
          <w:p w:rsidR="00751A4A" w:rsidRPr="0041157E" w:rsidRDefault="005F1B17" w:rsidP="005F1B17">
            <w:pPr>
              <w:pStyle w:val="EPTerm"/>
              <w:rPr>
                <w:rStyle w:val="HideTWBExt"/>
                <w:noProof w:val="0"/>
                <w:vanish w:val="0"/>
                <w:color w:val="auto"/>
              </w:rPr>
            </w:pPr>
            <w:r w:rsidRPr="0041157E">
              <w:t>2024</w:t>
            </w:r>
            <w:r w:rsidR="00817416" w:rsidRPr="0041157E">
              <w:t>-202</w:t>
            </w:r>
            <w:r w:rsidRPr="0041157E">
              <w:t>9</w:t>
            </w:r>
          </w:p>
        </w:tc>
        <w:tc>
          <w:tcPr>
            <w:tcW w:w="2268" w:type="dxa"/>
            <w:shd w:val="clear" w:color="auto" w:fill="auto"/>
          </w:tcPr>
          <w:p w:rsidR="00751A4A" w:rsidRPr="0041157E" w:rsidRDefault="00187494" w:rsidP="0010095E">
            <w:pPr>
              <w:pStyle w:val="EPLogo"/>
            </w:pPr>
            <w:r w:rsidRPr="0041157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157E" w:rsidRDefault="00D058B8" w:rsidP="004C5D52">
      <w:pPr>
        <w:pStyle w:val="LineTop"/>
      </w:pPr>
    </w:p>
    <w:p w:rsidR="00680577" w:rsidRPr="0041157E" w:rsidRDefault="00E71543" w:rsidP="00680577">
      <w:pPr>
        <w:pStyle w:val="EPBodyTA1"/>
      </w:pPr>
      <w:r w:rsidRPr="0041157E">
        <w:t>ΚΕΙΜΕΝΑ ΠΟΥ ΕΓΚΡΙΘΗΚΑΝ</w:t>
      </w:r>
    </w:p>
    <w:p w:rsidR="00D058B8" w:rsidRPr="0041157E" w:rsidRDefault="00D058B8" w:rsidP="00D058B8">
      <w:pPr>
        <w:pStyle w:val="LineBottom"/>
      </w:pPr>
    </w:p>
    <w:p w:rsidR="00E71543" w:rsidRPr="0041157E" w:rsidRDefault="00E71543" w:rsidP="00E71543">
      <w:pPr>
        <w:pStyle w:val="ATHeading1"/>
      </w:pPr>
      <w:bookmarkStart w:id="1" w:name="TANumber"/>
      <w:r w:rsidRPr="0041157E">
        <w:t>P10_TA(2025)00</w:t>
      </w:r>
      <w:r w:rsidR="003B393B" w:rsidRPr="0041157E">
        <w:t>15</w:t>
      </w:r>
      <w:bookmarkEnd w:id="1"/>
    </w:p>
    <w:p w:rsidR="00E71543" w:rsidRPr="0041157E" w:rsidRDefault="00E71543" w:rsidP="00E71543">
      <w:pPr>
        <w:pStyle w:val="ATHeading2"/>
      </w:pPr>
      <w:bookmarkStart w:id="2" w:name="title"/>
      <w:r w:rsidRPr="0041157E">
        <w:t xml:space="preserve">Γενετικώς τροποποιημένος αραβόσιτος MON 95275 </w:t>
      </w:r>
      <w:bookmarkEnd w:id="2"/>
    </w:p>
    <w:p w:rsidR="00E71543" w:rsidRPr="0041157E" w:rsidRDefault="00E71543" w:rsidP="00E71543">
      <w:pPr>
        <w:rPr>
          <w:i/>
          <w:vanish/>
        </w:rPr>
      </w:pPr>
      <w:r w:rsidRPr="0041157E">
        <w:rPr>
          <w:i/>
        </w:rPr>
        <w:fldChar w:fldCharType="begin"/>
      </w:r>
      <w:r w:rsidRPr="0041157E">
        <w:rPr>
          <w:i/>
        </w:rPr>
        <w:instrText xml:space="preserve"> TC"(</w:instrText>
      </w:r>
      <w:bookmarkStart w:id="3" w:name="DocNumber"/>
      <w:r w:rsidRPr="0041157E">
        <w:rPr>
          <w:i/>
        </w:rPr>
        <w:instrText>B10-0060/2025</w:instrText>
      </w:r>
      <w:bookmarkEnd w:id="3"/>
      <w:r w:rsidRPr="0041157E">
        <w:rPr>
          <w:i/>
        </w:rPr>
        <w:instrText xml:space="preserve">)"\l3 \n&gt; \* MERGEFORMAT </w:instrText>
      </w:r>
      <w:r w:rsidRPr="0041157E">
        <w:rPr>
          <w:i/>
        </w:rPr>
        <w:fldChar w:fldCharType="end"/>
      </w:r>
    </w:p>
    <w:p w:rsidR="00E71543" w:rsidRPr="0041157E" w:rsidRDefault="00E71543" w:rsidP="00E71543">
      <w:pPr>
        <w:rPr>
          <w:vanish/>
        </w:rPr>
      </w:pPr>
      <w:bookmarkStart w:id="4" w:name="PE"/>
      <w:r w:rsidRPr="0041157E">
        <w:rPr>
          <w:vanish/>
        </w:rPr>
        <w:t>PE766.933</w:t>
      </w:r>
      <w:bookmarkEnd w:id="4"/>
    </w:p>
    <w:p w:rsidR="00E71543" w:rsidRPr="0041157E" w:rsidRDefault="00E71543" w:rsidP="00E71543">
      <w:pPr>
        <w:pStyle w:val="ATHeading3"/>
      </w:pPr>
      <w:bookmarkStart w:id="5" w:name="Sujet"/>
      <w:r w:rsidRPr="0041157E">
        <w:t xml:space="preserve">Ψήφισμα του Ευρωπαϊκού Κοινοβουλίου </w:t>
      </w:r>
      <w:r w:rsidR="005D27AE" w:rsidRPr="0041157E">
        <w:t xml:space="preserve">της 12ης Φεβρουαρίου 2025 </w:t>
      </w:r>
      <w:r w:rsidRPr="0041157E">
        <w:t>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w:t>
      </w:r>
      <w:bookmarkEnd w:id="5"/>
      <w:r w:rsidRPr="0041157E">
        <w:t xml:space="preserve"> </w:t>
      </w:r>
      <w:bookmarkStart w:id="6" w:name="References"/>
      <w:r w:rsidRPr="0041157E">
        <w:t>(D102172/03 – 2024/3011(RSP))</w:t>
      </w:r>
      <w:bookmarkEnd w:id="6"/>
    </w:p>
    <w:p w:rsidR="008A7B62" w:rsidRPr="0041157E" w:rsidRDefault="008A7B62" w:rsidP="008A7B62">
      <w:pPr>
        <w:pStyle w:val="EPComma"/>
      </w:pPr>
      <w:bookmarkStart w:id="7" w:name="TextBodyBegin"/>
      <w:bookmarkEnd w:id="7"/>
      <w:r w:rsidRPr="0041157E">
        <w:rPr>
          <w:i/>
        </w:rPr>
        <w:t>Το Ευρωπαϊκό Κοινοβούλιο</w:t>
      </w:r>
      <w:r w:rsidRPr="0041157E">
        <w:t>,</w:t>
      </w:r>
    </w:p>
    <w:p w:rsidR="008A7B62" w:rsidRPr="0041157E" w:rsidRDefault="008A7B62" w:rsidP="008A7B62">
      <w:pPr>
        <w:pStyle w:val="NormalHanging12a"/>
      </w:pPr>
      <w:r w:rsidRPr="0041157E">
        <w:t>–</w:t>
      </w:r>
      <w:r w:rsidRPr="0041157E">
        <w:tab/>
        <w:t>έχοντας υπόψη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(D102172/03),</w:t>
      </w:r>
    </w:p>
    <w:p w:rsidR="008A7B62" w:rsidRPr="0041157E" w:rsidRDefault="008A7B62" w:rsidP="008A7B62">
      <w:pPr>
        <w:pStyle w:val="NormalHanging12a"/>
      </w:pPr>
      <w:r w:rsidRPr="0041157E">
        <w:t>–</w:t>
      </w:r>
      <w:r w:rsidRPr="0041157E">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41157E">
        <w:rPr>
          <w:rStyle w:val="FootnoteReference"/>
        </w:rPr>
        <w:footnoteReference w:id="1"/>
      </w:r>
      <w:r w:rsidRPr="0041157E">
        <w:t>, και ειδικότερα το άρθρο 7 παράγραφος 3 και το άρθρο 19 παράγραφος 3,</w:t>
      </w:r>
    </w:p>
    <w:p w:rsidR="008A7B62" w:rsidRPr="0041157E" w:rsidRDefault="008A7B62" w:rsidP="008A7B62">
      <w:pPr>
        <w:pStyle w:val="NormalHanging12a"/>
      </w:pPr>
      <w:r w:rsidRPr="0041157E">
        <w:t>–</w:t>
      </w:r>
      <w:r w:rsidRPr="0041157E">
        <w:tab/>
        <w:t>έχοντας υπόψη την ψηφοφορία στη μόνιμη επιτροπή φυτών, ζώων, τροφίμων και ζωοτροφών, που αναφέρεται στο άρθρο 35 του κανονισμού (ΕΚ) αριθ. 1829/2003, η οποία πραγματοποιήθηκε στις 22 Νοεμβρίου 2024 και κατά την οποία δεν εκδόθηκε γνωμοδότηση, και την ψηφοφορία στην επιτροπή προσφυγών στις 17 Δεκεμβρίου 2024, που κατέληξε επίσης σε μη έκδοση γνωμοδότησης,</w:t>
      </w:r>
    </w:p>
    <w:p w:rsidR="008A7B62" w:rsidRPr="0041157E" w:rsidRDefault="008A7B62" w:rsidP="008A7B62">
      <w:pPr>
        <w:pStyle w:val="NormalHanging12a"/>
      </w:pPr>
      <w:r w:rsidRPr="0041157E">
        <w:t>–</w:t>
      </w:r>
      <w:r w:rsidRPr="0041157E">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41157E">
        <w:rPr>
          <w:rStyle w:val="FootnoteReference"/>
        </w:rPr>
        <w:footnoteReference w:id="2"/>
      </w:r>
      <w:r w:rsidRPr="0041157E">
        <w:t xml:space="preserve">, </w:t>
      </w:r>
    </w:p>
    <w:p w:rsidR="008A7B62" w:rsidRPr="0041157E" w:rsidRDefault="008A7B62" w:rsidP="008A7B62">
      <w:pPr>
        <w:pStyle w:val="NormalHanging12a"/>
      </w:pPr>
      <w:r w:rsidRPr="0041157E">
        <w:t>–</w:t>
      </w:r>
      <w:r w:rsidRPr="0041157E">
        <w:tab/>
        <w:t xml:space="preserve">έχοντας υπόψη τη γνωμοδότηση που εκδόθηκε από την Ευρωπαϊκή Αρχή για την Ασφάλεια των Τροφίμων (EFSA) στις 19 Ιουνίου 2024 και δημοσιεύθηκε την 1η </w:t>
      </w:r>
      <w:r w:rsidRPr="0041157E">
        <w:lastRenderedPageBreak/>
        <w:t>Αυγούστου 2024</w:t>
      </w:r>
      <w:r w:rsidRPr="0041157E">
        <w:rPr>
          <w:rStyle w:val="FootnoteReference"/>
        </w:rPr>
        <w:footnoteReference w:id="3"/>
      </w:r>
      <w:r w:rsidRPr="0041157E">
        <w:t>,</w:t>
      </w:r>
    </w:p>
    <w:p w:rsidR="008A7B62" w:rsidRPr="0041157E" w:rsidRDefault="008A7B62" w:rsidP="008A7B62">
      <w:pPr>
        <w:pStyle w:val="NormalHanging12a"/>
      </w:pPr>
      <w:r w:rsidRPr="0041157E">
        <w:t>–</w:t>
      </w:r>
      <w:r w:rsidRPr="0041157E">
        <w:tab/>
        <w:t>έχοντας υπόψη τα προηγούμενα ψηφίσματά του που διατύπωναν αντίρρηση στην έγκριση γενετικώς τροποποιημένων οργανισμών (ΓΤΟ)</w:t>
      </w:r>
      <w:r w:rsidRPr="0041157E">
        <w:rPr>
          <w:rStyle w:val="FootnoteReference"/>
        </w:rPr>
        <w:footnoteReference w:id="4"/>
      </w:r>
      <w:r w:rsidRPr="0041157E">
        <w:t>,</w:t>
      </w:r>
    </w:p>
    <w:p w:rsidR="008A7B62" w:rsidRPr="0041157E" w:rsidRDefault="008A7B62" w:rsidP="008A7B62">
      <w:pPr>
        <w:pStyle w:val="NormalHanging12a"/>
      </w:pPr>
      <w:r w:rsidRPr="0041157E">
        <w:lastRenderedPageBreak/>
        <w:t>–</w:t>
      </w:r>
      <w:r w:rsidRPr="0041157E">
        <w:tab/>
        <w:t>έχοντας υπόψη το άρθρο 115 παράγραφοι 2 και 3 του Κανονισμού του,</w:t>
      </w:r>
    </w:p>
    <w:p w:rsidR="008A7B62" w:rsidRPr="0041157E" w:rsidRDefault="008A7B62" w:rsidP="008A7B62">
      <w:pPr>
        <w:pStyle w:val="NormalHanging12a"/>
      </w:pPr>
      <w:r w:rsidRPr="0041157E">
        <w:t>–</w:t>
      </w:r>
      <w:r w:rsidRPr="0041157E">
        <w:tab/>
        <w:t xml:space="preserve">έχοντας υπόψη την πρόταση ψηφίσματος της Επιτροπής Περιβάλλοντος, </w:t>
      </w:r>
      <w:r w:rsidR="00863671" w:rsidRPr="0041157E">
        <w:t>Κλίματος</w:t>
      </w:r>
      <w:r w:rsidRPr="0041157E">
        <w:t xml:space="preserve"> και Ασφάλειας των Τροφίμων,</w:t>
      </w:r>
    </w:p>
    <w:p w:rsidR="008A7B62" w:rsidRPr="0041157E" w:rsidRDefault="008A7B62" w:rsidP="008A7B62">
      <w:pPr>
        <w:pStyle w:val="NormalHanging12a"/>
        <w:tabs>
          <w:tab w:val="left" w:pos="0"/>
        </w:tabs>
        <w:suppressAutoHyphens/>
        <w:rPr>
          <w:szCs w:val="24"/>
        </w:rPr>
      </w:pPr>
      <w:r w:rsidRPr="0041157E">
        <w:t>Α.</w:t>
      </w:r>
      <w:r w:rsidRPr="0041157E">
        <w:tab/>
        <w:t xml:space="preserve">λαμβάνοντας υπόψη ότι, στις 29 Απριλίου 2022, η Bayer </w:t>
      </w:r>
      <w:proofErr w:type="spellStart"/>
      <w:r w:rsidRPr="0041157E">
        <w:t>Agriculture</w:t>
      </w:r>
      <w:proofErr w:type="spellEnd"/>
      <w:r w:rsidRPr="0041157E">
        <w:t xml:space="preserve"> B.V., με έδρα το Βέλγιο, εξ ονόματος της Bayer CropScience LP, με έδρα τις Ηνωμένες Πολιτείες, υπέβαλε αίτηση στην αρμόδια εθνική αρχή των Κάτω Χωρών για τη διάθεση στην αγορά τροφίμων, συστατικών τροφίμων και ζωοτροφών που περιέχουν, αποτελούνται ή παράγονται από γενετικώς τροποποιημένο αραβόσιτο MON 95275 («γενετικώς τροποποιημένος αραβόσιτος»)·</w:t>
      </w:r>
    </w:p>
    <w:p w:rsidR="008A7B62" w:rsidRPr="0041157E" w:rsidRDefault="008A7B62" w:rsidP="008A7B62">
      <w:pPr>
        <w:pStyle w:val="NormalHanging12a"/>
        <w:tabs>
          <w:tab w:val="left" w:pos="0"/>
        </w:tabs>
        <w:suppressAutoHyphens/>
        <w:rPr>
          <w:szCs w:val="24"/>
        </w:rPr>
      </w:pPr>
      <w:r w:rsidRPr="0041157E">
        <w:t>Β.</w:t>
      </w:r>
      <w:r w:rsidRPr="0041157E">
        <w:tab/>
        <w:t xml:space="preserve">λαμβάνοντας υπόψη ότι ο γενετικώς τροποποιημένος αραβόσιτος παράγει δύο </w:t>
      </w:r>
      <w:proofErr w:type="spellStart"/>
      <w:r w:rsidRPr="0041157E">
        <w:t>εντομοκτόνες</w:t>
      </w:r>
      <w:proofErr w:type="spellEnd"/>
      <w:r w:rsidRPr="0041157E">
        <w:t xml:space="preserve"> πρωτεΐνες (mpp75Aa1 και vpb4Da2) και εκφράζει το DvSnf7 </w:t>
      </w:r>
      <w:proofErr w:type="spellStart"/>
      <w:r w:rsidRPr="0041157E">
        <w:t>dsRNA</w:t>
      </w:r>
      <w:proofErr w:type="spellEnd"/>
      <w:r w:rsidRPr="0041157E">
        <w:t xml:space="preserve"> που στοχεύει στη </w:t>
      </w:r>
      <w:proofErr w:type="spellStart"/>
      <w:r w:rsidRPr="0041157E">
        <w:t>χρυσομήλη</w:t>
      </w:r>
      <w:proofErr w:type="spellEnd"/>
      <w:r w:rsidRPr="0041157E">
        <w:t xml:space="preserve"> του αραβοσίτου· λαμβάνοντας υπόψη ότι η γενετική τροποποίηση περιλαμβάνει μια διαδικασία δύο σταδίων που προβλέπει έναν μετασχηματισμό με τη μεσολάβηση του </w:t>
      </w:r>
      <w:proofErr w:type="spellStart"/>
      <w:r w:rsidRPr="0041157E">
        <w:t>Agrobacterium</w:t>
      </w:r>
      <w:proofErr w:type="spellEnd"/>
      <w:r w:rsidRPr="0041157E">
        <w:t xml:space="preserve"> </w:t>
      </w:r>
      <w:proofErr w:type="spellStart"/>
      <w:r w:rsidRPr="0041157E">
        <w:t>tumefaciens</w:t>
      </w:r>
      <w:proofErr w:type="spellEnd"/>
      <w:r w:rsidRPr="0041157E">
        <w:t xml:space="preserve"> και ένα σύστημα </w:t>
      </w:r>
      <w:proofErr w:type="spellStart"/>
      <w:r w:rsidRPr="0041157E">
        <w:t>ανασυνδυασμού</w:t>
      </w:r>
      <w:proofErr w:type="spellEnd"/>
      <w:r w:rsidRPr="0041157E">
        <w:t xml:space="preserve"> </w:t>
      </w:r>
      <w:proofErr w:type="spellStart"/>
      <w:r w:rsidRPr="0041157E">
        <w:t>Cre</w:t>
      </w:r>
      <w:proofErr w:type="spellEnd"/>
      <w:r w:rsidRPr="0041157E">
        <w:t>/</w:t>
      </w:r>
      <w:proofErr w:type="spellStart"/>
      <w:r w:rsidRPr="0041157E">
        <w:t>lox</w:t>
      </w:r>
      <w:proofErr w:type="spellEnd"/>
      <w:r w:rsidRPr="0041157E">
        <w:t xml:space="preserve"> για την αφαίρεση των δεικτών επιλογής·</w:t>
      </w:r>
    </w:p>
    <w:p w:rsidR="008A7B62" w:rsidRPr="0041157E" w:rsidRDefault="008A7B62" w:rsidP="008A7B62">
      <w:pPr>
        <w:pStyle w:val="NormalHanging12a"/>
        <w:tabs>
          <w:tab w:val="left" w:pos="0"/>
        </w:tabs>
        <w:suppressAutoHyphens/>
        <w:rPr>
          <w:szCs w:val="24"/>
        </w:rPr>
      </w:pPr>
      <w:r w:rsidRPr="0041157E">
        <w:t>Γ.</w:t>
      </w:r>
      <w:r w:rsidRPr="0041157E">
        <w:tab/>
        <w:t xml:space="preserve">λαμβάνοντας υπόψη ότι, στις 19 Ιουνίου 2024, η EFSA εξέδωσε θετική γνώμη σχετικά με τον αραβόσιτο MON 95275, η οποία δημοσιεύθηκε την 1η Αυγούστου 2024· λαμβάνοντας υπόψη ότι η γνώμη της EFSA δεν παρέχει επαρκή δεδομένα για την αξιολόγηση των ακούσιων γενετικών επιδράσεων, της βιολογικής δραστηριότητας των αλληλουχιών ανάγνωσης και των πιθανών εκτός στόχων επιπτώσεων σε μη </w:t>
      </w:r>
      <w:proofErr w:type="spellStart"/>
      <w:r w:rsidRPr="0041157E">
        <w:t>στοχευόμενους</w:t>
      </w:r>
      <w:proofErr w:type="spellEnd"/>
      <w:r w:rsidRPr="0041157E">
        <w:t xml:space="preserve"> οργανισμούς· </w:t>
      </w:r>
    </w:p>
    <w:p w:rsidR="008A7B62" w:rsidRPr="0041157E" w:rsidRDefault="008A7B62" w:rsidP="008A7B62">
      <w:pPr>
        <w:pStyle w:val="NormalHanging12a"/>
        <w:tabs>
          <w:tab w:val="left" w:pos="0"/>
        </w:tabs>
        <w:suppressAutoHyphens/>
        <w:rPr>
          <w:szCs w:val="24"/>
        </w:rPr>
      </w:pPr>
      <w:r w:rsidRPr="0041157E">
        <w:t>Δ.</w:t>
      </w:r>
      <w:r w:rsidRPr="0041157E">
        <w:tab/>
        <w:t>λαμβάνοντας υπόψη ότι οι επιτόπιες δοκιμές που διεξήγαγε ο αιτών δεν λάμβαναν υπόψη τις διαφορετικές περιβαλλοντικές συνθήκες καταπόνησης ή τις διαφορετικές γεωργικές πρακτικές, γεγονός που περιορίζει τη συνάφεια των αποτελεσμάτων με τα ευρωπαϊκά καλλιεργητικά περιβάλλοντα·</w:t>
      </w:r>
    </w:p>
    <w:p w:rsidR="008A7B62" w:rsidRPr="0041157E" w:rsidRDefault="008A7B62" w:rsidP="008A7B62">
      <w:pPr>
        <w:pStyle w:val="NormalHanging12a"/>
        <w:tabs>
          <w:tab w:val="left" w:pos="0"/>
        </w:tabs>
        <w:suppressAutoHyphens/>
        <w:rPr>
          <w:szCs w:val="24"/>
        </w:rPr>
      </w:pPr>
      <w:r w:rsidRPr="0041157E">
        <w:t>Ε.</w:t>
      </w:r>
      <w:r w:rsidRPr="0041157E">
        <w:tab/>
        <w:t xml:space="preserve">λαμβάνοντας υπόψη ότι η κατασκευή DvSnf7 </w:t>
      </w:r>
      <w:proofErr w:type="spellStart"/>
      <w:r w:rsidRPr="0041157E">
        <w:t>dsRNA</w:t>
      </w:r>
      <w:proofErr w:type="spellEnd"/>
      <w:r w:rsidRPr="0041157E">
        <w:t xml:space="preserve"> με τεχνολογία </w:t>
      </w:r>
      <w:proofErr w:type="spellStart"/>
      <w:r w:rsidRPr="0041157E">
        <w:t>RNAi</w:t>
      </w:r>
      <w:proofErr w:type="spellEnd"/>
      <w:r w:rsidRPr="0041157E">
        <w:t xml:space="preserve"> εγείρει ανησυχίες σχετικά με τις επιπτώσεις σε μη </w:t>
      </w:r>
      <w:proofErr w:type="spellStart"/>
      <w:r w:rsidRPr="0041157E">
        <w:t>στοχευόμενους</w:t>
      </w:r>
      <w:proofErr w:type="spellEnd"/>
      <w:r w:rsidRPr="0041157E">
        <w:t xml:space="preserve"> οργανισμούς·</w:t>
      </w:r>
    </w:p>
    <w:p w:rsidR="008A7B62" w:rsidRPr="0041157E" w:rsidRDefault="008A7B62" w:rsidP="008A7B62">
      <w:pPr>
        <w:pStyle w:val="NormalHanging12a"/>
        <w:tabs>
          <w:tab w:val="left" w:pos="0"/>
        </w:tabs>
        <w:suppressAutoHyphens/>
        <w:rPr>
          <w:szCs w:val="24"/>
        </w:rPr>
      </w:pPr>
      <w:r w:rsidRPr="0041157E">
        <w:t>ΣΤ.</w:t>
      </w:r>
      <w:r w:rsidRPr="0041157E">
        <w:tab/>
        <w:t xml:space="preserve">λαμβάνοντας υπόψη ότι οι </w:t>
      </w:r>
      <w:proofErr w:type="spellStart"/>
      <w:r w:rsidRPr="0041157E">
        <w:t>εντομοκτόνες</w:t>
      </w:r>
      <w:proofErr w:type="spellEnd"/>
      <w:r w:rsidRPr="0041157E">
        <w:t xml:space="preserve"> πρωτεΐνες mpp75Aa1 και vpb4Da2 έχουν δομικές ομοιότητες με γνωστές τοξίνες και δεν υπάρχει επαρκής αξιολόγηση όσον αφορά την ειδικότητα, την ανοσολογική απόκριση και τις συνδυαστικές επιδράσεις τους·</w:t>
      </w:r>
    </w:p>
    <w:p w:rsidR="008A7B62" w:rsidRPr="0041157E" w:rsidRDefault="008A7B62" w:rsidP="008A7B62">
      <w:pPr>
        <w:pStyle w:val="NormalHanging12a"/>
        <w:tabs>
          <w:tab w:val="left" w:pos="0"/>
        </w:tabs>
        <w:suppressAutoHyphens/>
        <w:rPr>
          <w:szCs w:val="24"/>
        </w:rPr>
      </w:pPr>
      <w:r w:rsidRPr="0041157E">
        <w:lastRenderedPageBreak/>
        <w:t>Ζ.</w:t>
      </w:r>
      <w:r w:rsidRPr="0041157E">
        <w:tab/>
        <w:t xml:space="preserve">λαμβάνοντας υπόψη ότι οι δυνατότητες γονιδιακής ροής σε άγρια συγγενικά είδη, συμπεριλαμβανομένων των ευρωπαϊκών πληθυσμών </w:t>
      </w:r>
      <w:proofErr w:type="spellStart"/>
      <w:r w:rsidRPr="0041157E">
        <w:t>τεοζίντης</w:t>
      </w:r>
      <w:proofErr w:type="spellEnd"/>
      <w:r w:rsidRPr="0041157E">
        <w:t xml:space="preserve">, ενέχουν κινδύνους </w:t>
      </w:r>
      <w:proofErr w:type="spellStart"/>
      <w:r w:rsidRPr="0041157E">
        <w:t>διαγονιδιακής</w:t>
      </w:r>
      <w:proofErr w:type="spellEnd"/>
      <w:r w:rsidRPr="0041157E">
        <w:t xml:space="preserve"> ανθεκτικότητας και οικολογικής ανισορροπίας·</w:t>
      </w:r>
    </w:p>
    <w:p w:rsidR="008A7B62" w:rsidRPr="0041157E" w:rsidRDefault="008A7B62" w:rsidP="008A7B62">
      <w:pPr>
        <w:pStyle w:val="NormalHanging12a"/>
        <w:tabs>
          <w:tab w:val="left" w:pos="0"/>
        </w:tabs>
        <w:suppressAutoHyphens/>
        <w:rPr>
          <w:szCs w:val="24"/>
        </w:rPr>
      </w:pPr>
      <w:r w:rsidRPr="0041157E">
        <w:t>Η.</w:t>
      </w:r>
      <w:r w:rsidRPr="0041157E">
        <w:tab/>
        <w:t>λαμβάνοντας υπόψη ότι οι απαιτήσεις παρακολούθησης βάσει του εκτελεστικού κανονισμού (ΕΕ) αριθ. 503/2013 της Επιτροπής</w:t>
      </w:r>
      <w:r w:rsidRPr="0041157E">
        <w:rPr>
          <w:rStyle w:val="FootnoteReference"/>
          <w:szCs w:val="24"/>
        </w:rPr>
        <w:footnoteReference w:id="5"/>
      </w:r>
      <w:r w:rsidRPr="0041157E">
        <w:t xml:space="preserve"> δεν αντιμετωπίζονται επαρκώς, ιδίως όσον αφορά την ανεξάρτητη επαλήθευση δεδομένων και τις μακροπρόθεσμες περιβαλλοντικές επιπτώσεις·</w:t>
      </w:r>
    </w:p>
    <w:p w:rsidR="008A7B62" w:rsidRPr="0041157E" w:rsidRDefault="008A7B62" w:rsidP="008A7B62">
      <w:pPr>
        <w:pStyle w:val="NormalHanging12a"/>
        <w:tabs>
          <w:tab w:val="left" w:pos="0"/>
        </w:tabs>
        <w:suppressAutoHyphens/>
        <w:rPr>
          <w:szCs w:val="24"/>
        </w:rPr>
      </w:pPr>
      <w:r w:rsidRPr="0041157E">
        <w:t>Θ.</w:t>
      </w:r>
      <w:r w:rsidRPr="0041157E">
        <w:tab/>
        <w:t xml:space="preserve">λαμβάνοντας υπόψη ότι η αξιολόγηση της EFSA δεν εξέτασε επαρκώς τον ρόλο των αλληλεπιδράσεων </w:t>
      </w:r>
      <w:proofErr w:type="spellStart"/>
      <w:r w:rsidRPr="0041157E">
        <w:t>μικροβιώματος</w:t>
      </w:r>
      <w:proofErr w:type="spellEnd"/>
      <w:r w:rsidRPr="0041157E">
        <w:t xml:space="preserve"> ή των σωρευτικών επιπτώσεων τοξικότητας σε μη </w:t>
      </w:r>
      <w:proofErr w:type="spellStart"/>
      <w:r w:rsidRPr="0041157E">
        <w:t>στοχευόμενους</w:t>
      </w:r>
      <w:proofErr w:type="spellEnd"/>
      <w:r w:rsidRPr="0041157E">
        <w:t xml:space="preserve"> οργανισμούς·</w:t>
      </w:r>
    </w:p>
    <w:p w:rsidR="008A7B62" w:rsidRPr="0041157E" w:rsidRDefault="008A7B62" w:rsidP="008A7B62">
      <w:pPr>
        <w:pStyle w:val="NormalHanging12a"/>
        <w:tabs>
          <w:tab w:val="left" w:pos="0"/>
        </w:tabs>
        <w:suppressAutoHyphens/>
        <w:rPr>
          <w:szCs w:val="24"/>
        </w:rPr>
      </w:pPr>
      <w:r w:rsidRPr="0041157E">
        <w:t>Ι.</w:t>
      </w:r>
      <w:r w:rsidRPr="0041157E">
        <w:tab/>
        <w:t xml:space="preserve">λαμβάνοντας υπόψη ότι, σε αντίθεση με τη χρήση εντομοκτόνων, όπου η έκθεση πραγματοποιείται κατά τον χρόνο του ψεκασμού και για περιορισμένο χρονικό διάστημα στη συνέχεια, η χρήση εντομοκτόνων γενετικά τροποποιημένων καλλιεργειών οδηγεί σε συνεχή έκθεση των </w:t>
      </w:r>
      <w:proofErr w:type="spellStart"/>
      <w:r w:rsidRPr="0041157E">
        <w:t>στοχευόμενων</w:t>
      </w:r>
      <w:proofErr w:type="spellEnd"/>
      <w:r w:rsidRPr="0041157E">
        <w:t xml:space="preserve"> και μη </w:t>
      </w:r>
      <w:proofErr w:type="spellStart"/>
      <w:r w:rsidRPr="0041157E">
        <w:t>στοχευόμενων</w:t>
      </w:r>
      <w:proofErr w:type="spellEnd"/>
      <w:r w:rsidRPr="0041157E">
        <w:t xml:space="preserve"> οργανισμών στις τοξίνες·</w:t>
      </w:r>
    </w:p>
    <w:p w:rsidR="008A7B62" w:rsidRPr="0041157E" w:rsidRDefault="008A7B62" w:rsidP="008A7B62">
      <w:pPr>
        <w:pStyle w:val="NormalHanging12a"/>
        <w:rPr>
          <w:b/>
          <w:i/>
          <w:szCs w:val="24"/>
        </w:rPr>
      </w:pPr>
      <w:r w:rsidRPr="0041157E">
        <w:rPr>
          <w:b/>
          <w:i/>
        </w:rPr>
        <w:t>Παρατηρήσεις των κρατών μελών και των ενδιαφερόμενων μερών</w:t>
      </w:r>
    </w:p>
    <w:p w:rsidR="008A7B62" w:rsidRPr="0041157E" w:rsidRDefault="008A7B62" w:rsidP="008A7B62">
      <w:pPr>
        <w:pStyle w:val="NormalHanging12a"/>
        <w:tabs>
          <w:tab w:val="left" w:pos="0"/>
        </w:tabs>
        <w:suppressAutoHyphens/>
        <w:rPr>
          <w:szCs w:val="24"/>
        </w:rPr>
      </w:pPr>
      <w:r w:rsidRPr="0041157E">
        <w:t>ΙΑ.</w:t>
      </w:r>
      <w:r w:rsidRPr="0041157E">
        <w:tab/>
        <w:t>λαμβάνοντας υπόψη ότι τα κράτη μέλη υπέβαλαν στην EFSA πολλά επικριτικά σχόλια κατά τη διάρκεια της τρίμηνης περιόδου διαβούλευσης</w:t>
      </w:r>
      <w:r w:rsidRPr="0041157E">
        <w:rPr>
          <w:rStyle w:val="FootnoteReference"/>
          <w:szCs w:val="24"/>
        </w:rPr>
        <w:footnoteReference w:id="6"/>
      </w:r>
      <w:r w:rsidRPr="0041157E">
        <w:t xml:space="preserve">, μεταξύ των οποίων ότι ο κατάλογος των σχετικών μελετών, που προσδιορίστηκαν στην ανασκόπηση της βιβλιογραφίας του αιτούντος, δεν περιλάμβανε μελέτες για την επίδραση των εντομοκτόνων πρωτεϊνών στο περιβάλλον ή σχετικά με τις πιθανές επιπτώσεις των υπολειμμάτων καλλιεργειών σε μη </w:t>
      </w:r>
      <w:proofErr w:type="spellStart"/>
      <w:r w:rsidRPr="0041157E">
        <w:t>στοχευόμενους</w:t>
      </w:r>
      <w:proofErr w:type="spellEnd"/>
      <w:r w:rsidRPr="0041157E">
        <w:t xml:space="preserve"> οργανισμούς· </w:t>
      </w:r>
    </w:p>
    <w:p w:rsidR="008A7B62" w:rsidRPr="0041157E" w:rsidRDefault="008A7B62" w:rsidP="008A7B62">
      <w:pPr>
        <w:pStyle w:val="NormalHanging12a"/>
        <w:tabs>
          <w:tab w:val="left" w:pos="0"/>
        </w:tabs>
        <w:suppressAutoHyphens/>
        <w:rPr>
          <w:szCs w:val="24"/>
        </w:rPr>
      </w:pPr>
      <w:r w:rsidRPr="0041157E">
        <w:t>ΙΒ.</w:t>
      </w:r>
      <w:r w:rsidRPr="0041157E">
        <w:tab/>
        <w:t>λαμβάνοντας υπόψη ότι, κατά την όγδοη κοινοβουλευτική του περίοδο, το Κοινοβούλιο ενέκρινε συνολικά 36 ψηφίσματα που αντιτίθενται στη διάθεση στην αγορά ΓΤΟ για τρόφιμα και ζωοτροφές (33 ψηφίσματα) και στην καλλιέργεια ΓΤΟ στην Ένωση (τρία ψηφίσματα)· λαμβάνοντας υπόψη ότι, κατά την ένατη κοινοβουλευτική του περίοδο, το Κοινοβούλιο ενέκρινε 38 ψηφίσματα που αντιτίθενται στη διάθεση ΓΤΟ στην αγορά και άλλα 8 ψηφίσματα που αντιτίθενται στη διάθεση ΓΤΟ στην αγορά ήδη κατά την τρέχουσα δέκατη κοινοβουλευτική περίοδο·</w:t>
      </w:r>
    </w:p>
    <w:p w:rsidR="008A7B62" w:rsidRPr="0041157E" w:rsidRDefault="008A7B62" w:rsidP="008A7B62">
      <w:pPr>
        <w:pStyle w:val="NormalHanging12a"/>
        <w:tabs>
          <w:tab w:val="left" w:pos="0"/>
        </w:tabs>
        <w:suppressAutoHyphens/>
      </w:pPr>
      <w:r w:rsidRPr="0041157E">
        <w:t>ΙΓ.</w:t>
      </w:r>
      <w:r w:rsidRPr="0041157E">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rsidR="003B393B" w:rsidRPr="0041157E" w:rsidRDefault="003B393B" w:rsidP="008A7B62">
      <w:pPr>
        <w:pStyle w:val="NormalHanging12a"/>
        <w:tabs>
          <w:tab w:val="left" w:pos="0"/>
        </w:tabs>
        <w:suppressAutoHyphens/>
        <w:rPr>
          <w:szCs w:val="24"/>
        </w:rPr>
      </w:pPr>
      <w:r w:rsidRPr="0041157E">
        <w:rPr>
          <w:szCs w:val="24"/>
        </w:rPr>
        <w:t>ΙΔ.</w:t>
      </w:r>
      <w:r w:rsidRPr="0041157E">
        <w:rPr>
          <w:szCs w:val="24"/>
        </w:rPr>
        <w:tab/>
        <w:t xml:space="preserve">λαμβάνοντας υπόψη ότι η εμπορική συμφωνία μεταξύ της ΕΕ και της </w:t>
      </w:r>
      <w:proofErr w:type="spellStart"/>
      <w:r w:rsidRPr="0041157E">
        <w:rPr>
          <w:szCs w:val="24"/>
        </w:rPr>
        <w:t>Mercosur</w:t>
      </w:r>
      <w:proofErr w:type="spellEnd"/>
      <w:r w:rsidRPr="0041157E">
        <w:rPr>
          <w:szCs w:val="24"/>
        </w:rPr>
        <w:t xml:space="preserve"> θα ενθαρρύνει τις εισαγωγές στην Ένωση τροφίμων και ζωοτροφών που περιέχουν γενετικώς τροποποιημένους οργανισμούς, αποτελούνται από τέτοιους οργανισμούς ή </w:t>
      </w:r>
      <w:r w:rsidRPr="0041157E">
        <w:rPr>
          <w:szCs w:val="24"/>
        </w:rPr>
        <w:lastRenderedPageBreak/>
        <w:t>παράγονται από αυτούς, καθώς και ότι η Βραζιλία και η Αργεντινή συγκαταλέγονται μεταξύ των μεγαλύτερων παραγωγών ΓΤΟ και χρηστών φυτοφαρμάκων παγκοσμίως, συμπεριλαμβανομένων των ΓΤΟ και των φυτοφαρμάκων που απαγορεύονται στην Ένωση για υγειονομικούς ή περιβαλλοντικούς λόγους·</w:t>
      </w:r>
    </w:p>
    <w:p w:rsidR="008A7B62" w:rsidRPr="0041157E" w:rsidRDefault="0041157E" w:rsidP="0041157E">
      <w:pPr>
        <w:pStyle w:val="NormalHanging12a"/>
        <w:ind w:hanging="570"/>
        <w:rPr>
          <w:szCs w:val="24"/>
        </w:rPr>
      </w:pPr>
      <w:r w:rsidRPr="0041157E">
        <w:rPr>
          <w:szCs w:val="24"/>
        </w:rPr>
        <w:t>1.</w:t>
      </w:r>
      <w:r w:rsidRPr="0041157E">
        <w:rPr>
          <w:szCs w:val="24"/>
        </w:rPr>
        <w:tab/>
      </w:r>
      <w:r w:rsidR="008A7B62" w:rsidRPr="0041157E">
        <w:t>θεωρεί ότι το σχέδιο εκτελεστικής απόφασης της Επιτροπής υπερβαίνει τις εκτελεστικές αρμοδιότητες που προβλέπει ο κανονισμός (ΕΚ) αριθ. 1829/2003·</w:t>
      </w:r>
    </w:p>
    <w:p w:rsidR="008A7B62" w:rsidRPr="0041157E" w:rsidRDefault="0041157E" w:rsidP="0041157E">
      <w:pPr>
        <w:pStyle w:val="NormalHanging12a"/>
        <w:ind w:hanging="570"/>
        <w:rPr>
          <w:szCs w:val="24"/>
        </w:rPr>
      </w:pPr>
      <w:r w:rsidRPr="0041157E">
        <w:rPr>
          <w:szCs w:val="24"/>
        </w:rPr>
        <w:t>2.</w:t>
      </w:r>
      <w:r w:rsidRPr="0041157E">
        <w:rPr>
          <w:szCs w:val="24"/>
        </w:rPr>
        <w:tab/>
      </w:r>
      <w:r w:rsidR="008A7B62" w:rsidRPr="0041157E">
        <w:t>θεωρεί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008A7B62" w:rsidRPr="0041157E">
        <w:rPr>
          <w:rStyle w:val="FootnoteReference"/>
          <w:szCs w:val="24"/>
        </w:rPr>
        <w:footnoteReference w:id="7"/>
      </w:r>
      <w:r w:rsidR="008A7B62" w:rsidRPr="0041157E">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rsidR="008A7B62" w:rsidRPr="0041157E" w:rsidRDefault="0041157E" w:rsidP="0041157E">
      <w:pPr>
        <w:pStyle w:val="NormalHanging12a"/>
        <w:ind w:hanging="570"/>
        <w:rPr>
          <w:szCs w:val="24"/>
        </w:rPr>
      </w:pPr>
      <w:r w:rsidRPr="0041157E">
        <w:rPr>
          <w:szCs w:val="24"/>
        </w:rPr>
        <w:t>3.</w:t>
      </w:r>
      <w:r w:rsidRPr="0041157E">
        <w:rPr>
          <w:szCs w:val="24"/>
        </w:rPr>
        <w:tab/>
      </w:r>
      <w:r w:rsidR="008A7B62" w:rsidRPr="0041157E">
        <w:t>ζητεί από την Επιτροπή να αποσύρει το σχέδιο εκτελεστικής απόφασής της και να υποβάλει νέο σχέδιο στην επιτροπή·</w:t>
      </w:r>
    </w:p>
    <w:p w:rsidR="008A7B62" w:rsidRPr="0041157E" w:rsidRDefault="0041157E" w:rsidP="0041157E">
      <w:pPr>
        <w:pStyle w:val="NormalHanging12a"/>
        <w:ind w:hanging="570"/>
        <w:rPr>
          <w:szCs w:val="24"/>
        </w:rPr>
      </w:pPr>
      <w:r w:rsidRPr="0041157E">
        <w:rPr>
          <w:szCs w:val="24"/>
        </w:rPr>
        <w:t>4.</w:t>
      </w:r>
      <w:r w:rsidRPr="0041157E">
        <w:rPr>
          <w:szCs w:val="24"/>
        </w:rPr>
        <w:tab/>
      </w:r>
      <w:r w:rsidR="008A7B62" w:rsidRPr="0041157E">
        <w:t>καλεί την Επιτροπή να διασφαλίσει τη σύγκλιση των προτύπων μεταξύ της Ένωσης και των εταίρων της στις διαπραγματεύσεις για συμφωνίες ελεύθερων συναλλαγών, προκειμένου να πληρούνται τα πρότυπα ασφάλειας της Ένωσης·</w:t>
      </w:r>
    </w:p>
    <w:p w:rsidR="008A7B62" w:rsidRPr="0041157E" w:rsidRDefault="0041157E" w:rsidP="0041157E">
      <w:pPr>
        <w:pStyle w:val="NormalHanging12a"/>
        <w:ind w:hanging="570"/>
        <w:rPr>
          <w:szCs w:val="24"/>
        </w:rPr>
      </w:pPr>
      <w:r w:rsidRPr="0041157E">
        <w:rPr>
          <w:szCs w:val="24"/>
        </w:rPr>
        <w:t>5.</w:t>
      </w:r>
      <w:r w:rsidRPr="0041157E">
        <w:rPr>
          <w:szCs w:val="24"/>
        </w:rPr>
        <w:tab/>
      </w:r>
      <w:r w:rsidR="008A7B62" w:rsidRPr="0041157E">
        <w:t>καλεί την Επιτροπή να μην εγκρίνει τις γενετικά τροποποιημένες καλλιέργειες λόγω κινδύνων για τη βιοποικιλότητα, την ασφάλεια των τροφίμων και την υγεία των εργαζομένων σύμφωνα με την προσέγγιση «Μία υγεία»·</w:t>
      </w:r>
    </w:p>
    <w:p w:rsidR="008A7B62" w:rsidRPr="0041157E" w:rsidRDefault="0041157E" w:rsidP="0041157E">
      <w:pPr>
        <w:pStyle w:val="NormalHanging12a"/>
        <w:ind w:hanging="570"/>
        <w:rPr>
          <w:szCs w:val="24"/>
        </w:rPr>
      </w:pPr>
      <w:r w:rsidRPr="0041157E">
        <w:rPr>
          <w:szCs w:val="24"/>
        </w:rPr>
        <w:t>6.</w:t>
      </w:r>
      <w:r w:rsidRPr="0041157E">
        <w:rPr>
          <w:szCs w:val="24"/>
        </w:rPr>
        <w:tab/>
      </w:r>
      <w:r w:rsidR="008A7B62" w:rsidRPr="0041157E">
        <w:t>εκφράζει την ικανοποίησή του για το γεγονός ότι η Επιτροπή αναγνώρισε τελικά, σε επιστολή της με ημερομηνία 11 Σεπτεμβρίου 2020 προς τους βουλευτές, την ανάγκη να λαμβάνεται υπόψη η βιωσιμότητα κατά τη λήψη αποφάσεων για την έγκριση ΓΤΟ</w:t>
      </w:r>
      <w:r w:rsidR="008A7B62" w:rsidRPr="0041157E">
        <w:rPr>
          <w:rStyle w:val="FootnoteReference"/>
          <w:szCs w:val="24"/>
        </w:rPr>
        <w:footnoteReference w:id="8"/>
      </w:r>
      <w:r w:rsidR="008A7B62" w:rsidRPr="0041157E">
        <w:t>· εκφράζει, ωστόσο, τη βαθιά απογοήτευσή του καθώς έκτοτε η Επιτροπή συνεχίζει να εγκρίνει ΓΤΟ για εισαγωγή στην Ένωση, παρά τις επανειλημμένες αντιρρήσεις του Κοινοβουλίου και το γεγονός ότι η πλειοψηφία των κρατών μελών ψηφίζει απορριπτικά·</w:t>
      </w:r>
    </w:p>
    <w:p w:rsidR="008A7B62" w:rsidRPr="0041157E" w:rsidRDefault="0041157E" w:rsidP="0041157E">
      <w:pPr>
        <w:pStyle w:val="NormalHanging12a"/>
        <w:ind w:hanging="570"/>
        <w:rPr>
          <w:szCs w:val="24"/>
        </w:rPr>
      </w:pPr>
      <w:r w:rsidRPr="0041157E">
        <w:rPr>
          <w:szCs w:val="24"/>
        </w:rPr>
        <w:t>7.</w:t>
      </w:r>
      <w:r w:rsidRPr="0041157E">
        <w:rPr>
          <w:szCs w:val="24"/>
        </w:rPr>
        <w:tab/>
      </w:r>
      <w:r w:rsidR="008A7B62" w:rsidRPr="0041157E">
        <w:t xml:space="preserve">παροτρύνει εκ νέου την Επιτροπή να λάβει υπόψη τις υποχρεώσεις της Ένωσης στο πλαίσιο διεθνών συμφωνιών, όπως η Συμφωνία του Παρισιού για το κλίμα, η Σύμβαση των Ηνωμένων Εθνών για τη βιολογική ποικιλότητα και οι Στόχοι Βιώσιμης Ανάπτυξης (ΣΒΑ) των Ηνωμένων Εθνών· επαναλαμβάνει την έκκλησή του να συνοδεύονται τα σχέδια εκτελεστικών πράξεων από αιτιολογική έκθεση στην οποία να εξηγείται πώς </w:t>
      </w:r>
      <w:r w:rsidR="008A7B62" w:rsidRPr="0041157E">
        <w:lastRenderedPageBreak/>
        <w:t>τηρούν την αρχή της «μη πρόκλησης σημαντικής βλάβης»</w:t>
      </w:r>
      <w:r w:rsidR="008A7B62" w:rsidRPr="0041157E">
        <w:rPr>
          <w:rStyle w:val="FootnoteReference"/>
          <w:szCs w:val="24"/>
        </w:rPr>
        <w:footnoteReference w:id="9"/>
      </w:r>
      <w:r w:rsidR="008A7B62" w:rsidRPr="0041157E">
        <w:t xml:space="preserve">· </w:t>
      </w:r>
    </w:p>
    <w:p w:rsidR="000D57DF" w:rsidRPr="0041157E" w:rsidRDefault="0041157E" w:rsidP="0041157E">
      <w:pPr>
        <w:pStyle w:val="NormalHanging12a"/>
        <w:ind w:hanging="570"/>
      </w:pPr>
      <w:r w:rsidRPr="0041157E">
        <w:t>8.</w:t>
      </w:r>
      <w:r w:rsidRPr="0041157E">
        <w:tab/>
      </w:r>
      <w:r w:rsidR="008A7B62" w:rsidRPr="0041157E">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rsidR="00E365E1" w:rsidRPr="0041157E" w:rsidRDefault="00E365E1" w:rsidP="00E71543"/>
    <w:sectPr w:rsidR="00E365E1" w:rsidRPr="0041157E" w:rsidSect="000D57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543" w:rsidRPr="000D57DF" w:rsidRDefault="00E71543">
      <w:r w:rsidRPr="000D57DF">
        <w:separator/>
      </w:r>
    </w:p>
  </w:endnote>
  <w:endnote w:type="continuationSeparator" w:id="0">
    <w:p w:rsidR="00E71543" w:rsidRPr="000D57DF" w:rsidRDefault="00E71543">
      <w:r w:rsidRPr="000D57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57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57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57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543" w:rsidRPr="000D57DF" w:rsidRDefault="00E71543">
      <w:r w:rsidRPr="000D57DF">
        <w:separator/>
      </w:r>
    </w:p>
  </w:footnote>
  <w:footnote w:type="continuationSeparator" w:id="0">
    <w:p w:rsidR="00E71543" w:rsidRPr="000D57DF" w:rsidRDefault="00E71543">
      <w:r w:rsidRPr="000D57DF">
        <w:continuationSeparator/>
      </w:r>
    </w:p>
  </w:footnote>
  <w:footnote w:id="1">
    <w:p w:rsidR="008A7B62" w:rsidRPr="000D57DF" w:rsidRDefault="008A7B62" w:rsidP="000D57DF">
      <w:pPr>
        <w:pStyle w:val="FootnoteText"/>
        <w:ind w:left="567" w:hanging="567"/>
        <w:rPr>
          <w:color w:val="000000" w:themeColor="text1"/>
          <w:sz w:val="24"/>
          <w:lang w:val="el-GR"/>
        </w:rPr>
      </w:pPr>
      <w:r w:rsidRPr="000D57DF">
        <w:rPr>
          <w:rStyle w:val="Funotenzeichen"/>
          <w:color w:val="000000" w:themeColor="text1"/>
          <w:sz w:val="24"/>
          <w:lang w:val="el-GR"/>
        </w:rPr>
        <w:footnoteRef/>
      </w:r>
      <w:r w:rsidR="000D57DF" w:rsidRPr="000D57DF">
        <w:rPr>
          <w:sz w:val="24"/>
          <w:lang w:val="el-GR"/>
        </w:rPr>
        <w:t xml:space="preserve"> </w:t>
      </w:r>
      <w:r w:rsidR="000D57DF" w:rsidRPr="000D57DF">
        <w:rPr>
          <w:sz w:val="24"/>
          <w:lang w:val="el-GR"/>
        </w:rPr>
        <w:tab/>
      </w:r>
      <w:r w:rsidRPr="000D57DF">
        <w:rPr>
          <w:sz w:val="24"/>
          <w:lang w:val="el-GR"/>
        </w:rPr>
        <w:t>ΕΕ L 268 της 18.10.2003, σ. 1, ELI:</w:t>
      </w:r>
      <w:r w:rsidRPr="000D57DF">
        <w:rPr>
          <w:color w:val="000000" w:themeColor="text1"/>
          <w:sz w:val="24"/>
          <w:lang w:val="el-GR"/>
        </w:rPr>
        <w:t> </w:t>
      </w:r>
      <w:hyperlink r:id="rId1" w:history="1">
        <w:r w:rsidRPr="000D57DF">
          <w:rPr>
            <w:rStyle w:val="Hyperlink"/>
            <w:sz w:val="24"/>
            <w:lang w:val="el-GR"/>
          </w:rPr>
          <w:t>http://data.europa.eu/eli/reg/2003/1829/oj</w:t>
        </w:r>
      </w:hyperlink>
      <w:r w:rsidRPr="000D57DF">
        <w:rPr>
          <w:rStyle w:val="Hyperlink"/>
          <w:color w:val="000000" w:themeColor="text1"/>
          <w:sz w:val="24"/>
          <w:lang w:val="el-GR"/>
        </w:rPr>
        <w:t>.</w:t>
      </w:r>
    </w:p>
  </w:footnote>
  <w:footnote w:id="2">
    <w:p w:rsidR="008A7B62" w:rsidRPr="000D57DF" w:rsidRDefault="008A7B62" w:rsidP="000D57DF">
      <w:pPr>
        <w:pStyle w:val="FootnoteText"/>
        <w:ind w:left="567" w:hanging="567"/>
        <w:rPr>
          <w:color w:val="000000" w:themeColor="text1"/>
          <w:sz w:val="24"/>
          <w:lang w:val="el-GR"/>
        </w:rPr>
      </w:pPr>
      <w:r w:rsidRPr="000D57DF">
        <w:rPr>
          <w:rStyle w:val="Funotenzeichen"/>
          <w:color w:val="000000" w:themeColor="text1"/>
          <w:sz w:val="24"/>
          <w:lang w:val="el-GR"/>
        </w:rPr>
        <w:footnoteRef/>
      </w:r>
      <w:r w:rsidR="000D57DF" w:rsidRPr="000D57DF">
        <w:rPr>
          <w:sz w:val="24"/>
          <w:lang w:val="el-GR"/>
        </w:rPr>
        <w:t xml:space="preserve"> </w:t>
      </w:r>
      <w:r w:rsidR="000D57DF" w:rsidRPr="000D57DF">
        <w:rPr>
          <w:sz w:val="24"/>
          <w:lang w:val="el-GR"/>
        </w:rPr>
        <w:tab/>
      </w:r>
      <w:r w:rsidRPr="000D57DF">
        <w:rPr>
          <w:sz w:val="24"/>
          <w:lang w:val="el-GR"/>
        </w:rPr>
        <w:t xml:space="preserve">ΕΕ L 55 της 28.2.2011, σ. </w:t>
      </w:r>
      <w:r w:rsidRPr="000D57DF">
        <w:rPr>
          <w:sz w:val="24"/>
          <w:lang w:val="el-GR"/>
        </w:rPr>
        <w:t>13, ELI</w:t>
      </w:r>
      <w:r w:rsidRPr="003B393B">
        <w:rPr>
          <w:rStyle w:val="Hyperlink"/>
          <w:sz w:val="24"/>
          <w:u w:val="none"/>
          <w:lang w:val="el-GR"/>
        </w:rPr>
        <w:t>:</w:t>
      </w:r>
      <w:r w:rsidRPr="003B393B">
        <w:rPr>
          <w:rStyle w:val="Hyperlink"/>
          <w:color w:val="000000" w:themeColor="text1"/>
          <w:sz w:val="24"/>
          <w:u w:val="none"/>
          <w:lang w:val="el-GR"/>
        </w:rPr>
        <w:t xml:space="preserve"> </w:t>
      </w:r>
      <w:hyperlink r:id="rId2" w:history="1">
        <w:r w:rsidRPr="003B393B">
          <w:rPr>
            <w:rStyle w:val="Hyperlink"/>
            <w:sz w:val="24"/>
            <w:szCs w:val="24"/>
          </w:rPr>
          <w:t>http</w:t>
        </w:r>
        <w:r w:rsidRPr="003B393B">
          <w:rPr>
            <w:rStyle w:val="Hyperlink"/>
            <w:sz w:val="24"/>
            <w:szCs w:val="24"/>
            <w:lang w:val="el-GR"/>
          </w:rPr>
          <w:t>://</w:t>
        </w:r>
        <w:r w:rsidRPr="003B393B">
          <w:rPr>
            <w:rStyle w:val="Hyperlink"/>
            <w:sz w:val="24"/>
            <w:szCs w:val="24"/>
          </w:rPr>
          <w:t>data</w:t>
        </w:r>
        <w:r w:rsidRPr="003B393B">
          <w:rPr>
            <w:rStyle w:val="Hyperlink"/>
            <w:sz w:val="24"/>
            <w:szCs w:val="24"/>
            <w:lang w:val="el-GR"/>
          </w:rPr>
          <w:t>.</w:t>
        </w:r>
        <w:proofErr w:type="spellStart"/>
        <w:r w:rsidRPr="003B393B">
          <w:rPr>
            <w:rStyle w:val="Hyperlink"/>
            <w:sz w:val="24"/>
            <w:szCs w:val="24"/>
          </w:rPr>
          <w:t>europa</w:t>
        </w:r>
        <w:proofErr w:type="spellEnd"/>
        <w:r w:rsidRPr="003B393B">
          <w:rPr>
            <w:rStyle w:val="Hyperlink"/>
            <w:sz w:val="24"/>
            <w:szCs w:val="24"/>
            <w:lang w:val="el-GR"/>
          </w:rPr>
          <w:t>.</w:t>
        </w:r>
        <w:r w:rsidRPr="003B393B">
          <w:rPr>
            <w:rStyle w:val="Hyperlink"/>
            <w:sz w:val="24"/>
            <w:szCs w:val="24"/>
          </w:rPr>
          <w:t>eu</w:t>
        </w:r>
        <w:r w:rsidRPr="003B393B">
          <w:rPr>
            <w:rStyle w:val="Hyperlink"/>
            <w:sz w:val="24"/>
            <w:szCs w:val="24"/>
            <w:lang w:val="el-GR"/>
          </w:rPr>
          <w:t>/</w:t>
        </w:r>
        <w:proofErr w:type="spellStart"/>
        <w:r w:rsidRPr="003B393B">
          <w:rPr>
            <w:rStyle w:val="Hyperlink"/>
            <w:sz w:val="24"/>
            <w:szCs w:val="24"/>
          </w:rPr>
          <w:t>eli</w:t>
        </w:r>
        <w:proofErr w:type="spellEnd"/>
        <w:r w:rsidRPr="003B393B">
          <w:rPr>
            <w:rStyle w:val="Hyperlink"/>
            <w:sz w:val="24"/>
            <w:szCs w:val="24"/>
            <w:lang w:val="el-GR"/>
          </w:rPr>
          <w:t>/</w:t>
        </w:r>
        <w:r w:rsidRPr="003B393B">
          <w:rPr>
            <w:rStyle w:val="Hyperlink"/>
            <w:sz w:val="24"/>
            <w:szCs w:val="24"/>
          </w:rPr>
          <w:t>reg</w:t>
        </w:r>
        <w:r w:rsidRPr="003B393B">
          <w:rPr>
            <w:rStyle w:val="Hyperlink"/>
            <w:sz w:val="24"/>
            <w:szCs w:val="24"/>
            <w:lang w:val="el-GR"/>
          </w:rPr>
          <w:t>/2011/182/</w:t>
        </w:r>
        <w:proofErr w:type="spellStart"/>
        <w:r w:rsidRPr="003B393B">
          <w:rPr>
            <w:rStyle w:val="Hyperlink"/>
            <w:sz w:val="24"/>
            <w:szCs w:val="24"/>
          </w:rPr>
          <w:t>oj</w:t>
        </w:r>
        <w:proofErr w:type="spellEnd"/>
      </w:hyperlink>
      <w:r w:rsidRPr="000D57DF">
        <w:rPr>
          <w:rStyle w:val="Hyperlink"/>
          <w:color w:val="000000" w:themeColor="text1"/>
          <w:sz w:val="24"/>
          <w:lang w:val="el-GR"/>
        </w:rPr>
        <w:t>.</w:t>
      </w:r>
    </w:p>
  </w:footnote>
  <w:footnote w:id="3">
    <w:p w:rsidR="008A7B62" w:rsidRPr="000D57DF" w:rsidRDefault="008A7B62" w:rsidP="000D57DF">
      <w:pPr>
        <w:pStyle w:val="FootnoteText"/>
        <w:ind w:left="567" w:hanging="567"/>
        <w:rPr>
          <w:color w:val="000000" w:themeColor="text1"/>
          <w:sz w:val="24"/>
          <w:lang w:val="el-GR"/>
        </w:rPr>
      </w:pPr>
      <w:r w:rsidRPr="000D57DF">
        <w:rPr>
          <w:rStyle w:val="FootnoteReference"/>
          <w:color w:val="000000" w:themeColor="text1"/>
          <w:sz w:val="24"/>
          <w:lang w:val="el-GR"/>
        </w:rPr>
        <w:footnoteRef/>
      </w:r>
      <w:r w:rsidR="000D57DF" w:rsidRPr="000D57DF">
        <w:rPr>
          <w:sz w:val="24"/>
          <w:lang w:val="el-GR"/>
        </w:rPr>
        <w:t xml:space="preserve"> </w:t>
      </w:r>
      <w:r w:rsidR="000D57DF" w:rsidRPr="000D57DF">
        <w:rPr>
          <w:sz w:val="24"/>
          <w:lang w:val="el-GR"/>
        </w:rPr>
        <w:tab/>
      </w:r>
      <w:r w:rsidRPr="000D57DF">
        <w:rPr>
          <w:sz w:val="24"/>
          <w:lang w:val="el-GR"/>
        </w:rPr>
        <w:t>Επιστημονική γνώμη της ομάδας της EFSA για τους γενετικώς τροποποιημένους οργανισμούς σχετικά με την αξιολόγηση του γενετικά τροποποιημένου αραβοσίτου MON 95275 (αίτηση GMFF-2022-5890), EFSA Journal 2024·</w:t>
      </w:r>
      <w:r w:rsidRPr="000D57DF">
        <w:rPr>
          <w:color w:val="000000" w:themeColor="text1"/>
          <w:sz w:val="24"/>
          <w:lang w:val="el-GR"/>
        </w:rPr>
        <w:t xml:space="preserve"> 22(8):e8886, </w:t>
      </w:r>
      <w:hyperlink r:id="rId3" w:history="1">
        <w:r w:rsidRPr="003B393B">
          <w:rPr>
            <w:rStyle w:val="Hyperlink"/>
            <w:sz w:val="24"/>
            <w:szCs w:val="24"/>
          </w:rPr>
          <w:t>https</w:t>
        </w:r>
        <w:r w:rsidRPr="003B393B">
          <w:rPr>
            <w:rStyle w:val="Hyperlink"/>
            <w:sz w:val="24"/>
            <w:szCs w:val="24"/>
            <w:lang w:val="el-GR"/>
          </w:rPr>
          <w:t>://</w:t>
        </w:r>
        <w:proofErr w:type="spellStart"/>
        <w:r w:rsidRPr="003B393B">
          <w:rPr>
            <w:rStyle w:val="Hyperlink"/>
            <w:sz w:val="24"/>
            <w:szCs w:val="24"/>
          </w:rPr>
          <w:t>doi</w:t>
        </w:r>
        <w:proofErr w:type="spellEnd"/>
        <w:r w:rsidRPr="003B393B">
          <w:rPr>
            <w:rStyle w:val="Hyperlink"/>
            <w:sz w:val="24"/>
            <w:szCs w:val="24"/>
            <w:lang w:val="el-GR"/>
          </w:rPr>
          <w:t>.</w:t>
        </w:r>
        <w:proofErr w:type="spellStart"/>
        <w:r w:rsidRPr="003B393B">
          <w:rPr>
            <w:rStyle w:val="Hyperlink"/>
            <w:sz w:val="24"/>
            <w:szCs w:val="24"/>
          </w:rPr>
          <w:t>org</w:t>
        </w:r>
        <w:proofErr w:type="spellEnd"/>
        <w:r w:rsidRPr="003B393B">
          <w:rPr>
            <w:rStyle w:val="Hyperlink"/>
            <w:sz w:val="24"/>
            <w:szCs w:val="24"/>
            <w:lang w:val="el-GR"/>
          </w:rPr>
          <w:t>/10.2903/</w:t>
        </w:r>
        <w:r w:rsidRPr="003B393B">
          <w:rPr>
            <w:rStyle w:val="Hyperlink"/>
            <w:sz w:val="24"/>
            <w:szCs w:val="24"/>
          </w:rPr>
          <w:t>j</w:t>
        </w:r>
        <w:r w:rsidRPr="003B393B">
          <w:rPr>
            <w:rStyle w:val="Hyperlink"/>
            <w:sz w:val="24"/>
            <w:szCs w:val="24"/>
            <w:lang w:val="el-GR"/>
          </w:rPr>
          <w:t>.</w:t>
        </w:r>
        <w:proofErr w:type="spellStart"/>
        <w:r w:rsidRPr="003B393B">
          <w:rPr>
            <w:rStyle w:val="Hyperlink"/>
            <w:sz w:val="24"/>
            <w:szCs w:val="24"/>
          </w:rPr>
          <w:t>efsa</w:t>
        </w:r>
        <w:proofErr w:type="spellEnd"/>
        <w:r w:rsidRPr="003B393B">
          <w:rPr>
            <w:rStyle w:val="Hyperlink"/>
            <w:sz w:val="24"/>
            <w:szCs w:val="24"/>
            <w:lang w:val="el-GR"/>
          </w:rPr>
          <w:t>.2024.8886</w:t>
        </w:r>
      </w:hyperlink>
      <w:r w:rsidRPr="000D57DF">
        <w:rPr>
          <w:color w:val="000000" w:themeColor="text1"/>
          <w:sz w:val="24"/>
          <w:lang w:val="el-GR"/>
        </w:rPr>
        <w:t xml:space="preserve">. </w:t>
      </w:r>
    </w:p>
  </w:footnote>
  <w:footnote w:id="4">
    <w:p w:rsidR="008A7B62" w:rsidRPr="000D57DF" w:rsidRDefault="008A7B62" w:rsidP="000D57DF">
      <w:pPr>
        <w:pStyle w:val="FootnoteText"/>
        <w:ind w:left="567" w:hanging="567"/>
        <w:rPr>
          <w:color w:val="000000" w:themeColor="text1"/>
          <w:sz w:val="24"/>
          <w:vertAlign w:val="superscript"/>
          <w:lang w:val="el-GR"/>
        </w:rPr>
      </w:pPr>
      <w:r w:rsidRPr="000D57DF">
        <w:rPr>
          <w:rStyle w:val="FootnoteReference"/>
          <w:color w:val="000000" w:themeColor="text1"/>
          <w:sz w:val="24"/>
          <w:lang w:val="el-GR"/>
        </w:rPr>
        <w:footnoteRef/>
      </w:r>
      <w:r w:rsidR="000D57DF" w:rsidRPr="000D57DF">
        <w:rPr>
          <w:sz w:val="24"/>
          <w:lang w:val="el-GR"/>
        </w:rPr>
        <w:t xml:space="preserve"> </w:t>
      </w:r>
      <w:r w:rsidR="000D57DF" w:rsidRPr="000D57DF">
        <w:rPr>
          <w:sz w:val="24"/>
          <w:lang w:val="el-GR"/>
        </w:rPr>
        <w:tab/>
      </w:r>
      <w:r w:rsidRPr="000D57DF">
        <w:rPr>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w:t>
      </w:r>
      <w:r w:rsidRPr="000D57DF">
        <w:rPr>
          <w:color w:val="000000" w:themeColor="text1"/>
          <w:sz w:val="24"/>
          <w:lang w:val="el-GR"/>
        </w:rPr>
        <w:t xml:space="preserve"> Επιπλέον, κατά τη δέκατη κοινοβουλευτική του περίοδο, το Κοινοβούλιο ενέκρινε τα ακόλουθα ψηφίσματα:</w:t>
      </w:r>
    </w:p>
    <w:p w:rsidR="008A7B62" w:rsidRPr="000D57DF" w:rsidRDefault="008A7B62" w:rsidP="003B393B">
      <w:pPr>
        <w:pStyle w:val="FootnoteText"/>
        <w:ind w:left="1134" w:hanging="567"/>
        <w:rPr>
          <w:color w:val="000000" w:themeColor="text1"/>
          <w:sz w:val="24"/>
          <w:vertAlign w:val="superscript"/>
          <w:lang w:val="el-GR"/>
        </w:rPr>
      </w:pPr>
      <w:r w:rsidRPr="000D57DF">
        <w:rPr>
          <w:color w:val="000000" w:themeColor="text1"/>
          <w:sz w:val="24"/>
          <w:lang w:val="el-GR"/>
        </w:rPr>
        <w:t>–</w:t>
      </w:r>
      <w:r w:rsidRPr="000D57DF">
        <w:rPr>
          <w:color w:val="000000" w:themeColor="text1"/>
          <w:sz w:val="24"/>
          <w:lang w:val="el-GR"/>
        </w:rPr>
        <w:tab/>
        <w:t>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 (P10_TA(2024)0038).</w:t>
      </w:r>
    </w:p>
    <w:p w:rsidR="008A7B62" w:rsidRPr="000D57DF" w:rsidRDefault="008A7B62" w:rsidP="003B393B">
      <w:pPr>
        <w:pStyle w:val="FootnoteText"/>
        <w:ind w:left="1134" w:hanging="567"/>
        <w:rPr>
          <w:color w:val="000000" w:themeColor="text1"/>
          <w:sz w:val="24"/>
          <w:vertAlign w:val="superscript"/>
          <w:lang w:val="el-GR"/>
        </w:rPr>
      </w:pPr>
      <w:r w:rsidRPr="000D57DF">
        <w:rPr>
          <w:color w:val="000000" w:themeColor="text1"/>
          <w:sz w:val="24"/>
          <w:lang w:val="el-GR"/>
        </w:rPr>
        <w:t>–</w:t>
      </w:r>
      <w:r w:rsidRPr="000D57DF">
        <w:rPr>
          <w:color w:val="000000" w:themeColor="text1"/>
          <w:sz w:val="24"/>
          <w:lang w:val="el-GR"/>
        </w:rPr>
        <w:tab/>
        <w:t>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(P10_TA(2024)0039).</w:t>
      </w:r>
    </w:p>
    <w:p w:rsidR="008A7B62" w:rsidRPr="000D57DF" w:rsidRDefault="008A7B62" w:rsidP="003B393B">
      <w:pPr>
        <w:pStyle w:val="FootnoteText"/>
        <w:ind w:left="1134" w:hanging="567"/>
        <w:rPr>
          <w:color w:val="000000" w:themeColor="text1"/>
          <w:sz w:val="24"/>
          <w:vertAlign w:val="superscript"/>
          <w:lang w:val="el-GR"/>
        </w:rPr>
      </w:pPr>
      <w:r w:rsidRPr="000D57DF">
        <w:rPr>
          <w:color w:val="000000" w:themeColor="text1"/>
          <w:sz w:val="24"/>
          <w:lang w:val="el-GR"/>
        </w:rPr>
        <w:t>–</w:t>
      </w:r>
      <w:r w:rsidRPr="000D57DF">
        <w:rPr>
          <w:color w:val="000000" w:themeColor="text1"/>
          <w:sz w:val="24"/>
          <w:lang w:val="el-GR"/>
        </w:rPr>
        <w:tab/>
        <w:t>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(P10_TA(2024)0040).</w:t>
      </w:r>
    </w:p>
    <w:p w:rsidR="008A7B62" w:rsidRPr="000D57DF" w:rsidRDefault="008A7B62" w:rsidP="003B393B">
      <w:pPr>
        <w:pStyle w:val="FootnoteText"/>
        <w:ind w:left="1134" w:hanging="567"/>
        <w:rPr>
          <w:color w:val="000000" w:themeColor="text1"/>
          <w:sz w:val="24"/>
          <w:vertAlign w:val="superscript"/>
          <w:lang w:val="el-GR"/>
        </w:rPr>
      </w:pPr>
      <w:r w:rsidRPr="000D57DF">
        <w:rPr>
          <w:color w:val="000000" w:themeColor="text1"/>
          <w:sz w:val="24"/>
          <w:lang w:val="el-GR"/>
        </w:rPr>
        <w:t>–</w:t>
      </w:r>
      <w:r w:rsidRPr="000D57DF">
        <w:rPr>
          <w:color w:val="000000" w:themeColor="text1"/>
          <w:sz w:val="24"/>
          <w:lang w:val="el-GR"/>
        </w:rPr>
        <w:tab/>
        <w:t>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(P10_TA(2024)0041).</w:t>
      </w:r>
    </w:p>
    <w:p w:rsidR="008A7B62" w:rsidRPr="000D57DF" w:rsidRDefault="008A7B62" w:rsidP="003B393B">
      <w:pPr>
        <w:pStyle w:val="FootnoteText"/>
        <w:ind w:left="1134" w:hanging="567"/>
        <w:rPr>
          <w:color w:val="000000" w:themeColor="text1"/>
          <w:sz w:val="24"/>
          <w:vertAlign w:val="superscript"/>
          <w:lang w:val="el-GR"/>
        </w:rPr>
      </w:pPr>
      <w:r w:rsidRPr="000D57DF">
        <w:rPr>
          <w:color w:val="000000" w:themeColor="text1"/>
          <w:sz w:val="24"/>
          <w:lang w:val="el-GR"/>
        </w:rPr>
        <w:t>–</w:t>
      </w:r>
      <w:r w:rsidRPr="000D57DF">
        <w:rPr>
          <w:color w:val="000000" w:themeColor="text1"/>
          <w:sz w:val="24"/>
          <w:lang w:val="el-GR"/>
        </w:rPr>
        <w:tab/>
        <w:t>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(P10_TA(2024)0042).</w:t>
      </w:r>
    </w:p>
    <w:p w:rsidR="008A7B62" w:rsidRPr="000D57DF" w:rsidRDefault="008A7B62" w:rsidP="003B393B">
      <w:pPr>
        <w:pStyle w:val="FootnoteText"/>
        <w:ind w:left="1134" w:hanging="567"/>
        <w:rPr>
          <w:color w:val="000000" w:themeColor="text1"/>
          <w:sz w:val="24"/>
          <w:vertAlign w:val="superscript"/>
          <w:lang w:val="el-GR"/>
        </w:rPr>
      </w:pPr>
      <w:r w:rsidRPr="000D57DF">
        <w:rPr>
          <w:color w:val="000000" w:themeColor="text1"/>
          <w:sz w:val="24"/>
          <w:lang w:val="el-GR"/>
        </w:rPr>
        <w:t>–</w:t>
      </w:r>
      <w:r w:rsidRPr="000D57DF">
        <w:rPr>
          <w:color w:val="000000" w:themeColor="text1"/>
          <w:sz w:val="24"/>
          <w:lang w:val="el-GR"/>
        </w:rPr>
        <w:tab/>
        <w:t>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(P10_TA(2024)0043).</w:t>
      </w:r>
    </w:p>
    <w:p w:rsidR="008A7B62" w:rsidRPr="000D57DF" w:rsidRDefault="008A7B62" w:rsidP="003B393B">
      <w:pPr>
        <w:pStyle w:val="FootnoteText"/>
        <w:ind w:left="1134" w:hanging="567"/>
        <w:rPr>
          <w:color w:val="000000" w:themeColor="text1"/>
          <w:sz w:val="24"/>
          <w:vertAlign w:val="superscript"/>
          <w:lang w:val="el-GR"/>
        </w:rPr>
      </w:pPr>
      <w:r w:rsidRPr="000D57DF">
        <w:rPr>
          <w:color w:val="000000" w:themeColor="text1"/>
          <w:sz w:val="24"/>
          <w:lang w:val="el-GR"/>
        </w:rPr>
        <w:t>–</w:t>
      </w:r>
      <w:r w:rsidRPr="000D57DF">
        <w:rPr>
          <w:color w:val="000000" w:themeColor="text1"/>
          <w:sz w:val="24"/>
          <w:lang w:val="el-GR"/>
        </w:rPr>
        <w:tab/>
        <w:t>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(P10_TA(2024)0044).</w:t>
      </w:r>
    </w:p>
    <w:p w:rsidR="008A7B62" w:rsidRPr="000D57DF" w:rsidRDefault="008A7B62" w:rsidP="003B393B">
      <w:pPr>
        <w:pStyle w:val="FootnoteText"/>
        <w:ind w:left="1134" w:hanging="567"/>
        <w:rPr>
          <w:color w:val="000000" w:themeColor="text1"/>
          <w:sz w:val="24"/>
          <w:lang w:val="el-GR"/>
        </w:rPr>
      </w:pPr>
      <w:r w:rsidRPr="000D57DF">
        <w:rPr>
          <w:color w:val="000000" w:themeColor="text1"/>
          <w:sz w:val="24"/>
          <w:lang w:val="el-GR"/>
        </w:rPr>
        <w:t>–</w:t>
      </w:r>
      <w:r w:rsidRPr="000D57DF">
        <w:rPr>
          <w:color w:val="000000" w:themeColor="text1"/>
          <w:sz w:val="24"/>
          <w:lang w:val="el-GR"/>
        </w:rPr>
        <w:tab/>
        <w:t>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(P10_TA(2024)0045).</w:t>
      </w:r>
    </w:p>
  </w:footnote>
  <w:footnote w:id="5">
    <w:p w:rsidR="008A7B62" w:rsidRPr="000D57DF" w:rsidRDefault="008A7B62" w:rsidP="000D57DF">
      <w:pPr>
        <w:pStyle w:val="FootnoteText"/>
        <w:ind w:left="567" w:hanging="567"/>
        <w:rPr>
          <w:sz w:val="24"/>
          <w:lang w:val="el-GR"/>
        </w:rPr>
      </w:pPr>
      <w:r w:rsidRPr="000D57DF">
        <w:rPr>
          <w:rStyle w:val="FootnoteReference"/>
          <w:sz w:val="24"/>
          <w:lang w:val="el-GR"/>
        </w:rPr>
        <w:footnoteRef/>
      </w:r>
      <w:r w:rsidR="000D57DF" w:rsidRPr="000D57DF">
        <w:rPr>
          <w:sz w:val="24"/>
          <w:lang w:val="el-GR"/>
        </w:rPr>
        <w:t xml:space="preserve"> </w:t>
      </w:r>
      <w:r w:rsidR="000D57DF" w:rsidRPr="000D57DF">
        <w:rPr>
          <w:sz w:val="24"/>
          <w:lang w:val="el-GR"/>
        </w:rPr>
        <w:tab/>
      </w:r>
      <w:r w:rsidRPr="000D57DF">
        <w:rPr>
          <w:sz w:val="24"/>
          <w:lang w:val="el-GR"/>
        </w:rPr>
        <w:t xml:space="preserve">Εκτελεστικός κανονισμός (ΕΕ) αριθ. 503/2013 της Επιτροπής, της 3ης Απριλίου 2013, σχετικά με τις αιτήσεις έγκρισης γενετικώς τροποποιημένων τροφίμων και ζωοτροφών, σύμφωνα με τον κανονισμό (ΕΚ) αριθ. 1829/2003 του Ευρωπαϊκού Κοινοβουλίου και του Συμβουλίου, και την τροποποίηση των κανονισμών της Επιτροπής (ΕΚ) αριθ. 641/2004 και (ΕΚ) αριθ. 1981/2006 </w:t>
      </w:r>
      <w:r w:rsidR="00C4375F">
        <w:rPr>
          <w:sz w:val="24"/>
          <w:lang w:val="el-GR"/>
        </w:rPr>
        <w:t>(</w:t>
      </w:r>
      <w:r w:rsidRPr="000D57DF">
        <w:rPr>
          <w:sz w:val="24"/>
          <w:lang w:val="el-GR"/>
        </w:rPr>
        <w:t>ΕΕ L 157 της 8.6.2013, σ. </w:t>
      </w:r>
      <w:r w:rsidRPr="000D57DF">
        <w:rPr>
          <w:sz w:val="24"/>
          <w:lang w:val="el-GR"/>
        </w:rPr>
        <w:t>1, ELI:</w:t>
      </w:r>
      <w:r w:rsidRPr="000D57DF">
        <w:rPr>
          <w:color w:val="000000" w:themeColor="text1"/>
          <w:sz w:val="24"/>
          <w:lang w:val="el-GR"/>
        </w:rPr>
        <w:t xml:space="preserve"> </w:t>
      </w:r>
      <w:hyperlink r:id="rId4" w:tgtFrame="Gives access to this document through its ELI URI." w:history="1">
        <w:r w:rsidRPr="003B393B">
          <w:rPr>
            <w:rStyle w:val="Hyperlink"/>
            <w:sz w:val="24"/>
            <w:szCs w:val="24"/>
          </w:rPr>
          <w:t>http</w:t>
        </w:r>
        <w:r w:rsidRPr="003B393B">
          <w:rPr>
            <w:rStyle w:val="Hyperlink"/>
            <w:sz w:val="24"/>
            <w:szCs w:val="24"/>
            <w:lang w:val="el-GR"/>
          </w:rPr>
          <w:t>://</w:t>
        </w:r>
        <w:r w:rsidRPr="003B393B">
          <w:rPr>
            <w:rStyle w:val="Hyperlink"/>
            <w:sz w:val="24"/>
            <w:szCs w:val="24"/>
          </w:rPr>
          <w:t>data</w:t>
        </w:r>
        <w:r w:rsidRPr="003B393B">
          <w:rPr>
            <w:rStyle w:val="Hyperlink"/>
            <w:sz w:val="24"/>
            <w:szCs w:val="24"/>
            <w:lang w:val="el-GR"/>
          </w:rPr>
          <w:t>.</w:t>
        </w:r>
        <w:proofErr w:type="spellStart"/>
        <w:r w:rsidRPr="003B393B">
          <w:rPr>
            <w:rStyle w:val="Hyperlink"/>
            <w:sz w:val="24"/>
            <w:szCs w:val="24"/>
          </w:rPr>
          <w:t>europa</w:t>
        </w:r>
        <w:proofErr w:type="spellEnd"/>
        <w:r w:rsidRPr="003B393B">
          <w:rPr>
            <w:rStyle w:val="Hyperlink"/>
            <w:sz w:val="24"/>
            <w:szCs w:val="24"/>
            <w:lang w:val="el-GR"/>
          </w:rPr>
          <w:t>.</w:t>
        </w:r>
        <w:r w:rsidRPr="003B393B">
          <w:rPr>
            <w:rStyle w:val="Hyperlink"/>
            <w:sz w:val="24"/>
            <w:szCs w:val="24"/>
          </w:rPr>
          <w:t>eu</w:t>
        </w:r>
        <w:r w:rsidRPr="003B393B">
          <w:rPr>
            <w:rStyle w:val="Hyperlink"/>
            <w:sz w:val="24"/>
            <w:szCs w:val="24"/>
            <w:lang w:val="el-GR"/>
          </w:rPr>
          <w:t>/</w:t>
        </w:r>
        <w:proofErr w:type="spellStart"/>
        <w:r w:rsidRPr="003B393B">
          <w:rPr>
            <w:rStyle w:val="Hyperlink"/>
            <w:sz w:val="24"/>
            <w:szCs w:val="24"/>
          </w:rPr>
          <w:t>eli</w:t>
        </w:r>
        <w:proofErr w:type="spellEnd"/>
        <w:r w:rsidRPr="003B393B">
          <w:rPr>
            <w:rStyle w:val="Hyperlink"/>
            <w:sz w:val="24"/>
            <w:szCs w:val="24"/>
            <w:lang w:val="el-GR"/>
          </w:rPr>
          <w:t>/</w:t>
        </w:r>
        <w:r w:rsidRPr="003B393B">
          <w:rPr>
            <w:rStyle w:val="Hyperlink"/>
            <w:sz w:val="24"/>
            <w:szCs w:val="24"/>
          </w:rPr>
          <w:t>reg</w:t>
        </w:r>
        <w:r w:rsidRPr="003B393B">
          <w:rPr>
            <w:rStyle w:val="Hyperlink"/>
            <w:sz w:val="24"/>
            <w:szCs w:val="24"/>
            <w:lang w:val="el-GR"/>
          </w:rPr>
          <w:t>_</w:t>
        </w:r>
        <w:proofErr w:type="spellStart"/>
        <w:r w:rsidRPr="003B393B">
          <w:rPr>
            <w:rStyle w:val="Hyperlink"/>
            <w:sz w:val="24"/>
            <w:szCs w:val="24"/>
          </w:rPr>
          <w:t>impl</w:t>
        </w:r>
        <w:proofErr w:type="spellEnd"/>
        <w:r w:rsidRPr="003B393B">
          <w:rPr>
            <w:rStyle w:val="Hyperlink"/>
            <w:sz w:val="24"/>
            <w:szCs w:val="24"/>
            <w:lang w:val="el-GR"/>
          </w:rPr>
          <w:t>/2013/503/</w:t>
        </w:r>
        <w:proofErr w:type="spellStart"/>
        <w:r w:rsidRPr="003B393B">
          <w:rPr>
            <w:rStyle w:val="Hyperlink"/>
            <w:sz w:val="24"/>
            <w:szCs w:val="24"/>
          </w:rPr>
          <w:t>oj</w:t>
        </w:r>
        <w:proofErr w:type="spellEnd"/>
      </w:hyperlink>
      <w:r w:rsidRPr="000D57DF">
        <w:rPr>
          <w:rStyle w:val="Hyperlink"/>
          <w:color w:val="000000" w:themeColor="text1"/>
          <w:sz w:val="24"/>
          <w:lang w:val="el-GR"/>
        </w:rPr>
        <w:t>).</w:t>
      </w:r>
    </w:p>
  </w:footnote>
  <w:footnote w:id="6">
    <w:p w:rsidR="008A7B62" w:rsidRPr="000D57DF" w:rsidRDefault="008A7B62" w:rsidP="000D57DF">
      <w:pPr>
        <w:pStyle w:val="FootnoteText"/>
        <w:ind w:left="567" w:hanging="567"/>
        <w:rPr>
          <w:color w:val="000000" w:themeColor="text1"/>
          <w:sz w:val="24"/>
          <w:lang w:val="el-GR"/>
        </w:rPr>
      </w:pPr>
      <w:r w:rsidRPr="000D57DF">
        <w:rPr>
          <w:rStyle w:val="Funotenzeichen"/>
          <w:color w:val="000000" w:themeColor="text1"/>
          <w:sz w:val="24"/>
          <w:lang w:val="el-GR"/>
        </w:rPr>
        <w:footnoteRef/>
      </w:r>
      <w:r w:rsidR="000D57DF" w:rsidRPr="000D57DF">
        <w:rPr>
          <w:sz w:val="24"/>
          <w:lang w:val="el-GR"/>
        </w:rPr>
        <w:t xml:space="preserve"> </w:t>
      </w:r>
      <w:r w:rsidR="000D57DF" w:rsidRPr="000D57DF">
        <w:rPr>
          <w:sz w:val="24"/>
          <w:lang w:val="el-GR"/>
        </w:rPr>
        <w:tab/>
      </w:r>
      <w:hyperlink r:id="rId5" w:history="1">
        <w:r w:rsidRPr="003B393B">
          <w:rPr>
            <w:rStyle w:val="Hyperlink"/>
            <w:sz w:val="24"/>
            <w:szCs w:val="24"/>
          </w:rPr>
          <w:t>https</w:t>
        </w:r>
        <w:r w:rsidRPr="003B393B">
          <w:rPr>
            <w:rStyle w:val="Hyperlink"/>
            <w:sz w:val="24"/>
            <w:szCs w:val="24"/>
            <w:lang w:val="el-GR"/>
          </w:rPr>
          <w:t>://</w:t>
        </w:r>
        <w:proofErr w:type="spellStart"/>
        <w:r w:rsidRPr="003B393B">
          <w:rPr>
            <w:rStyle w:val="Hyperlink"/>
            <w:sz w:val="24"/>
            <w:szCs w:val="24"/>
          </w:rPr>
          <w:t>efsa</w:t>
        </w:r>
        <w:proofErr w:type="spellEnd"/>
        <w:r w:rsidRPr="003B393B">
          <w:rPr>
            <w:rStyle w:val="Hyperlink"/>
            <w:sz w:val="24"/>
            <w:szCs w:val="24"/>
            <w:lang w:val="el-GR"/>
          </w:rPr>
          <w:t>.</w:t>
        </w:r>
        <w:proofErr w:type="spellStart"/>
        <w:r w:rsidRPr="003B393B">
          <w:rPr>
            <w:rStyle w:val="Hyperlink"/>
            <w:sz w:val="24"/>
            <w:szCs w:val="24"/>
          </w:rPr>
          <w:t>onlinelibrary</w:t>
        </w:r>
        <w:proofErr w:type="spellEnd"/>
        <w:r w:rsidRPr="003B393B">
          <w:rPr>
            <w:rStyle w:val="Hyperlink"/>
            <w:sz w:val="24"/>
            <w:szCs w:val="24"/>
            <w:lang w:val="el-GR"/>
          </w:rPr>
          <w:t>.</w:t>
        </w:r>
        <w:proofErr w:type="spellStart"/>
        <w:r w:rsidRPr="003B393B">
          <w:rPr>
            <w:rStyle w:val="Hyperlink"/>
            <w:sz w:val="24"/>
            <w:szCs w:val="24"/>
          </w:rPr>
          <w:t>wiley</w:t>
        </w:r>
        <w:proofErr w:type="spellEnd"/>
        <w:r w:rsidRPr="003B393B">
          <w:rPr>
            <w:rStyle w:val="Hyperlink"/>
            <w:sz w:val="24"/>
            <w:szCs w:val="24"/>
            <w:lang w:val="el-GR"/>
          </w:rPr>
          <w:t>.</w:t>
        </w:r>
        <w:r w:rsidRPr="003B393B">
          <w:rPr>
            <w:rStyle w:val="Hyperlink"/>
            <w:sz w:val="24"/>
            <w:szCs w:val="24"/>
          </w:rPr>
          <w:t>com</w:t>
        </w:r>
        <w:r w:rsidRPr="003B393B">
          <w:rPr>
            <w:rStyle w:val="Hyperlink"/>
            <w:sz w:val="24"/>
            <w:szCs w:val="24"/>
            <w:lang w:val="el-GR"/>
          </w:rPr>
          <w:t>/</w:t>
        </w:r>
        <w:r w:rsidRPr="003B393B">
          <w:rPr>
            <w:rStyle w:val="Hyperlink"/>
            <w:sz w:val="24"/>
            <w:szCs w:val="24"/>
          </w:rPr>
          <w:t>action</w:t>
        </w:r>
        <w:r w:rsidRPr="003B393B">
          <w:rPr>
            <w:rStyle w:val="Hyperlink"/>
            <w:sz w:val="24"/>
            <w:szCs w:val="24"/>
            <w:lang w:val="el-GR"/>
          </w:rPr>
          <w:t>/</w:t>
        </w:r>
        <w:proofErr w:type="spellStart"/>
        <w:r w:rsidRPr="003B393B">
          <w:rPr>
            <w:rStyle w:val="Hyperlink"/>
            <w:sz w:val="24"/>
            <w:szCs w:val="24"/>
          </w:rPr>
          <w:t>downloadSupplement</w:t>
        </w:r>
        <w:proofErr w:type="spellEnd"/>
        <w:r w:rsidRPr="003B393B">
          <w:rPr>
            <w:rStyle w:val="Hyperlink"/>
            <w:sz w:val="24"/>
            <w:szCs w:val="24"/>
            <w:lang w:val="el-GR"/>
          </w:rPr>
          <w:t>?</w:t>
        </w:r>
        <w:r w:rsidR="005D27AE">
          <w:rPr>
            <w:rStyle w:val="Hyperlink"/>
            <w:sz w:val="24"/>
            <w:szCs w:val="24"/>
            <w:lang w:val="el-GR"/>
          </w:rPr>
          <w:br/>
        </w:r>
        <w:proofErr w:type="spellStart"/>
        <w:r w:rsidRPr="003B393B">
          <w:rPr>
            <w:rStyle w:val="Hyperlink"/>
            <w:sz w:val="24"/>
            <w:szCs w:val="24"/>
          </w:rPr>
          <w:t>doi</w:t>
        </w:r>
        <w:proofErr w:type="spellEnd"/>
        <w:r w:rsidRPr="003B393B">
          <w:rPr>
            <w:rStyle w:val="Hyperlink"/>
            <w:sz w:val="24"/>
            <w:szCs w:val="24"/>
            <w:lang w:val="el-GR"/>
          </w:rPr>
          <w:t>=10.2903%2</w:t>
        </w:r>
        <w:proofErr w:type="spellStart"/>
        <w:r w:rsidRPr="003B393B">
          <w:rPr>
            <w:rStyle w:val="Hyperlink"/>
            <w:sz w:val="24"/>
            <w:szCs w:val="24"/>
          </w:rPr>
          <w:t>Fj</w:t>
        </w:r>
        <w:proofErr w:type="spellEnd"/>
        <w:r w:rsidRPr="003B393B">
          <w:rPr>
            <w:rStyle w:val="Hyperlink"/>
            <w:sz w:val="24"/>
            <w:szCs w:val="24"/>
            <w:lang w:val="el-GR"/>
          </w:rPr>
          <w:t>.</w:t>
        </w:r>
        <w:proofErr w:type="spellStart"/>
        <w:r w:rsidRPr="003B393B">
          <w:rPr>
            <w:rStyle w:val="Hyperlink"/>
            <w:sz w:val="24"/>
            <w:szCs w:val="24"/>
          </w:rPr>
          <w:t>efsa</w:t>
        </w:r>
        <w:proofErr w:type="spellEnd"/>
        <w:r w:rsidRPr="003B393B">
          <w:rPr>
            <w:rStyle w:val="Hyperlink"/>
            <w:sz w:val="24"/>
            <w:szCs w:val="24"/>
            <w:lang w:val="el-GR"/>
          </w:rPr>
          <w:t>.2024.8716‌&amp;</w:t>
        </w:r>
        <w:r w:rsidRPr="003B393B">
          <w:rPr>
            <w:rStyle w:val="Hyperlink"/>
            <w:sz w:val="24"/>
            <w:szCs w:val="24"/>
          </w:rPr>
          <w:t>file</w:t>
        </w:r>
        <w:r w:rsidRPr="003B393B">
          <w:rPr>
            <w:rStyle w:val="Hyperlink"/>
            <w:sz w:val="24"/>
            <w:szCs w:val="24"/>
            <w:lang w:val="el-GR"/>
          </w:rPr>
          <w:t>=</w:t>
        </w:r>
        <w:proofErr w:type="spellStart"/>
        <w:r w:rsidRPr="003B393B">
          <w:rPr>
            <w:rStyle w:val="Hyperlink"/>
            <w:sz w:val="24"/>
            <w:szCs w:val="24"/>
          </w:rPr>
          <w:t>efs</w:t>
        </w:r>
        <w:proofErr w:type="spellEnd"/>
        <w:r w:rsidRPr="003B393B">
          <w:rPr>
            <w:rStyle w:val="Hyperlink"/>
            <w:sz w:val="24"/>
            <w:szCs w:val="24"/>
            <w:lang w:val="el-GR"/>
          </w:rPr>
          <w:t>28716-</w:t>
        </w:r>
        <w:r w:rsidRPr="003B393B">
          <w:rPr>
            <w:rStyle w:val="Hyperlink"/>
            <w:sz w:val="24"/>
            <w:szCs w:val="24"/>
          </w:rPr>
          <w:t>sup</w:t>
        </w:r>
        <w:r w:rsidRPr="003B393B">
          <w:rPr>
            <w:rStyle w:val="Hyperlink"/>
            <w:sz w:val="24"/>
            <w:szCs w:val="24"/>
            <w:lang w:val="el-GR"/>
          </w:rPr>
          <w:t>-0012-</w:t>
        </w:r>
        <w:proofErr w:type="spellStart"/>
        <w:r w:rsidRPr="003B393B">
          <w:rPr>
            <w:rStyle w:val="Hyperlink"/>
            <w:sz w:val="24"/>
            <w:szCs w:val="24"/>
          </w:rPr>
          <w:t>Annex</w:t>
        </w:r>
        <w:proofErr w:type="spellEnd"/>
        <w:r w:rsidRPr="003B393B">
          <w:rPr>
            <w:rStyle w:val="Hyperlink"/>
            <w:sz w:val="24"/>
            <w:szCs w:val="24"/>
            <w:lang w:val="el-GR"/>
          </w:rPr>
          <w:t>8.</w:t>
        </w:r>
        <w:proofErr w:type="spellStart"/>
        <w:r w:rsidRPr="003B393B">
          <w:rPr>
            <w:rStyle w:val="Hyperlink"/>
            <w:sz w:val="24"/>
            <w:szCs w:val="24"/>
          </w:rPr>
          <w:t>pdf</w:t>
        </w:r>
        <w:proofErr w:type="spellEnd"/>
      </w:hyperlink>
      <w:r w:rsidRPr="000D57DF">
        <w:rPr>
          <w:rStyle w:val="Hyperlink"/>
          <w:color w:val="000000" w:themeColor="text1"/>
          <w:sz w:val="24"/>
          <w:lang w:val="el-GR"/>
        </w:rPr>
        <w:t>.</w:t>
      </w:r>
    </w:p>
  </w:footnote>
  <w:footnote w:id="7">
    <w:p w:rsidR="008A7B62" w:rsidRPr="000D57DF" w:rsidRDefault="008A7B62" w:rsidP="000D57DF">
      <w:pPr>
        <w:pStyle w:val="FootnoteText"/>
        <w:ind w:left="567" w:hanging="567"/>
        <w:rPr>
          <w:color w:val="000000" w:themeColor="text1"/>
          <w:sz w:val="24"/>
          <w:lang w:val="el-GR"/>
        </w:rPr>
      </w:pPr>
      <w:r w:rsidRPr="000D57DF">
        <w:rPr>
          <w:rStyle w:val="Funotenzeichen"/>
          <w:color w:val="000000" w:themeColor="text1"/>
          <w:sz w:val="24"/>
          <w:lang w:val="el-GR"/>
        </w:rPr>
        <w:footnoteRef/>
      </w:r>
      <w:r w:rsidR="000D57DF" w:rsidRPr="000D57DF">
        <w:rPr>
          <w:sz w:val="24"/>
          <w:lang w:val="el-GR"/>
        </w:rPr>
        <w:t xml:space="preserve"> </w:t>
      </w:r>
      <w:r w:rsidR="000D57DF" w:rsidRPr="000D57DF">
        <w:rPr>
          <w:sz w:val="24"/>
          <w:lang w:val="el-GR"/>
        </w:rPr>
        <w:tab/>
      </w:r>
      <w:r w:rsidRPr="000D57DF">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0D57DF">
        <w:rPr>
          <w:sz w:val="24"/>
          <w:lang w:val="el-GR"/>
        </w:rPr>
        <w:t>1, ELI:</w:t>
      </w:r>
      <w:r w:rsidRPr="000D57DF">
        <w:rPr>
          <w:color w:val="000000" w:themeColor="text1"/>
          <w:sz w:val="24"/>
          <w:lang w:val="el-GR"/>
        </w:rPr>
        <w:t> </w:t>
      </w:r>
      <w:hyperlink r:id="rId6" w:tgtFrame="Gives access to this document through its ELI URI." w:history="1">
        <w:r w:rsidRPr="003B393B">
          <w:rPr>
            <w:rStyle w:val="Hyperlink"/>
            <w:sz w:val="24"/>
            <w:szCs w:val="24"/>
          </w:rPr>
          <w:t>http</w:t>
        </w:r>
        <w:r w:rsidRPr="003B393B">
          <w:rPr>
            <w:rStyle w:val="Hyperlink"/>
            <w:sz w:val="24"/>
            <w:szCs w:val="24"/>
            <w:lang w:val="el-GR"/>
          </w:rPr>
          <w:t>://</w:t>
        </w:r>
        <w:r w:rsidRPr="003B393B">
          <w:rPr>
            <w:rStyle w:val="Hyperlink"/>
            <w:sz w:val="24"/>
            <w:szCs w:val="24"/>
          </w:rPr>
          <w:t>data</w:t>
        </w:r>
        <w:r w:rsidRPr="003B393B">
          <w:rPr>
            <w:rStyle w:val="Hyperlink"/>
            <w:sz w:val="24"/>
            <w:szCs w:val="24"/>
            <w:lang w:val="el-GR"/>
          </w:rPr>
          <w:t>.</w:t>
        </w:r>
        <w:proofErr w:type="spellStart"/>
        <w:r w:rsidRPr="003B393B">
          <w:rPr>
            <w:rStyle w:val="Hyperlink"/>
            <w:sz w:val="24"/>
            <w:szCs w:val="24"/>
          </w:rPr>
          <w:t>europa</w:t>
        </w:r>
        <w:proofErr w:type="spellEnd"/>
        <w:r w:rsidRPr="003B393B">
          <w:rPr>
            <w:rStyle w:val="Hyperlink"/>
            <w:sz w:val="24"/>
            <w:szCs w:val="24"/>
            <w:lang w:val="el-GR"/>
          </w:rPr>
          <w:t>.</w:t>
        </w:r>
        <w:r w:rsidRPr="003B393B">
          <w:rPr>
            <w:rStyle w:val="Hyperlink"/>
            <w:sz w:val="24"/>
            <w:szCs w:val="24"/>
          </w:rPr>
          <w:t>eu</w:t>
        </w:r>
        <w:r w:rsidRPr="003B393B">
          <w:rPr>
            <w:rStyle w:val="Hyperlink"/>
            <w:sz w:val="24"/>
            <w:szCs w:val="24"/>
            <w:lang w:val="el-GR"/>
          </w:rPr>
          <w:t>/</w:t>
        </w:r>
        <w:proofErr w:type="spellStart"/>
        <w:r w:rsidRPr="003B393B">
          <w:rPr>
            <w:rStyle w:val="Hyperlink"/>
            <w:sz w:val="24"/>
            <w:szCs w:val="24"/>
          </w:rPr>
          <w:t>eli</w:t>
        </w:r>
        <w:proofErr w:type="spellEnd"/>
        <w:r w:rsidRPr="003B393B">
          <w:rPr>
            <w:rStyle w:val="Hyperlink"/>
            <w:sz w:val="24"/>
            <w:szCs w:val="24"/>
            <w:lang w:val="el-GR"/>
          </w:rPr>
          <w:t>/</w:t>
        </w:r>
        <w:r w:rsidRPr="003B393B">
          <w:rPr>
            <w:rStyle w:val="Hyperlink"/>
            <w:sz w:val="24"/>
            <w:szCs w:val="24"/>
          </w:rPr>
          <w:t>reg</w:t>
        </w:r>
        <w:r w:rsidRPr="003B393B">
          <w:rPr>
            <w:rStyle w:val="Hyperlink"/>
            <w:sz w:val="24"/>
            <w:szCs w:val="24"/>
            <w:lang w:val="el-GR"/>
          </w:rPr>
          <w:t>/2002/178/</w:t>
        </w:r>
        <w:proofErr w:type="spellStart"/>
        <w:r w:rsidRPr="003B393B">
          <w:rPr>
            <w:rStyle w:val="Hyperlink"/>
            <w:sz w:val="24"/>
            <w:szCs w:val="24"/>
          </w:rPr>
          <w:t>oj</w:t>
        </w:r>
        <w:proofErr w:type="spellEnd"/>
      </w:hyperlink>
      <w:r w:rsidRPr="000D57DF">
        <w:rPr>
          <w:color w:val="000000" w:themeColor="text1"/>
          <w:sz w:val="24"/>
          <w:lang w:val="el-GR"/>
        </w:rPr>
        <w:t>).</w:t>
      </w:r>
    </w:p>
  </w:footnote>
  <w:footnote w:id="8">
    <w:p w:rsidR="008A7B62" w:rsidRPr="000D57DF" w:rsidRDefault="008A7B62" w:rsidP="000D57DF">
      <w:pPr>
        <w:pStyle w:val="FootnoteText"/>
        <w:ind w:left="567" w:hanging="567"/>
        <w:rPr>
          <w:color w:val="000000" w:themeColor="text1"/>
          <w:sz w:val="24"/>
          <w:lang w:val="el-GR"/>
        </w:rPr>
      </w:pPr>
      <w:r w:rsidRPr="000D57DF">
        <w:rPr>
          <w:rStyle w:val="Funotenzeichen"/>
          <w:color w:val="000000" w:themeColor="text1"/>
          <w:sz w:val="24"/>
          <w:lang w:val="el-GR"/>
        </w:rPr>
        <w:footnoteRef/>
      </w:r>
      <w:r w:rsidR="000D57DF" w:rsidRPr="000D57DF">
        <w:rPr>
          <w:sz w:val="24"/>
          <w:lang w:val="el-GR"/>
        </w:rPr>
        <w:t xml:space="preserve"> </w:t>
      </w:r>
      <w:r w:rsidR="000D57DF" w:rsidRPr="000D57DF">
        <w:rPr>
          <w:sz w:val="24"/>
          <w:lang w:val="el-GR"/>
        </w:rPr>
        <w:tab/>
      </w:r>
      <w:hyperlink r:id="rId7" w:history="1">
        <w:r w:rsidRPr="003B393B">
          <w:rPr>
            <w:rStyle w:val="Hyperlink"/>
            <w:sz w:val="24"/>
            <w:szCs w:val="24"/>
          </w:rPr>
          <w:t>https</w:t>
        </w:r>
        <w:r w:rsidRPr="003B393B">
          <w:rPr>
            <w:rStyle w:val="Hyperlink"/>
            <w:sz w:val="24"/>
            <w:szCs w:val="24"/>
            <w:lang w:val="el-GR"/>
          </w:rPr>
          <w:t>://</w:t>
        </w:r>
        <w:proofErr w:type="spellStart"/>
        <w:r w:rsidRPr="003B393B">
          <w:rPr>
            <w:rStyle w:val="Hyperlink"/>
            <w:sz w:val="24"/>
            <w:szCs w:val="24"/>
          </w:rPr>
          <w:t>tillymetz</w:t>
        </w:r>
        <w:proofErr w:type="spellEnd"/>
        <w:r w:rsidRPr="003B393B">
          <w:rPr>
            <w:rStyle w:val="Hyperlink"/>
            <w:sz w:val="24"/>
            <w:szCs w:val="24"/>
            <w:lang w:val="el-GR"/>
          </w:rPr>
          <w:t>.</w:t>
        </w:r>
        <w:r w:rsidRPr="003B393B">
          <w:rPr>
            <w:rStyle w:val="Hyperlink"/>
            <w:sz w:val="24"/>
            <w:szCs w:val="24"/>
          </w:rPr>
          <w:t>lu</w:t>
        </w:r>
        <w:r w:rsidRPr="003B393B">
          <w:rPr>
            <w:rStyle w:val="Hyperlink"/>
            <w:sz w:val="24"/>
            <w:szCs w:val="24"/>
            <w:lang w:val="el-GR"/>
          </w:rPr>
          <w:t>/</w:t>
        </w:r>
        <w:proofErr w:type="spellStart"/>
        <w:r w:rsidRPr="003B393B">
          <w:rPr>
            <w:rStyle w:val="Hyperlink"/>
            <w:sz w:val="24"/>
            <w:szCs w:val="24"/>
          </w:rPr>
          <w:t>wp</w:t>
        </w:r>
        <w:proofErr w:type="spellEnd"/>
        <w:r w:rsidRPr="003B393B">
          <w:rPr>
            <w:rStyle w:val="Hyperlink"/>
            <w:sz w:val="24"/>
            <w:szCs w:val="24"/>
            <w:lang w:val="el-GR"/>
          </w:rPr>
          <w:t>-</w:t>
        </w:r>
        <w:r w:rsidRPr="003B393B">
          <w:rPr>
            <w:rStyle w:val="Hyperlink"/>
            <w:sz w:val="24"/>
            <w:szCs w:val="24"/>
          </w:rPr>
          <w:t>content</w:t>
        </w:r>
        <w:r w:rsidRPr="003B393B">
          <w:rPr>
            <w:rStyle w:val="Hyperlink"/>
            <w:sz w:val="24"/>
            <w:szCs w:val="24"/>
            <w:lang w:val="el-GR"/>
          </w:rPr>
          <w:t>/</w:t>
        </w:r>
        <w:proofErr w:type="spellStart"/>
        <w:r w:rsidRPr="003B393B">
          <w:rPr>
            <w:rStyle w:val="Hyperlink"/>
            <w:sz w:val="24"/>
            <w:szCs w:val="24"/>
          </w:rPr>
          <w:t>uploads</w:t>
        </w:r>
        <w:proofErr w:type="spellEnd"/>
        <w:r w:rsidRPr="003B393B">
          <w:rPr>
            <w:rStyle w:val="Hyperlink"/>
            <w:sz w:val="24"/>
            <w:szCs w:val="24"/>
            <w:lang w:val="el-GR"/>
          </w:rPr>
          <w:t>/2020/09/</w:t>
        </w:r>
        <w:r w:rsidRPr="003B393B">
          <w:rPr>
            <w:rStyle w:val="Hyperlink"/>
            <w:sz w:val="24"/>
            <w:szCs w:val="24"/>
          </w:rPr>
          <w:t>Co</w:t>
        </w:r>
        <w:r w:rsidRPr="003B393B">
          <w:rPr>
            <w:rStyle w:val="Hyperlink"/>
            <w:sz w:val="24"/>
            <w:szCs w:val="24"/>
            <w:lang w:val="el-GR"/>
          </w:rPr>
          <w:t>-</w:t>
        </w:r>
        <w:proofErr w:type="spellStart"/>
        <w:r w:rsidRPr="003B393B">
          <w:rPr>
            <w:rStyle w:val="Hyperlink"/>
            <w:sz w:val="24"/>
            <w:szCs w:val="24"/>
          </w:rPr>
          <w:t>signed</w:t>
        </w:r>
        <w:proofErr w:type="spellEnd"/>
        <w:r w:rsidRPr="003B393B">
          <w:rPr>
            <w:rStyle w:val="Hyperlink"/>
            <w:sz w:val="24"/>
            <w:szCs w:val="24"/>
            <w:lang w:val="el-GR"/>
          </w:rPr>
          <w:t>-</w:t>
        </w:r>
        <w:proofErr w:type="spellStart"/>
        <w:r w:rsidRPr="003B393B">
          <w:rPr>
            <w:rStyle w:val="Hyperlink"/>
            <w:sz w:val="24"/>
            <w:szCs w:val="24"/>
          </w:rPr>
          <w:t>letter</w:t>
        </w:r>
        <w:proofErr w:type="spellEnd"/>
        <w:r w:rsidRPr="003B393B">
          <w:rPr>
            <w:rStyle w:val="Hyperlink"/>
            <w:sz w:val="24"/>
            <w:szCs w:val="24"/>
            <w:lang w:val="el-GR"/>
          </w:rPr>
          <w:t>-</w:t>
        </w:r>
        <w:r w:rsidRPr="003B393B">
          <w:rPr>
            <w:rStyle w:val="Hyperlink"/>
            <w:sz w:val="24"/>
            <w:szCs w:val="24"/>
          </w:rPr>
          <w:t>MEP</w:t>
        </w:r>
        <w:r w:rsidRPr="003B393B">
          <w:rPr>
            <w:rStyle w:val="Hyperlink"/>
            <w:sz w:val="24"/>
            <w:szCs w:val="24"/>
            <w:lang w:val="el-GR"/>
          </w:rPr>
          <w:t>-</w:t>
        </w:r>
        <w:r w:rsidRPr="003B393B">
          <w:rPr>
            <w:rStyle w:val="Hyperlink"/>
            <w:sz w:val="24"/>
            <w:szCs w:val="24"/>
          </w:rPr>
          <w:t>Metz</w:t>
        </w:r>
        <w:r w:rsidRPr="003B393B">
          <w:rPr>
            <w:rStyle w:val="Hyperlink"/>
            <w:sz w:val="24"/>
            <w:szCs w:val="24"/>
            <w:lang w:val="el-GR"/>
          </w:rPr>
          <w:t>.</w:t>
        </w:r>
        <w:proofErr w:type="spellStart"/>
        <w:r w:rsidRPr="003B393B">
          <w:rPr>
            <w:rStyle w:val="Hyperlink"/>
            <w:sz w:val="24"/>
            <w:szCs w:val="24"/>
          </w:rPr>
          <w:t>pdf</w:t>
        </w:r>
        <w:proofErr w:type="spellEnd"/>
      </w:hyperlink>
      <w:r w:rsidRPr="000D57DF">
        <w:rPr>
          <w:rStyle w:val="Hyperlink"/>
          <w:color w:val="000000" w:themeColor="text1"/>
          <w:sz w:val="24"/>
          <w:lang w:val="el-GR"/>
        </w:rPr>
        <w:t>.</w:t>
      </w:r>
    </w:p>
  </w:footnote>
  <w:footnote w:id="9">
    <w:p w:rsidR="008A7B62" w:rsidRPr="000D57DF" w:rsidRDefault="008A7B62" w:rsidP="000D57DF">
      <w:pPr>
        <w:pStyle w:val="FootnoteText"/>
        <w:ind w:left="567" w:hanging="567"/>
        <w:rPr>
          <w:color w:val="000000" w:themeColor="text1"/>
          <w:sz w:val="24"/>
          <w:lang w:val="el-GR"/>
        </w:rPr>
      </w:pPr>
      <w:r w:rsidRPr="000D57DF">
        <w:rPr>
          <w:rStyle w:val="Funotenzeichen"/>
          <w:color w:val="000000" w:themeColor="text1"/>
          <w:sz w:val="24"/>
          <w:lang w:val="el-GR"/>
        </w:rPr>
        <w:footnoteRef/>
      </w:r>
      <w:r w:rsidR="000D57DF" w:rsidRPr="000D57DF">
        <w:rPr>
          <w:sz w:val="24"/>
          <w:lang w:val="el-GR"/>
        </w:rPr>
        <w:t xml:space="preserve"> </w:t>
      </w:r>
      <w:r w:rsidR="000D57DF" w:rsidRPr="000D57DF">
        <w:rPr>
          <w:sz w:val="24"/>
          <w:lang w:val="el-GR"/>
        </w:rPr>
        <w:tab/>
      </w:r>
      <w:r w:rsidRPr="000D57DF">
        <w:rPr>
          <w:sz w:val="24"/>
          <w:lang w:val="el-GR"/>
        </w:rPr>
        <w:t>Ψήφισμα του Ευρωπαϊκού Κοινοβουλίου της 15ης Ιανουαρίου 2020 σχετικά με την Ευρωπαϊκή Πράσινη Συμφωνία (ΕΕ C 270 της 7.7.2021, σ. 2), παράγραφος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57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57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57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D34D0B"/>
    <w:multiLevelType w:val="hybridMultilevel"/>
    <w:tmpl w:val="09AA27B6"/>
    <w:lvl w:ilvl="0" w:tplc="67E4F63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07A1520"/>
    <w:multiLevelType w:val="hybridMultilevel"/>
    <w:tmpl w:val="44A49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EL"/>
    <w:docVar w:name="dvnumam" w:val="0"/>
    <w:docVar w:name="dvpe" w:val="766.933"/>
    <w:docVar w:name="dvtitre" w:val="Ψήφισμα του Ευρωπαϊκού Κοινοβουλίου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D102172/03 – 2024/3011(RSP))"/>
  </w:docVars>
  <w:rsids>
    <w:rsidRoot w:val="00E71543"/>
    <w:rsid w:val="00002272"/>
    <w:rsid w:val="00064002"/>
    <w:rsid w:val="000677B9"/>
    <w:rsid w:val="000831BA"/>
    <w:rsid w:val="000A42CC"/>
    <w:rsid w:val="000D57DF"/>
    <w:rsid w:val="000E7DD9"/>
    <w:rsid w:val="0010095E"/>
    <w:rsid w:val="00125B37"/>
    <w:rsid w:val="00187494"/>
    <w:rsid w:val="001F32AE"/>
    <w:rsid w:val="002767FF"/>
    <w:rsid w:val="002B18FE"/>
    <w:rsid w:val="002B5493"/>
    <w:rsid w:val="00343214"/>
    <w:rsid w:val="00361C00"/>
    <w:rsid w:val="00395FA1"/>
    <w:rsid w:val="003B393B"/>
    <w:rsid w:val="003E15D4"/>
    <w:rsid w:val="0041157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7AE"/>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3671"/>
    <w:rsid w:val="00865F67"/>
    <w:rsid w:val="00881A7B"/>
    <w:rsid w:val="008840E5"/>
    <w:rsid w:val="00887B3E"/>
    <w:rsid w:val="008A7B6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375F"/>
    <w:rsid w:val="00C61C0C"/>
    <w:rsid w:val="00C941CB"/>
    <w:rsid w:val="00CC2357"/>
    <w:rsid w:val="00CF071A"/>
    <w:rsid w:val="00D058B8"/>
    <w:rsid w:val="00D56C11"/>
    <w:rsid w:val="00D834A0"/>
    <w:rsid w:val="00D872DF"/>
    <w:rsid w:val="00D91E21"/>
    <w:rsid w:val="00DA7FCD"/>
    <w:rsid w:val="00E365E1"/>
    <w:rsid w:val="00E7154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2622FE8-1A5E-4301-BFE2-DAD0E07AB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7B62"/>
    <w:pPr>
      <w:spacing w:before="480" w:after="240"/>
    </w:pPr>
  </w:style>
  <w:style w:type="paragraph" w:customStyle="1" w:styleId="NormalHanging12a">
    <w:name w:val="NormalHanging12a"/>
    <w:basedOn w:val="Normal"/>
    <w:qFormat/>
    <w:rsid w:val="008A7B62"/>
    <w:pPr>
      <w:spacing w:after="240"/>
      <w:ind w:left="567" w:hanging="567"/>
    </w:pPr>
  </w:style>
  <w:style w:type="character" w:styleId="Hyperlink">
    <w:name w:val="Hyperlink"/>
    <w:basedOn w:val="DefaultParagraphFont"/>
    <w:uiPriority w:val="99"/>
    <w:rsid w:val="008A7B62"/>
    <w:rPr>
      <w:color w:val="0563C1" w:themeColor="hyperlink"/>
      <w:u w:val="single"/>
    </w:rPr>
  </w:style>
  <w:style w:type="character" w:customStyle="1" w:styleId="Funotenzeichen">
    <w:name w:val="Fußnotenzeichen"/>
    <w:qFormat/>
    <w:rsid w:val="008A7B62"/>
    <w:rPr>
      <w:vertAlign w:val="superscript"/>
    </w:rPr>
  </w:style>
  <w:style w:type="paragraph" w:styleId="BalloonText">
    <w:name w:val="Balloon Text"/>
    <w:basedOn w:val="Normal"/>
    <w:link w:val="BalloonTextChar"/>
    <w:rsid w:val="00863671"/>
    <w:rPr>
      <w:rFonts w:ascii="Segoe UI" w:hAnsi="Segoe UI" w:cs="Segoe UI"/>
      <w:sz w:val="18"/>
      <w:szCs w:val="18"/>
    </w:rPr>
  </w:style>
  <w:style w:type="character" w:customStyle="1" w:styleId="BalloonTextChar">
    <w:name w:val="Balloon Text Char"/>
    <w:basedOn w:val="DefaultParagraphFont"/>
    <w:link w:val="BalloonText"/>
    <w:rsid w:val="00863671"/>
    <w:rPr>
      <w:rFonts w:ascii="Segoe UI" w:hAnsi="Segoe UI" w:cs="Segoe UI"/>
      <w:sz w:val="18"/>
      <w:szCs w:val="18"/>
      <w:lang w:val="el-GR"/>
    </w:rPr>
  </w:style>
  <w:style w:type="character" w:styleId="FollowedHyperlink">
    <w:name w:val="FollowedHyperlink"/>
    <w:basedOn w:val="DefaultParagraphFont"/>
    <w:rsid w:val="005D27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24.8886" TargetMode="External"/><Relationship Id="rId7"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reg/2002/178/oj" TargetMode="External"/><Relationship Id="rId5" Type="http://schemas.openxmlformats.org/officeDocument/2006/relationships/hyperlink" Target="https://efsa.onlinelibrary.wiley.com/action/downloadSupplement?doi=10.2903/j.efsa.2024.8716&amp;file=efs28716-sup-0012-Annex8.pdf" TargetMode="External"/><Relationship Id="rId4" Type="http://schemas.openxmlformats.org/officeDocument/2006/relationships/hyperlink" Target="http://data.europa.eu/eli/reg_impl/2013/50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49200-90C4-4905-804A-7971C97C3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1331</Words>
  <Characters>8042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2025-02-12T12:41:00Z</dcterms:created>
  <dcterms:modified xsi:type="dcterms:W3CDTF">2025-02-12T12:41:00Z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B10-0060/2025</vt:lpwstr>
  </property>
  <property fmtid="{D5CDD505-2E9C-101B-9397-08002B2CF9AE}" pid="4" name="&lt;Type&gt;">
    <vt:lpwstr>RR</vt:lpwstr>
  </property>
</Properties>
</file>