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4E21" w14:paraId="3C4A8197" w14:textId="77777777" w:rsidTr="0010095E">
        <w:trPr>
          <w:trHeight w:hRule="exact" w:val="1418"/>
        </w:trPr>
        <w:tc>
          <w:tcPr>
            <w:tcW w:w="6804" w:type="dxa"/>
            <w:shd w:val="clear" w:color="auto" w:fill="auto"/>
            <w:vAlign w:val="center"/>
          </w:tcPr>
          <w:p w14:paraId="3D86D68F" w14:textId="77777777" w:rsidR="00751A4A" w:rsidRPr="00F54E21" w:rsidRDefault="008F1619" w:rsidP="0010095E">
            <w:pPr>
              <w:pStyle w:val="EPName"/>
            </w:pPr>
            <w:r w:rsidRPr="00F54E21">
              <w:t>Parlamento Europeo</w:t>
            </w:r>
          </w:p>
          <w:p w14:paraId="78E1F4A0" w14:textId="77777777" w:rsidR="00751A4A" w:rsidRPr="00F54E21" w:rsidRDefault="005F1B17" w:rsidP="005F1B17">
            <w:pPr>
              <w:pStyle w:val="EPTerm"/>
              <w:rPr>
                <w:rStyle w:val="HideTWBExt"/>
                <w:noProof w:val="0"/>
                <w:vanish w:val="0"/>
                <w:color w:val="auto"/>
              </w:rPr>
            </w:pPr>
            <w:r w:rsidRPr="00F54E21">
              <w:t>2024</w:t>
            </w:r>
            <w:r w:rsidR="00817416" w:rsidRPr="00F54E21">
              <w:t>-202</w:t>
            </w:r>
            <w:r w:rsidRPr="00F54E21">
              <w:t>9</w:t>
            </w:r>
          </w:p>
        </w:tc>
        <w:tc>
          <w:tcPr>
            <w:tcW w:w="2268" w:type="dxa"/>
            <w:shd w:val="clear" w:color="auto" w:fill="auto"/>
          </w:tcPr>
          <w:p w14:paraId="0F72A5AC" w14:textId="77777777" w:rsidR="00751A4A" w:rsidRPr="00F54E21" w:rsidRDefault="00187494" w:rsidP="0010095E">
            <w:pPr>
              <w:pStyle w:val="EPLogo"/>
            </w:pPr>
            <w:r w:rsidRPr="00F54E21">
              <w:rPr>
                <w:noProof/>
                <w:lang w:val="en-GB"/>
              </w:rPr>
              <w:drawing>
                <wp:inline distT="0" distB="0" distL="0" distR="0" wp14:anchorId="581A4834" wp14:editId="0350EA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A49FC" w14:textId="77777777" w:rsidR="00D058B8" w:rsidRPr="00F54E21" w:rsidRDefault="00D058B8" w:rsidP="004C5D52">
      <w:pPr>
        <w:pStyle w:val="LineTop"/>
      </w:pPr>
    </w:p>
    <w:p w14:paraId="4FD51100" w14:textId="77777777" w:rsidR="00680577" w:rsidRPr="00F54E21" w:rsidRDefault="008F1619" w:rsidP="00680577">
      <w:pPr>
        <w:pStyle w:val="EPBodyTA1"/>
        <w:rPr>
          <w:lang w:val="pt-PT"/>
        </w:rPr>
      </w:pPr>
      <w:r w:rsidRPr="00F54E21">
        <w:rPr>
          <w:lang w:val="pt-PT"/>
        </w:rPr>
        <w:t>TEXTOS APROBADOS</w:t>
      </w:r>
    </w:p>
    <w:p w14:paraId="3BFA1FA4" w14:textId="77777777" w:rsidR="00D058B8" w:rsidRPr="00F54E21" w:rsidRDefault="00D058B8" w:rsidP="00D058B8">
      <w:pPr>
        <w:pStyle w:val="LineBottom"/>
        <w:rPr>
          <w:lang w:val="pt-PT"/>
        </w:rPr>
      </w:pPr>
    </w:p>
    <w:p w14:paraId="059CACF9" w14:textId="011D15EC" w:rsidR="008F1619" w:rsidRPr="00F54E21" w:rsidRDefault="008F1619" w:rsidP="008F1619">
      <w:pPr>
        <w:pStyle w:val="ATHeading1"/>
        <w:rPr>
          <w:lang w:val="pt-PT"/>
        </w:rPr>
      </w:pPr>
      <w:bookmarkStart w:id="0" w:name="TANumber"/>
      <w:r w:rsidRPr="00F54E21">
        <w:rPr>
          <w:lang w:val="pt-PT"/>
        </w:rPr>
        <w:t>P10_</w:t>
      </w:r>
      <w:proofErr w:type="gramStart"/>
      <w:r w:rsidRPr="00F54E21">
        <w:rPr>
          <w:lang w:val="pt-PT"/>
        </w:rPr>
        <w:t>TA(</w:t>
      </w:r>
      <w:proofErr w:type="gramEnd"/>
      <w:r w:rsidRPr="00F54E21">
        <w:rPr>
          <w:lang w:val="pt-PT"/>
        </w:rPr>
        <w:t>2025)00</w:t>
      </w:r>
      <w:r w:rsidR="006802D3" w:rsidRPr="00F54E21">
        <w:rPr>
          <w:lang w:val="pt-PT"/>
        </w:rPr>
        <w:t>15</w:t>
      </w:r>
      <w:bookmarkEnd w:id="0"/>
    </w:p>
    <w:p w14:paraId="66A4907D" w14:textId="77777777" w:rsidR="008F1619" w:rsidRPr="00F54E21" w:rsidRDefault="008F1619" w:rsidP="008F1619">
      <w:pPr>
        <w:pStyle w:val="ATHeading2"/>
        <w:rPr>
          <w:lang w:val="pt-PT"/>
        </w:rPr>
      </w:pPr>
      <w:bookmarkStart w:id="1" w:name="title"/>
      <w:proofErr w:type="spellStart"/>
      <w:r w:rsidRPr="00F54E21">
        <w:rPr>
          <w:lang w:val="pt-PT"/>
        </w:rPr>
        <w:t>Maíz</w:t>
      </w:r>
      <w:proofErr w:type="spellEnd"/>
      <w:r w:rsidRPr="00F54E21">
        <w:rPr>
          <w:lang w:val="pt-PT"/>
        </w:rPr>
        <w:t xml:space="preserve"> modificado </w:t>
      </w:r>
      <w:proofErr w:type="spellStart"/>
      <w:r w:rsidRPr="00F54E21">
        <w:rPr>
          <w:lang w:val="pt-PT"/>
        </w:rPr>
        <w:t>genéticamente</w:t>
      </w:r>
      <w:proofErr w:type="spellEnd"/>
      <w:r w:rsidRPr="00F54E21">
        <w:rPr>
          <w:lang w:val="pt-PT"/>
        </w:rPr>
        <w:t xml:space="preserve"> MON 95275</w:t>
      </w:r>
      <w:bookmarkEnd w:id="1"/>
    </w:p>
    <w:p w14:paraId="524808EA" w14:textId="77777777" w:rsidR="008F1619" w:rsidRPr="00F54E21" w:rsidRDefault="008F1619" w:rsidP="008F1619">
      <w:pPr>
        <w:rPr>
          <w:i/>
          <w:vanish/>
          <w:lang w:val="pt-PT"/>
        </w:rPr>
      </w:pPr>
      <w:r w:rsidRPr="00F54E21">
        <w:rPr>
          <w:i/>
        </w:rPr>
        <w:fldChar w:fldCharType="begin"/>
      </w:r>
      <w:r w:rsidRPr="00F54E21">
        <w:rPr>
          <w:i/>
          <w:lang w:val="pt-PT"/>
        </w:rPr>
        <w:instrText xml:space="preserve"> TC"(</w:instrText>
      </w:r>
      <w:bookmarkStart w:id="2" w:name="DocNumber"/>
      <w:r w:rsidRPr="00F54E21">
        <w:rPr>
          <w:i/>
          <w:lang w:val="pt-PT"/>
        </w:rPr>
        <w:instrText>B10-0060/2025</w:instrText>
      </w:r>
      <w:bookmarkEnd w:id="2"/>
      <w:r w:rsidRPr="00F54E21">
        <w:rPr>
          <w:i/>
          <w:lang w:val="pt-PT"/>
        </w:rPr>
        <w:instrText xml:space="preserve">)"\l3 \n&gt; \* MERGEFORMAT </w:instrText>
      </w:r>
      <w:r w:rsidRPr="00F54E21">
        <w:rPr>
          <w:i/>
        </w:rPr>
        <w:fldChar w:fldCharType="end"/>
      </w:r>
    </w:p>
    <w:p w14:paraId="308ADC5D" w14:textId="77777777" w:rsidR="008F1619" w:rsidRPr="00F54E21" w:rsidRDefault="008F1619" w:rsidP="008F1619">
      <w:pPr>
        <w:rPr>
          <w:vanish/>
          <w:lang w:val="es-ES"/>
        </w:rPr>
      </w:pPr>
      <w:bookmarkStart w:id="3" w:name="PE"/>
      <w:r w:rsidRPr="00F54E21">
        <w:rPr>
          <w:vanish/>
          <w:lang w:val="es-ES"/>
        </w:rPr>
        <w:t>PE766.933</w:t>
      </w:r>
      <w:bookmarkEnd w:id="3"/>
    </w:p>
    <w:p w14:paraId="5A34B014" w14:textId="7493E0D4" w:rsidR="008F1619" w:rsidRPr="00F54E21" w:rsidRDefault="008F1619" w:rsidP="008F1619">
      <w:pPr>
        <w:pStyle w:val="ATHeading3"/>
      </w:pPr>
      <w:bookmarkStart w:id="4" w:name="Sujet"/>
      <w:r w:rsidRPr="00F54E21">
        <w:t xml:space="preserve">Resolución del Parlamento Europeo, de </w:t>
      </w:r>
      <w:r w:rsidR="00DA2131" w:rsidRPr="00F54E21">
        <w:t>12</w:t>
      </w:r>
      <w:r w:rsidRPr="00F54E21">
        <w:t xml:space="preserve">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w:t>
      </w:r>
      <w:bookmarkEnd w:id="4"/>
      <w:r w:rsidRPr="00F54E21">
        <w:t xml:space="preserve"> </w:t>
      </w:r>
      <w:bookmarkStart w:id="5" w:name="References"/>
      <w:r w:rsidR="0006768A" w:rsidRPr="00F54E21">
        <w:t>(</w:t>
      </w:r>
      <w:r w:rsidRPr="00F54E21">
        <w:t>D102172/03 – 2024/3011(RSP)</w:t>
      </w:r>
      <w:bookmarkEnd w:id="5"/>
      <w:r w:rsidR="0006768A" w:rsidRPr="00F54E21">
        <w:t>)</w:t>
      </w:r>
    </w:p>
    <w:p w14:paraId="3253D65E" w14:textId="77777777" w:rsidR="008F1619" w:rsidRPr="00F54E21" w:rsidRDefault="008F1619" w:rsidP="008F1619"/>
    <w:p w14:paraId="5553AB97" w14:textId="77777777" w:rsidR="00D33C9B" w:rsidRPr="00F54E21" w:rsidRDefault="00D33C9B" w:rsidP="003D3415">
      <w:pPr>
        <w:pStyle w:val="EPComma"/>
        <w:spacing w:before="120"/>
      </w:pPr>
      <w:bookmarkStart w:id="6" w:name="TextBodyBegin"/>
      <w:bookmarkEnd w:id="6"/>
      <w:r w:rsidRPr="00F54E21">
        <w:rPr>
          <w:i/>
        </w:rPr>
        <w:t>El Parlamento Europeo</w:t>
      </w:r>
      <w:r w:rsidRPr="00F54E21">
        <w:t>,</w:t>
      </w:r>
    </w:p>
    <w:p w14:paraId="05EA98B9" w14:textId="77777777" w:rsidR="00D33C9B" w:rsidRPr="00F54E21" w:rsidRDefault="00D33C9B" w:rsidP="00D33C9B">
      <w:pPr>
        <w:pStyle w:val="NormalHanging12a"/>
        <w:widowControl/>
      </w:pPr>
      <w:r w:rsidRPr="00F54E21">
        <w:t>–</w:t>
      </w:r>
      <w:r w:rsidRPr="00F54E21">
        <w:tab/>
        <w:t>Visto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(D102172/03),</w:t>
      </w:r>
    </w:p>
    <w:p w14:paraId="13F1B505" w14:textId="77777777" w:rsidR="00D33C9B" w:rsidRPr="00F54E21" w:rsidRDefault="00D33C9B" w:rsidP="00D33C9B">
      <w:pPr>
        <w:pStyle w:val="NormalHanging12a"/>
        <w:widowControl/>
      </w:pPr>
      <w:r w:rsidRPr="00F54E21">
        <w:t>–</w:t>
      </w:r>
      <w:r w:rsidRPr="00F54E21">
        <w:tab/>
        <w:t>Visto el Reglamento (CE) n.º 1829/2003 del Parlamento Europeo y del Consejo, de 22 de septiembre de 2003, sobre alimentos y piensos modificados genéticamente</w:t>
      </w:r>
      <w:r w:rsidRPr="00F54E21">
        <w:rPr>
          <w:rStyle w:val="FootnoteReference"/>
        </w:rPr>
        <w:footnoteReference w:id="1"/>
      </w:r>
      <w:r w:rsidRPr="00F54E21">
        <w:t>, y en particular su artículo 7, apartado 3, y su artículo 19, apartado 3,</w:t>
      </w:r>
    </w:p>
    <w:p w14:paraId="3ABA430E" w14:textId="77777777" w:rsidR="00D33C9B" w:rsidRPr="00F54E21" w:rsidRDefault="00D33C9B" w:rsidP="00D33C9B">
      <w:pPr>
        <w:pStyle w:val="NormalHanging12a"/>
        <w:widowControl/>
      </w:pPr>
      <w:r w:rsidRPr="00F54E21">
        <w:t>–</w:t>
      </w:r>
      <w:r w:rsidRPr="00F54E21">
        <w:tab/>
        <w:t>Vistas la votación del 22 de noviembre de 2024 en el Comité Permanente de Vegetales, Animales, Alimentos y Piensos al que se refiere el artículo 35 del Reglamento (CE) n.º 1829/2003, en la que no se emitió dictamen, y la votación del 17 de diciembre de 2024 en el Comité de Apelación, en la que tampoco se emitió dictamen,</w:t>
      </w:r>
    </w:p>
    <w:p w14:paraId="16AB3972" w14:textId="77777777" w:rsidR="00D33C9B" w:rsidRPr="00F54E21" w:rsidRDefault="00D33C9B" w:rsidP="00D33C9B">
      <w:pPr>
        <w:pStyle w:val="NormalHanging12a"/>
        <w:widowControl/>
      </w:pPr>
      <w:r w:rsidRPr="00F54E21">
        <w:t>–</w:t>
      </w:r>
      <w:r w:rsidRPr="00F54E21">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F54E21">
        <w:rPr>
          <w:rStyle w:val="FootnoteReference"/>
        </w:rPr>
        <w:footnoteReference w:id="2"/>
      </w:r>
      <w:r w:rsidRPr="00F54E21">
        <w:t xml:space="preserve">, </w:t>
      </w:r>
    </w:p>
    <w:p w14:paraId="41C77739" w14:textId="77777777" w:rsidR="00D33C9B" w:rsidRPr="00F54E21" w:rsidRDefault="00D33C9B" w:rsidP="00D33C9B">
      <w:pPr>
        <w:pStyle w:val="NormalHanging12a"/>
        <w:widowControl/>
      </w:pPr>
      <w:r w:rsidRPr="00F54E21">
        <w:t>–</w:t>
      </w:r>
      <w:r w:rsidRPr="00F54E21">
        <w:tab/>
        <w:t>Visto el dictamen adoptado por la Autoridad Europea de Seguridad Alimentaria (EFSA) el 19 de junio de 2024 y publicado el 1 de agosto de 2024</w:t>
      </w:r>
      <w:r w:rsidRPr="00F54E21">
        <w:rPr>
          <w:rStyle w:val="FootnoteReference"/>
        </w:rPr>
        <w:footnoteReference w:id="3"/>
      </w:r>
      <w:r w:rsidRPr="00F54E21">
        <w:t>,</w:t>
      </w:r>
    </w:p>
    <w:p w14:paraId="1C359103" w14:textId="77777777" w:rsidR="00D33C9B" w:rsidRPr="00F54E21" w:rsidRDefault="00D33C9B" w:rsidP="00D33C9B">
      <w:pPr>
        <w:pStyle w:val="NormalHanging12a"/>
        <w:widowControl/>
      </w:pPr>
      <w:r w:rsidRPr="00F54E21">
        <w:lastRenderedPageBreak/>
        <w:t>–</w:t>
      </w:r>
      <w:r w:rsidRPr="00F54E21">
        <w:tab/>
        <w:t>Vistas sus anteriores Resoluciones de oposición a la autorización de organismos modificados genéticamente (OMG)</w:t>
      </w:r>
      <w:r w:rsidRPr="00F54E21">
        <w:rPr>
          <w:rStyle w:val="FootnoteReference"/>
        </w:rPr>
        <w:footnoteReference w:id="4"/>
      </w:r>
      <w:r w:rsidRPr="00F54E21">
        <w:t>,</w:t>
      </w:r>
    </w:p>
    <w:p w14:paraId="4E08E89F" w14:textId="77777777" w:rsidR="00D33C9B" w:rsidRPr="00F54E21" w:rsidRDefault="00D33C9B" w:rsidP="00D33C9B">
      <w:pPr>
        <w:pStyle w:val="NormalHanging12a"/>
        <w:widowControl/>
      </w:pPr>
      <w:r w:rsidRPr="00F54E21">
        <w:t>–</w:t>
      </w:r>
      <w:r w:rsidRPr="00F54E21">
        <w:tab/>
        <w:t>Visto el artículo 115, apartados 2 y 3, de su Reglamento interno,</w:t>
      </w:r>
    </w:p>
    <w:p w14:paraId="46D0EF02" w14:textId="77777777" w:rsidR="00D33C9B" w:rsidRPr="00F54E21" w:rsidRDefault="00D33C9B" w:rsidP="00D33C9B">
      <w:pPr>
        <w:pStyle w:val="NormalHanging12a"/>
        <w:widowControl/>
      </w:pPr>
      <w:r w:rsidRPr="00F54E21">
        <w:lastRenderedPageBreak/>
        <w:t>–</w:t>
      </w:r>
      <w:r w:rsidRPr="00F54E21">
        <w:tab/>
        <w:t xml:space="preserve">Vista la propuesta de Resolución de la Comisión de Medio Ambiente, </w:t>
      </w:r>
      <w:r w:rsidR="003D3415" w:rsidRPr="00F54E21">
        <w:t>Clima</w:t>
      </w:r>
      <w:r w:rsidRPr="00F54E21">
        <w:t xml:space="preserve"> y Seguridad Alimentaria,</w:t>
      </w:r>
    </w:p>
    <w:p w14:paraId="586DF1FF" w14:textId="77777777" w:rsidR="00D33C9B" w:rsidRPr="00F54E21" w:rsidRDefault="00D33C9B" w:rsidP="00D33C9B">
      <w:pPr>
        <w:pStyle w:val="NormalHanging12a"/>
        <w:widowControl/>
        <w:tabs>
          <w:tab w:val="left" w:pos="0"/>
        </w:tabs>
        <w:suppressAutoHyphens/>
        <w:rPr>
          <w:szCs w:val="24"/>
        </w:rPr>
      </w:pPr>
      <w:r w:rsidRPr="00F54E21">
        <w:t>A.</w:t>
      </w:r>
      <w:r w:rsidRPr="00F54E21">
        <w:tab/>
        <w:t xml:space="preserve">Considerando que el 29 de abril de 2022 Bayer </w:t>
      </w:r>
      <w:proofErr w:type="spellStart"/>
      <w:r w:rsidRPr="00F54E21">
        <w:t>Agriculture</w:t>
      </w:r>
      <w:proofErr w:type="spellEnd"/>
      <w:r w:rsidRPr="00F54E21">
        <w:t xml:space="preserve"> B.V., con sede en Bélgica, en nombre de Bayer </w:t>
      </w:r>
      <w:proofErr w:type="spellStart"/>
      <w:r w:rsidRPr="00F54E21">
        <w:t>CropScience</w:t>
      </w:r>
      <w:proofErr w:type="spellEnd"/>
      <w:r w:rsidRPr="00F54E21">
        <w:t> LP, con sede en los Estados Unidos, presentó a la autoridad nacional competente de los Países Bajos una solicitud de comercialización de alimentos, ingredientes alimentarios y piensos que contienen, se componen o se han producido a partir de maíz modificado genéticamente MON 95275 («maíz modificado genéticamente»);</w:t>
      </w:r>
    </w:p>
    <w:p w14:paraId="0CE9AE6A" w14:textId="77777777" w:rsidR="00D33C9B" w:rsidRPr="00F54E21" w:rsidRDefault="00D33C9B" w:rsidP="00D33C9B">
      <w:pPr>
        <w:pStyle w:val="NormalHanging12a"/>
        <w:widowControl/>
        <w:tabs>
          <w:tab w:val="left" w:pos="0"/>
        </w:tabs>
        <w:suppressAutoHyphens/>
        <w:rPr>
          <w:szCs w:val="24"/>
        </w:rPr>
      </w:pPr>
      <w:r w:rsidRPr="00F54E21">
        <w:t>B.</w:t>
      </w:r>
      <w:r w:rsidRPr="00F54E21">
        <w:tab/>
        <w:t xml:space="preserve">Considerando que el maíz modificado genéticamente produce dos proteínas insecticidas (Mpp75Aa1 y Vpb4Da2) y expresa un ARN </w:t>
      </w:r>
      <w:proofErr w:type="spellStart"/>
      <w:r w:rsidRPr="00F54E21">
        <w:t>bicatenario</w:t>
      </w:r>
      <w:proofErr w:type="spellEnd"/>
      <w:r w:rsidRPr="00F54E21">
        <w:t xml:space="preserve"> DvSnf7 dirigido al gusano de la raíz del maíz; que la modificación genética implica un proceso en dos fases que incorpora una transformación mediada por </w:t>
      </w:r>
      <w:proofErr w:type="spellStart"/>
      <w:r w:rsidRPr="00F54E21">
        <w:t>Agrobacterium</w:t>
      </w:r>
      <w:proofErr w:type="spellEnd"/>
      <w:r w:rsidRPr="00F54E21">
        <w:t xml:space="preserve"> </w:t>
      </w:r>
      <w:proofErr w:type="spellStart"/>
      <w:r w:rsidRPr="00F54E21">
        <w:t>tumefacienos</w:t>
      </w:r>
      <w:proofErr w:type="spellEnd"/>
      <w:r w:rsidRPr="00F54E21">
        <w:t xml:space="preserve"> y un sistema de recombinación </w:t>
      </w:r>
      <w:proofErr w:type="spellStart"/>
      <w:r w:rsidRPr="00F54E21">
        <w:t>Cre</w:t>
      </w:r>
      <w:proofErr w:type="spellEnd"/>
      <w:r w:rsidRPr="00F54E21">
        <w:t>/</w:t>
      </w:r>
      <w:proofErr w:type="spellStart"/>
      <w:r w:rsidRPr="00F54E21">
        <w:t>lox</w:t>
      </w:r>
      <w:proofErr w:type="spellEnd"/>
      <w:r w:rsidRPr="00F54E21">
        <w:t xml:space="preserve"> para eliminar los marcadores de selección;</w:t>
      </w:r>
    </w:p>
    <w:p w14:paraId="7BD4C5C3" w14:textId="77777777" w:rsidR="00D33C9B" w:rsidRPr="00F54E21" w:rsidRDefault="00D33C9B" w:rsidP="00D33C9B">
      <w:pPr>
        <w:pStyle w:val="NormalHanging12a"/>
        <w:widowControl/>
        <w:tabs>
          <w:tab w:val="left" w:pos="0"/>
        </w:tabs>
        <w:suppressAutoHyphens/>
        <w:rPr>
          <w:szCs w:val="24"/>
        </w:rPr>
      </w:pPr>
      <w:r w:rsidRPr="00F54E21">
        <w:t>C.</w:t>
      </w:r>
      <w:r w:rsidRPr="00F54E21">
        <w:tab/>
        <w:t xml:space="preserve">Considerando que, el 19 de junio de 2024, la EFSA adoptó un dictamen favorable sobre MON 95275, publicado el 1 de agosto de 2024; que el dictamen de la EFSA no proporciona datos suficientes para evaluar los efectos genéticos involuntarios, la actividad biológica de las secuencias de lectura y los posibles efectos no intencionados en organismos no objetivo; </w:t>
      </w:r>
    </w:p>
    <w:p w14:paraId="2CB3BEF4" w14:textId="77777777" w:rsidR="00D33C9B" w:rsidRPr="00F54E21" w:rsidRDefault="00D33C9B" w:rsidP="00D33C9B">
      <w:pPr>
        <w:pStyle w:val="NormalHanging12a"/>
        <w:widowControl/>
        <w:tabs>
          <w:tab w:val="left" w:pos="0"/>
        </w:tabs>
        <w:suppressAutoHyphens/>
        <w:rPr>
          <w:szCs w:val="24"/>
        </w:rPr>
      </w:pPr>
      <w:r w:rsidRPr="00F54E21">
        <w:t>D.</w:t>
      </w:r>
      <w:r w:rsidRPr="00F54E21">
        <w:tab/>
        <w:t>Considerando que los ensayos clínicos de campo realizados por el solicitante no han tenido en cuenta las diversas condiciones de estrés ambiental o las diferentes prácticas agrícolas, lo que limita la pertinencia de los resultados para los entornos de cultivo europeos;</w:t>
      </w:r>
    </w:p>
    <w:p w14:paraId="06B16CE3" w14:textId="77777777" w:rsidR="00D33C9B" w:rsidRPr="00F54E21" w:rsidRDefault="00D33C9B" w:rsidP="00D33C9B">
      <w:pPr>
        <w:pStyle w:val="NormalHanging12a"/>
        <w:widowControl/>
        <w:tabs>
          <w:tab w:val="left" w:pos="0"/>
        </w:tabs>
        <w:suppressAutoHyphens/>
        <w:rPr>
          <w:szCs w:val="24"/>
        </w:rPr>
      </w:pPr>
      <w:r w:rsidRPr="00F54E21">
        <w:t>E.</w:t>
      </w:r>
      <w:r w:rsidRPr="00F54E21">
        <w:tab/>
        <w:t xml:space="preserve">Considerando que el ARN </w:t>
      </w:r>
      <w:proofErr w:type="spellStart"/>
      <w:r w:rsidRPr="00F54E21">
        <w:t>bicatenario</w:t>
      </w:r>
      <w:proofErr w:type="spellEnd"/>
      <w:r w:rsidRPr="00F54E21">
        <w:t xml:space="preserve"> DvSnf7 con un mecanismo </w:t>
      </w:r>
      <w:proofErr w:type="spellStart"/>
      <w:r w:rsidRPr="00F54E21">
        <w:t>ARNi</w:t>
      </w:r>
      <w:proofErr w:type="spellEnd"/>
      <w:r w:rsidRPr="00F54E21">
        <w:t xml:space="preserve"> suscita preocupación por sus efectos sobre los organismos no objetivo;</w:t>
      </w:r>
    </w:p>
    <w:p w14:paraId="5FAAF690" w14:textId="77777777" w:rsidR="00D33C9B" w:rsidRPr="00F54E21" w:rsidRDefault="00D33C9B" w:rsidP="00D33C9B">
      <w:pPr>
        <w:pStyle w:val="NormalHanging12a"/>
        <w:widowControl/>
        <w:tabs>
          <w:tab w:val="left" w:pos="0"/>
        </w:tabs>
        <w:suppressAutoHyphens/>
        <w:rPr>
          <w:szCs w:val="24"/>
        </w:rPr>
      </w:pPr>
      <w:r w:rsidRPr="00F54E21">
        <w:t>F.</w:t>
      </w:r>
      <w:r w:rsidRPr="00F54E21">
        <w:tab/>
        <w:t>Considerando que las proteínas insecticidas Mpp75Aa1 y Vpb4Da2 comparten similitudes estructurales con toxinas conocidas y que se carece de una evaluación suficiente de su especificidad, respuestas inmunitarias y efectos combinatorios;</w:t>
      </w:r>
    </w:p>
    <w:p w14:paraId="3CC1D1B2" w14:textId="77777777" w:rsidR="00D33C9B" w:rsidRPr="00F54E21" w:rsidRDefault="00D33C9B" w:rsidP="00D33C9B">
      <w:pPr>
        <w:pStyle w:val="NormalHanging12a"/>
        <w:widowControl/>
        <w:tabs>
          <w:tab w:val="left" w:pos="0"/>
        </w:tabs>
        <w:suppressAutoHyphens/>
        <w:rPr>
          <w:szCs w:val="24"/>
        </w:rPr>
      </w:pPr>
      <w:r w:rsidRPr="00F54E21">
        <w:t>G.</w:t>
      </w:r>
      <w:r w:rsidRPr="00F54E21">
        <w:tab/>
        <w:t>Considerando que el potencial de flujo genético a especies silvestres emparentadas, incluidas las poblaciones europeas de teosinte, plantea riesgos de persistencia transgénica y desequilibrio ecológico;</w:t>
      </w:r>
    </w:p>
    <w:p w14:paraId="72967C44" w14:textId="77777777" w:rsidR="00D33C9B" w:rsidRPr="00F54E21" w:rsidRDefault="00D33C9B" w:rsidP="00D33C9B">
      <w:pPr>
        <w:pStyle w:val="NormalHanging12a"/>
        <w:widowControl/>
        <w:tabs>
          <w:tab w:val="left" w:pos="0"/>
        </w:tabs>
        <w:suppressAutoHyphens/>
        <w:rPr>
          <w:szCs w:val="24"/>
        </w:rPr>
      </w:pPr>
      <w:r w:rsidRPr="00F54E21">
        <w:t>H.</w:t>
      </w:r>
      <w:r w:rsidRPr="00F54E21">
        <w:tab/>
        <w:t>Considerando que los requisitos de seguimiento en virtud del Reglamento de Ejecución (UE) n.º 503/2013</w:t>
      </w:r>
      <w:r w:rsidRPr="00F54E21">
        <w:rPr>
          <w:rStyle w:val="FootnoteReference"/>
          <w:szCs w:val="24"/>
        </w:rPr>
        <w:footnoteReference w:id="5"/>
      </w:r>
      <w:r w:rsidRPr="00F54E21">
        <w:t xml:space="preserve"> de la Comisión no se abordan adecuadamente, en particular en lo que respecta a la verificación independiente de los datos y los efectos medioambientales a largo plazo;</w:t>
      </w:r>
    </w:p>
    <w:p w14:paraId="122A3E68" w14:textId="77777777" w:rsidR="00D33C9B" w:rsidRPr="00F54E21" w:rsidRDefault="00D33C9B" w:rsidP="00D33C9B">
      <w:pPr>
        <w:pStyle w:val="NormalHanging12a"/>
        <w:widowControl/>
        <w:tabs>
          <w:tab w:val="left" w:pos="0"/>
        </w:tabs>
        <w:suppressAutoHyphens/>
        <w:rPr>
          <w:szCs w:val="24"/>
        </w:rPr>
      </w:pPr>
      <w:r w:rsidRPr="00F54E21">
        <w:lastRenderedPageBreak/>
        <w:t>I.</w:t>
      </w:r>
      <w:r w:rsidRPr="00F54E21">
        <w:tab/>
        <w:t xml:space="preserve">Considerando que la evaluación de la EFSA no trató suficientemente el papel de las interacciones de los </w:t>
      </w:r>
      <w:proofErr w:type="spellStart"/>
      <w:r w:rsidRPr="00F54E21">
        <w:t>microbiomas</w:t>
      </w:r>
      <w:proofErr w:type="spellEnd"/>
      <w:r w:rsidRPr="00F54E21">
        <w:t xml:space="preserve"> ni los efectos de toxicidad acumulativa en organismos no objetivo;</w:t>
      </w:r>
    </w:p>
    <w:p w14:paraId="79A8DF70" w14:textId="77777777" w:rsidR="00D33C9B" w:rsidRPr="00F54E21" w:rsidRDefault="00D33C9B" w:rsidP="00D33C9B">
      <w:pPr>
        <w:pStyle w:val="NormalHanging12a"/>
        <w:widowControl/>
        <w:tabs>
          <w:tab w:val="left" w:pos="0"/>
        </w:tabs>
        <w:suppressAutoHyphens/>
        <w:rPr>
          <w:szCs w:val="24"/>
        </w:rPr>
      </w:pPr>
      <w:r w:rsidRPr="00F54E21">
        <w:t>J.</w:t>
      </w:r>
      <w:r w:rsidRPr="00F54E21">
        <w:tab/>
        <w:t>Considerando que, a diferencia de lo que ocurre con el uso de insecticidas —donde la exposición se produce en el momento de la fumigación y durante un período posterior limitado—, el uso de cultivos genéticamente modificados contra plagas da lugar a una exposición continua a las toxinas de los organismos objetivo y no objetivo;</w:t>
      </w:r>
    </w:p>
    <w:p w14:paraId="5E90CCB6" w14:textId="77777777" w:rsidR="00D33C9B" w:rsidRPr="00F54E21" w:rsidRDefault="00D33C9B" w:rsidP="00D33C9B">
      <w:pPr>
        <w:pStyle w:val="NormalHanging12a"/>
        <w:widowControl/>
        <w:rPr>
          <w:b/>
          <w:i/>
          <w:szCs w:val="24"/>
        </w:rPr>
      </w:pPr>
      <w:r w:rsidRPr="00F54E21">
        <w:rPr>
          <w:b/>
          <w:i/>
        </w:rPr>
        <w:t>Observaciones de los Estados miembros y de las partes interesadas</w:t>
      </w:r>
    </w:p>
    <w:p w14:paraId="740A5A39" w14:textId="77777777" w:rsidR="00D33C9B" w:rsidRPr="00F54E21" w:rsidRDefault="00D33C9B" w:rsidP="00D33C9B">
      <w:pPr>
        <w:pStyle w:val="NormalHanging12a"/>
        <w:widowControl/>
        <w:tabs>
          <w:tab w:val="left" w:pos="0"/>
        </w:tabs>
        <w:suppressAutoHyphens/>
        <w:rPr>
          <w:szCs w:val="24"/>
        </w:rPr>
      </w:pPr>
      <w:r w:rsidRPr="00F54E21">
        <w:t>K.</w:t>
      </w:r>
      <w:r w:rsidRPr="00F54E21">
        <w:tab/>
        <w:t>Considerando que los Estados miembros presentaron numerosas observaciones críticas a la EFSA durante el período de consulta de tres meses</w:t>
      </w:r>
      <w:r w:rsidRPr="00F54E21">
        <w:rPr>
          <w:rStyle w:val="FootnoteReference"/>
          <w:szCs w:val="24"/>
        </w:rPr>
        <w:footnoteReference w:id="6"/>
      </w:r>
      <w:r w:rsidRPr="00F54E21">
        <w:t xml:space="preserve"> y, en particular, observaron que la lista de estudios pertinentes, identificada en la revisión bibliográfica del solicitante, no incluía estudios sobre cómo acaban las proteínas insecticidas en el medio ambiente ni sobre los posibles efectos de los residuos de cultivos en organismos no objetivo; </w:t>
      </w:r>
    </w:p>
    <w:p w14:paraId="4C34436D" w14:textId="77777777" w:rsidR="00D33C9B" w:rsidRPr="00F54E21" w:rsidRDefault="00D33C9B" w:rsidP="00D33C9B">
      <w:pPr>
        <w:pStyle w:val="NormalHanging12a"/>
        <w:widowControl/>
        <w:tabs>
          <w:tab w:val="left" w:pos="0"/>
        </w:tabs>
        <w:suppressAutoHyphens/>
        <w:rPr>
          <w:szCs w:val="24"/>
        </w:rPr>
      </w:pPr>
      <w:r w:rsidRPr="00F54E21">
        <w:t>L.</w:t>
      </w:r>
      <w:r w:rsidRPr="00F54E21">
        <w:tab/>
        <w:t>Considerando que, en su octava legislatura, el Parlamento Europeo aprobó un total de treinta y seis resoluciones de oposición a la comercialización de organismos modificados genéticamente como alimentos y piensos (treinta y tres resoluciones) y al cultivo de dichos organismos en la Unión (tres resoluciones); que, en su novena legislatura, el Parlamento aprobó treinta y ocho resoluciones de oposición a la comercialización de organismos modificados genéticamente y otras ocho resoluciones en las que ya se oponía a la comercialización de organismos modificados genéticamente en la décima legislatura actual;</w:t>
      </w:r>
    </w:p>
    <w:p w14:paraId="0C0B9D38" w14:textId="77777777" w:rsidR="00D33C9B" w:rsidRPr="00F54E21" w:rsidRDefault="00D33C9B" w:rsidP="00D33C9B">
      <w:pPr>
        <w:pStyle w:val="NormalHanging12a"/>
        <w:widowControl/>
        <w:tabs>
          <w:tab w:val="left" w:pos="0"/>
        </w:tabs>
        <w:suppressAutoHyphens/>
      </w:pPr>
      <w:r w:rsidRPr="00F54E21">
        <w:t>M.</w:t>
      </w:r>
      <w:r w:rsidRPr="00F54E21">
        <w:tab/>
        <w:t>Considerando que, pese a reconocer las deficiencias democráticas, la falta de apoyo de los Estados miembros y la oposición del Parlamento, la Comisión sigue autorizando organismos modificados genéticamente;</w:t>
      </w:r>
    </w:p>
    <w:p w14:paraId="349B210C" w14:textId="1CB77111" w:rsidR="00B0706E" w:rsidRPr="00F54E21" w:rsidRDefault="00B0706E" w:rsidP="00D33C9B">
      <w:pPr>
        <w:pStyle w:val="NormalHanging12a"/>
        <w:widowControl/>
        <w:tabs>
          <w:tab w:val="left" w:pos="0"/>
        </w:tabs>
        <w:suppressAutoHyphens/>
        <w:rPr>
          <w:szCs w:val="24"/>
        </w:rPr>
      </w:pPr>
      <w:r w:rsidRPr="00F54E21">
        <w:t>N.</w:t>
      </w:r>
      <w:r w:rsidRPr="00F54E21">
        <w:tab/>
        <w:t>Considerando que el acuerdo comercial entre la UE y Mercosur incentivará las importaciones en la Unión de alimentos y piensos que contengan organismos modificados genéticamente, se compongan de ellos o se hayan producido a partir de ellos y que Brasil y Argentina se encuentran entre los principales productores de OMG y usuarios de plaguicidas del mundo, incluidos los OMG y los plaguicidas prohibidos en la Unión por razones sanitarias o medioambientales;</w:t>
      </w:r>
    </w:p>
    <w:p w14:paraId="3E4F8993" w14:textId="77777777" w:rsidR="00D33C9B" w:rsidRPr="00F54E21" w:rsidRDefault="00D33C9B" w:rsidP="00D33C9B">
      <w:pPr>
        <w:pStyle w:val="NormalHanging12a"/>
        <w:widowControl/>
        <w:rPr>
          <w:szCs w:val="24"/>
        </w:rPr>
      </w:pPr>
      <w:r w:rsidRPr="00F54E21">
        <w:t>1.</w:t>
      </w:r>
      <w:r w:rsidRPr="00F54E21">
        <w:tab/>
        <w:t>Estima que este proyecto de Decisión de Ejecución de la Comisión excede de las competencias de ejecución establecidas en el Reglamento (CE) n.º 1829/2003;</w:t>
      </w:r>
    </w:p>
    <w:p w14:paraId="0C5D996F" w14:textId="77777777" w:rsidR="00D33C9B" w:rsidRPr="00F54E21" w:rsidRDefault="00D33C9B" w:rsidP="00D33C9B">
      <w:pPr>
        <w:pStyle w:val="NormalHanging12a"/>
        <w:widowControl/>
        <w:rPr>
          <w:szCs w:val="24"/>
        </w:rPr>
      </w:pPr>
      <w:r w:rsidRPr="00F54E21">
        <w:t>2.</w:t>
      </w:r>
      <w:r w:rsidRPr="00F54E21">
        <w:tab/>
        <w:t xml:space="preserve">Considera que el proyecto de Decisión de Ejecución de la Comisión no es conforme con el Derecho de la Unión al ser incompatible con el objetivo del Reglamento (CE) n.º 1829/2003, que es, con arreglo a los principios generales establecidos en el </w:t>
      </w:r>
      <w:r w:rsidRPr="00F54E21">
        <w:lastRenderedPageBreak/>
        <w:t>Reglamento (CE) n.º 178/2002 del Parlamento Europeo y del Consejo</w:t>
      </w:r>
      <w:r w:rsidRPr="00F54E21">
        <w:rPr>
          <w:rStyle w:val="FootnoteReference"/>
          <w:szCs w:val="24"/>
        </w:rPr>
        <w:footnoteReference w:id="7"/>
      </w:r>
      <w:r w:rsidRPr="00F54E21">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14:paraId="7DD3E04E" w14:textId="77777777" w:rsidR="00D33C9B" w:rsidRPr="00F54E21" w:rsidRDefault="00D33C9B" w:rsidP="00D33C9B">
      <w:pPr>
        <w:pStyle w:val="NormalHanging12a"/>
        <w:widowControl/>
        <w:rPr>
          <w:szCs w:val="24"/>
        </w:rPr>
      </w:pPr>
      <w:r w:rsidRPr="00F54E21">
        <w:t>3.</w:t>
      </w:r>
      <w:r w:rsidRPr="00F54E21">
        <w:tab/>
        <w:t>Pide a la Comisión que retire su proyecto de Decisión de Ejecución y presente un nuevo proyecto al Comité;</w:t>
      </w:r>
    </w:p>
    <w:p w14:paraId="44511E40" w14:textId="77777777" w:rsidR="00D33C9B" w:rsidRPr="00F54E21" w:rsidRDefault="00D33C9B" w:rsidP="00D33C9B">
      <w:pPr>
        <w:pStyle w:val="NormalHanging12a"/>
        <w:widowControl/>
        <w:rPr>
          <w:szCs w:val="24"/>
        </w:rPr>
      </w:pPr>
      <w:r w:rsidRPr="00F54E21">
        <w:t>4.</w:t>
      </w:r>
      <w:r w:rsidRPr="00F54E21">
        <w:tab/>
        <w:t>Pide a la Comisión que garantice la convergencia de normas entre la Unión y sus socios en las negociaciones del acuerdo de libre comercio, a fin de cumplir las normas de seguridad de la Unión;</w:t>
      </w:r>
    </w:p>
    <w:p w14:paraId="77025849" w14:textId="77777777" w:rsidR="00D33C9B" w:rsidRPr="00F54E21" w:rsidRDefault="00D33C9B" w:rsidP="00D33C9B">
      <w:pPr>
        <w:pStyle w:val="NormalHanging12a"/>
        <w:widowControl/>
        <w:rPr>
          <w:szCs w:val="24"/>
        </w:rPr>
      </w:pPr>
      <w:r w:rsidRPr="00F54E21">
        <w:t>5.</w:t>
      </w:r>
      <w:r w:rsidRPr="00F54E21">
        <w:tab/>
        <w:t>Pide a la Comisión que no autorice los cultivos modificados genéticamente debido a los riesgos para la biodiversidad, la seguridad alimentaria y la salud de los trabajadores, en consonancia con el enfoque de «Una sola salud»;</w:t>
      </w:r>
    </w:p>
    <w:p w14:paraId="3001DCF6" w14:textId="77777777" w:rsidR="00D33C9B" w:rsidRPr="00F54E21" w:rsidRDefault="00D33C9B" w:rsidP="00D33C9B">
      <w:pPr>
        <w:pStyle w:val="NormalHanging12a"/>
        <w:widowControl/>
        <w:rPr>
          <w:szCs w:val="24"/>
        </w:rPr>
      </w:pPr>
      <w:r w:rsidRPr="00F54E21">
        <w:t>6.</w:t>
      </w:r>
      <w:r w:rsidRPr="00F54E21">
        <w:tab/>
        <w:t>Celebra que la Comisión reconociera finalmente, en una carta a los diputados de 11 de septiembre de 2020, la necesidad de tener en cuenta la sostenibilidad en las decisiones de autorización relativas a organismos modificados genéticamente</w:t>
      </w:r>
      <w:r w:rsidRPr="00F54E21">
        <w:rPr>
          <w:rStyle w:val="FootnoteReference"/>
          <w:szCs w:val="24"/>
        </w:rPr>
        <w:footnoteReference w:id="8"/>
      </w:r>
      <w:r w:rsidRPr="00F54E21">
        <w:t>; expresa, no obstante, su gran decepción ante el hecho de que desde entonces la Comisión haya seguido autorizando la importación de organismos modificados genéticamente a la Unión, pese a la continua oposición del Parlamento Europeo y el voto en contra de una mayoría de Estados miembros;</w:t>
      </w:r>
    </w:p>
    <w:p w14:paraId="52868755" w14:textId="77777777" w:rsidR="00D33C9B" w:rsidRPr="00F54E21" w:rsidRDefault="00D33C9B" w:rsidP="00D33C9B">
      <w:pPr>
        <w:pStyle w:val="NormalHanging12a"/>
        <w:widowControl/>
        <w:rPr>
          <w:szCs w:val="24"/>
        </w:rPr>
      </w:pPr>
      <w:r w:rsidRPr="00F54E21">
        <w:t>7.</w:t>
      </w:r>
      <w:r w:rsidRPr="00F54E21">
        <w:tab/>
        <w:t>Insta de nuevo a la Comisión a que tenga en cuenta las obligaciones de la Unión en virtud de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Pr="00F54E21">
        <w:rPr>
          <w:rStyle w:val="FootnoteReference"/>
          <w:szCs w:val="24"/>
        </w:rPr>
        <w:footnoteReference w:id="9"/>
      </w:r>
      <w:r w:rsidRPr="00F54E21">
        <w:t xml:space="preserve">; </w:t>
      </w:r>
    </w:p>
    <w:p w14:paraId="0E02AA0A" w14:textId="77777777" w:rsidR="006549B1" w:rsidRPr="00F54E21" w:rsidRDefault="00D33C9B" w:rsidP="006549B1">
      <w:pPr>
        <w:pStyle w:val="NormalHanging12a"/>
        <w:widowControl/>
      </w:pPr>
      <w:r w:rsidRPr="00F54E21">
        <w:t>8.</w:t>
      </w:r>
      <w:r w:rsidRPr="00F54E21">
        <w:tab/>
        <w:t>Encarga a su presidenta que transmita la presente Resolución al Consejo y a la Comisión, así como a los Gobiernos y Parlamentos de los Estados miembros.</w:t>
      </w:r>
    </w:p>
    <w:p w14:paraId="1741F32A" w14:textId="77777777" w:rsidR="00E365E1" w:rsidRPr="00F54E21" w:rsidRDefault="00E365E1" w:rsidP="008F1619"/>
    <w:sectPr w:rsidR="00E365E1" w:rsidRPr="00F54E21" w:rsidSect="006549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3C324" w14:textId="77777777" w:rsidR="008F1619" w:rsidRPr="006549B1" w:rsidRDefault="008F1619">
      <w:r w:rsidRPr="006549B1">
        <w:separator/>
      </w:r>
    </w:p>
  </w:endnote>
  <w:endnote w:type="continuationSeparator" w:id="0">
    <w:p w14:paraId="6D56AF28" w14:textId="77777777" w:rsidR="008F1619" w:rsidRPr="006549B1" w:rsidRDefault="008F1619">
      <w:r w:rsidRPr="006549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E507F" w14:textId="77777777" w:rsidR="00064002" w:rsidRPr="006549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ED449" w14:textId="77777777" w:rsidR="00064002" w:rsidRPr="006549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4F3C" w14:textId="77777777" w:rsidR="00064002" w:rsidRPr="006549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C6173" w14:textId="77777777" w:rsidR="008F1619" w:rsidRPr="006549B1" w:rsidRDefault="008F1619">
      <w:r w:rsidRPr="006549B1">
        <w:separator/>
      </w:r>
    </w:p>
  </w:footnote>
  <w:footnote w:type="continuationSeparator" w:id="0">
    <w:p w14:paraId="138A652D" w14:textId="77777777" w:rsidR="008F1619" w:rsidRPr="006549B1" w:rsidRDefault="008F1619">
      <w:r w:rsidRPr="006549B1">
        <w:continuationSeparator/>
      </w:r>
    </w:p>
  </w:footnote>
  <w:footnote w:id="1">
    <w:p w14:paraId="12C0A900" w14:textId="77777777" w:rsidR="00D33C9B" w:rsidRPr="006802D3" w:rsidRDefault="00D33C9B" w:rsidP="006549B1">
      <w:pPr>
        <w:pStyle w:val="FootnoteText"/>
        <w:ind w:left="567" w:hanging="567"/>
        <w:rPr>
          <w:color w:val="000000" w:themeColor="text1"/>
          <w:sz w:val="24"/>
          <w:lang w:val="pt-PT"/>
        </w:rPr>
      </w:pPr>
      <w:r w:rsidRPr="006549B1">
        <w:rPr>
          <w:rStyle w:val="Funotenzeichen"/>
          <w:color w:val="000000" w:themeColor="text1"/>
          <w:sz w:val="24"/>
          <w:lang w:val="es-ES_tradnl"/>
        </w:rPr>
        <w:footnoteRef/>
      </w:r>
      <w:r w:rsidR="006549B1" w:rsidRPr="006802D3">
        <w:rPr>
          <w:color w:val="000000" w:themeColor="text1"/>
          <w:sz w:val="24"/>
          <w:lang w:val="pt-PT"/>
        </w:rPr>
        <w:t xml:space="preserve"> </w:t>
      </w:r>
      <w:r w:rsidR="006549B1" w:rsidRPr="006802D3">
        <w:rPr>
          <w:color w:val="000000" w:themeColor="text1"/>
          <w:sz w:val="24"/>
          <w:lang w:val="pt-PT"/>
        </w:rPr>
        <w:tab/>
      </w:r>
      <w:r w:rsidRPr="006802D3">
        <w:rPr>
          <w:color w:val="000000" w:themeColor="text1"/>
          <w:sz w:val="24"/>
          <w:lang w:val="pt-PT"/>
        </w:rPr>
        <w:t>DO L 268 de 18.10.2003, p. 1, ELI: </w:t>
      </w:r>
      <w:hyperlink r:id="rId1" w:history="1">
        <w:r w:rsidRPr="006802D3">
          <w:rPr>
            <w:rStyle w:val="Hyperlink"/>
            <w:sz w:val="24"/>
            <w:lang w:val="pt-PT"/>
          </w:rPr>
          <w:t>http://data.europa.eu/eli/reg/2003/1829/oj</w:t>
        </w:r>
      </w:hyperlink>
      <w:r w:rsidRPr="006802D3">
        <w:rPr>
          <w:rStyle w:val="Hyperlink"/>
          <w:color w:val="000000" w:themeColor="text1"/>
          <w:sz w:val="24"/>
          <w:lang w:val="pt-PT"/>
        </w:rPr>
        <w:t>.</w:t>
      </w:r>
    </w:p>
  </w:footnote>
  <w:footnote w:id="2">
    <w:p w14:paraId="04202046" w14:textId="769622E7" w:rsidR="00D33C9B" w:rsidRPr="006549B1" w:rsidRDefault="00D33C9B" w:rsidP="006549B1">
      <w:pPr>
        <w:pStyle w:val="FootnoteText"/>
        <w:ind w:left="567" w:hanging="567"/>
        <w:rPr>
          <w:color w:val="000000" w:themeColor="text1"/>
          <w:sz w:val="24"/>
          <w:lang w:val="es-ES_tradnl"/>
        </w:rPr>
      </w:pPr>
      <w:r w:rsidRPr="006549B1">
        <w:rPr>
          <w:rStyle w:val="Funotenzeichen"/>
          <w:color w:val="000000" w:themeColor="text1"/>
          <w:sz w:val="24"/>
          <w:lang w:val="es-ES_tradnl"/>
        </w:rPr>
        <w:footnoteRef/>
      </w:r>
      <w:r w:rsidR="006549B1" w:rsidRPr="006549B1">
        <w:rPr>
          <w:color w:val="000000" w:themeColor="text1"/>
          <w:sz w:val="24"/>
          <w:lang w:val="es-ES_tradnl"/>
        </w:rPr>
        <w:t xml:space="preserve"> </w:t>
      </w:r>
      <w:r w:rsidR="006549B1" w:rsidRPr="006549B1">
        <w:rPr>
          <w:color w:val="000000" w:themeColor="text1"/>
          <w:sz w:val="24"/>
          <w:lang w:val="es-ES_tradnl"/>
        </w:rPr>
        <w:tab/>
      </w:r>
      <w:r w:rsidRPr="006549B1">
        <w:rPr>
          <w:color w:val="000000" w:themeColor="text1"/>
          <w:sz w:val="24"/>
          <w:lang w:val="es-ES_tradnl"/>
        </w:rPr>
        <w:t>DO</w:t>
      </w:r>
      <w:r w:rsidR="00445D84">
        <w:rPr>
          <w:color w:val="000000" w:themeColor="text1"/>
          <w:sz w:val="24"/>
          <w:lang w:val="es-ES_tradnl"/>
        </w:rPr>
        <w:t> </w:t>
      </w:r>
      <w:bookmarkStart w:id="7" w:name="_GoBack"/>
      <w:bookmarkEnd w:id="7"/>
      <w:r w:rsidRPr="006549B1">
        <w:rPr>
          <w:color w:val="000000" w:themeColor="text1"/>
          <w:sz w:val="24"/>
          <w:lang w:val="es-ES_tradnl"/>
        </w:rPr>
        <w:t>L 55 de 28.2.2011, p. 13, ELI</w:t>
      </w:r>
      <w:r w:rsidRPr="006549B1">
        <w:rPr>
          <w:rStyle w:val="Hyperlink"/>
          <w:color w:val="000000" w:themeColor="text1"/>
          <w:sz w:val="24"/>
          <w:lang w:val="es-ES_tradnl"/>
        </w:rPr>
        <w:t xml:space="preserve">: </w:t>
      </w:r>
      <w:hyperlink r:id="rId2" w:history="1">
        <w:r w:rsidRPr="006549B1">
          <w:rPr>
            <w:rStyle w:val="Hyperlink"/>
            <w:color w:val="000000" w:themeColor="text1"/>
            <w:sz w:val="24"/>
            <w:lang w:val="es-ES_tradnl"/>
          </w:rPr>
          <w:t>http://data.europa.eu/eli/reg/2011/182/oj</w:t>
        </w:r>
      </w:hyperlink>
      <w:r w:rsidRPr="006549B1">
        <w:rPr>
          <w:rStyle w:val="Hyperlink"/>
          <w:color w:val="000000" w:themeColor="text1"/>
          <w:sz w:val="24"/>
          <w:lang w:val="es-ES_tradnl"/>
        </w:rPr>
        <w:t>.</w:t>
      </w:r>
    </w:p>
  </w:footnote>
  <w:footnote w:id="3">
    <w:p w14:paraId="5F82C48A" w14:textId="77777777" w:rsidR="00D33C9B" w:rsidRPr="006549B1" w:rsidRDefault="00D33C9B" w:rsidP="006549B1">
      <w:pPr>
        <w:pStyle w:val="FootnoteText"/>
        <w:ind w:left="567" w:hanging="567"/>
        <w:rPr>
          <w:color w:val="000000" w:themeColor="text1"/>
          <w:sz w:val="24"/>
          <w:lang w:val="es-ES_tradnl"/>
        </w:rPr>
      </w:pPr>
      <w:r w:rsidRPr="006549B1">
        <w:rPr>
          <w:rStyle w:val="FootnoteReference"/>
          <w:color w:val="000000" w:themeColor="text1"/>
          <w:sz w:val="24"/>
          <w:lang w:val="es-ES_tradnl"/>
        </w:rPr>
        <w:footnoteRef/>
      </w:r>
      <w:r w:rsidR="006549B1" w:rsidRPr="006549B1">
        <w:rPr>
          <w:color w:val="000000" w:themeColor="text1"/>
          <w:sz w:val="24"/>
          <w:lang w:val="es-ES_tradnl"/>
        </w:rPr>
        <w:t xml:space="preserve"> </w:t>
      </w:r>
      <w:r w:rsidR="006549B1" w:rsidRPr="006549B1">
        <w:rPr>
          <w:color w:val="000000" w:themeColor="text1"/>
          <w:sz w:val="24"/>
          <w:lang w:val="es-ES_tradnl"/>
        </w:rPr>
        <w:tab/>
      </w:r>
      <w:r w:rsidRPr="006549B1">
        <w:rPr>
          <w:color w:val="000000" w:themeColor="text1"/>
          <w:sz w:val="24"/>
          <w:lang w:val="es-ES_tradnl"/>
        </w:rPr>
        <w:t xml:space="preserve">Dictamen científico de la Comisión Técnica de Organismos Modificados Genéticamente de la EFSA sobre la evaluación del maíz modificado genéticamente MON 95275 (solicitud GMFF-2022-5890), </w:t>
      </w:r>
      <w:r w:rsidRPr="006549B1">
        <w:rPr>
          <w:i/>
          <w:iCs/>
          <w:color w:val="000000" w:themeColor="text1"/>
          <w:sz w:val="24"/>
          <w:lang w:val="es-ES_tradnl"/>
        </w:rPr>
        <w:t xml:space="preserve">EFSA </w:t>
      </w:r>
      <w:proofErr w:type="spellStart"/>
      <w:r w:rsidRPr="006549B1">
        <w:rPr>
          <w:i/>
          <w:iCs/>
          <w:color w:val="000000" w:themeColor="text1"/>
          <w:sz w:val="24"/>
          <w:lang w:val="es-ES_tradnl"/>
        </w:rPr>
        <w:t>Journal</w:t>
      </w:r>
      <w:proofErr w:type="spellEnd"/>
      <w:r w:rsidRPr="006549B1">
        <w:rPr>
          <w:color w:val="000000" w:themeColor="text1"/>
          <w:sz w:val="24"/>
          <w:lang w:val="es-ES_tradnl"/>
        </w:rPr>
        <w:t xml:space="preserve">, 2024; 22(8):e8886, </w:t>
      </w:r>
      <w:hyperlink r:id="rId3" w:history="1">
        <w:r w:rsidRPr="006549B1">
          <w:rPr>
            <w:rStyle w:val="Hyperlink"/>
            <w:color w:val="000000" w:themeColor="text1"/>
            <w:sz w:val="24"/>
            <w:lang w:val="es-ES_tradnl"/>
          </w:rPr>
          <w:t>https://doi.org/10.2903/j.efsa.2024.8886</w:t>
        </w:r>
      </w:hyperlink>
      <w:r w:rsidRPr="006549B1">
        <w:rPr>
          <w:color w:val="000000" w:themeColor="text1"/>
          <w:sz w:val="24"/>
          <w:lang w:val="es-ES_tradnl"/>
        </w:rPr>
        <w:t xml:space="preserve">. </w:t>
      </w:r>
    </w:p>
  </w:footnote>
  <w:footnote w:id="4">
    <w:p w14:paraId="36BADB4B" w14:textId="77777777" w:rsidR="00D33C9B" w:rsidRPr="006549B1" w:rsidRDefault="00D33C9B" w:rsidP="006549B1">
      <w:pPr>
        <w:pStyle w:val="FootnoteText"/>
        <w:ind w:left="567" w:hanging="567"/>
        <w:rPr>
          <w:color w:val="000000" w:themeColor="text1"/>
          <w:sz w:val="24"/>
          <w:vertAlign w:val="superscript"/>
          <w:lang w:val="es-ES_tradnl"/>
        </w:rPr>
      </w:pPr>
      <w:r w:rsidRPr="006549B1">
        <w:rPr>
          <w:rStyle w:val="FootnoteReference"/>
          <w:color w:val="000000" w:themeColor="text1"/>
          <w:sz w:val="24"/>
          <w:lang w:val="es-ES_tradnl"/>
        </w:rPr>
        <w:footnoteRef/>
      </w:r>
      <w:r w:rsidR="006549B1" w:rsidRPr="006549B1">
        <w:rPr>
          <w:color w:val="000000" w:themeColor="text1"/>
          <w:sz w:val="24"/>
          <w:lang w:val="es-ES_tradnl"/>
        </w:rPr>
        <w:t xml:space="preserve"> </w:t>
      </w:r>
      <w:r w:rsidR="006549B1" w:rsidRPr="006549B1">
        <w:rPr>
          <w:color w:val="000000" w:themeColor="text1"/>
          <w:sz w:val="24"/>
          <w:lang w:val="es-ES_tradnl"/>
        </w:rPr>
        <w:tab/>
      </w:r>
      <w:r w:rsidRPr="006549B1">
        <w:rPr>
          <w:color w:val="000000" w:themeColor="text1"/>
          <w:sz w:val="24"/>
          <w:lang w:val="es-ES_tradnl"/>
        </w:rPr>
        <w:t>En su octava y novena legislaturas, el Parlamento aprobó respectivamente treinta y seis y treinta y ocho Resoluciones de oposición a la autorización de OMG. Además, en su décima legislatura, el Parlamento ha aprobado las siguientes Resoluciones:</w:t>
      </w:r>
    </w:p>
    <w:p w14:paraId="397B9B12"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la Decisión de Ejecución de la Comisión (UE) 2024/2628 por la que se renueva la autorización de comercialización de los productos que contengan, se compongan o se hayan producido a partir del maíz modificado genéticamente MON 89034 × 1507 × NK603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2024)0038).</w:t>
      </w:r>
    </w:p>
    <w:p w14:paraId="55F8DEAD"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2024)0039).</w:t>
      </w:r>
    </w:p>
    <w:p w14:paraId="47836438"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00D33C9B" w:rsidRPr="006549B1">
        <w:rPr>
          <w:color w:val="000000" w:themeColor="text1"/>
          <w:sz w:val="24"/>
          <w:lang w:val="es-ES_tradnl"/>
        </w:rPr>
        <w:t>subcombinaciones</w:t>
      </w:r>
      <w:proofErr w:type="spellEnd"/>
      <w:r w:rsidR="00D33C9B" w:rsidRPr="006549B1">
        <w:rPr>
          <w:color w:val="000000" w:themeColor="text1"/>
          <w:sz w:val="24"/>
          <w:lang w:val="es-ES_tradnl"/>
        </w:rPr>
        <w:t>,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2024)0040).</w:t>
      </w:r>
    </w:p>
    <w:p w14:paraId="16A89C3A"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(P10_TA(2024)0041).</w:t>
      </w:r>
    </w:p>
    <w:p w14:paraId="5D7E156A"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2024)0042).</w:t>
      </w:r>
    </w:p>
    <w:p w14:paraId="49087420"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2024)0043).</w:t>
      </w:r>
    </w:p>
    <w:p w14:paraId="645BC9B0" w14:textId="77777777" w:rsidR="00D33C9B" w:rsidRPr="006549B1" w:rsidRDefault="006549B1" w:rsidP="006549B1">
      <w:pPr>
        <w:pStyle w:val="FootnoteText"/>
        <w:ind w:left="567" w:hanging="567"/>
        <w:rPr>
          <w:color w:val="000000" w:themeColor="text1"/>
          <w:sz w:val="24"/>
          <w:vertAlign w:val="superscript"/>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2024)0044).</w:t>
      </w:r>
    </w:p>
    <w:p w14:paraId="30554B84" w14:textId="77777777" w:rsidR="00D33C9B" w:rsidRPr="006549B1" w:rsidRDefault="006549B1" w:rsidP="006549B1">
      <w:pPr>
        <w:pStyle w:val="FootnoteText"/>
        <w:ind w:left="567" w:hanging="567"/>
        <w:rPr>
          <w:color w:val="000000" w:themeColor="text1"/>
          <w:sz w:val="24"/>
          <w:lang w:val="es-ES_tradnl"/>
        </w:rPr>
      </w:pPr>
      <w:r w:rsidRPr="006549B1">
        <w:rPr>
          <w:color w:val="000000" w:themeColor="text1"/>
          <w:sz w:val="24"/>
          <w:lang w:val="es-ES_tradnl"/>
        </w:rPr>
        <w:t xml:space="preserve"> </w:t>
      </w:r>
      <w:r w:rsidRPr="006549B1">
        <w:rPr>
          <w:color w:val="000000" w:themeColor="text1"/>
          <w:sz w:val="24"/>
          <w:lang w:val="es-ES_tradnl"/>
        </w:rPr>
        <w:tab/>
      </w:r>
      <w:r w:rsidR="00D33C9B" w:rsidRPr="006549B1">
        <w:rPr>
          <w:color w:val="000000" w:themeColor="text1"/>
          <w:sz w:val="24"/>
          <w:lang w:val="es-ES_tradnl"/>
        </w:rPr>
        <w:t>–</w:t>
      </w:r>
      <w:r w:rsidR="00D33C9B" w:rsidRPr="006549B1">
        <w:rPr>
          <w:color w:val="000000" w:themeColor="text1"/>
          <w:sz w:val="24"/>
          <w:lang w:val="es-ES_tradnl"/>
        </w:rPr>
        <w:tab/>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(P10_</w:t>
      </w:r>
      <w:proofErr w:type="gramStart"/>
      <w:r w:rsidR="00D33C9B" w:rsidRPr="006549B1">
        <w:rPr>
          <w:color w:val="000000" w:themeColor="text1"/>
          <w:sz w:val="24"/>
          <w:lang w:val="es-ES_tradnl"/>
        </w:rPr>
        <w:t>TA(</w:t>
      </w:r>
      <w:proofErr w:type="gramEnd"/>
      <w:r w:rsidR="00D33C9B" w:rsidRPr="006549B1">
        <w:rPr>
          <w:color w:val="000000" w:themeColor="text1"/>
          <w:sz w:val="24"/>
          <w:lang w:val="es-ES_tradnl"/>
        </w:rPr>
        <w:t>2024)0045).</w:t>
      </w:r>
    </w:p>
  </w:footnote>
  <w:footnote w:id="5">
    <w:p w14:paraId="533ED3FB" w14:textId="77777777" w:rsidR="00D33C9B" w:rsidRPr="006549B1" w:rsidRDefault="00D33C9B" w:rsidP="006549B1">
      <w:pPr>
        <w:pStyle w:val="FootnoteText"/>
        <w:ind w:left="567" w:hanging="567"/>
        <w:rPr>
          <w:sz w:val="24"/>
          <w:lang w:val="es-ES_tradnl"/>
        </w:rPr>
      </w:pPr>
      <w:r w:rsidRPr="006549B1">
        <w:rPr>
          <w:rStyle w:val="FootnoteReference"/>
          <w:sz w:val="24"/>
          <w:lang w:val="es-ES_tradnl"/>
        </w:rPr>
        <w:footnoteRef/>
      </w:r>
      <w:r w:rsidR="006549B1" w:rsidRPr="006549B1">
        <w:rPr>
          <w:color w:val="000000" w:themeColor="text1"/>
          <w:sz w:val="24"/>
          <w:lang w:val="es-ES_tradnl"/>
        </w:rPr>
        <w:t xml:space="preserve"> </w:t>
      </w:r>
      <w:r w:rsidR="006549B1" w:rsidRPr="006549B1">
        <w:rPr>
          <w:color w:val="000000" w:themeColor="text1"/>
          <w:sz w:val="24"/>
          <w:lang w:val="es-ES_tradnl"/>
        </w:rPr>
        <w:tab/>
      </w:r>
      <w:r w:rsidRPr="006549B1">
        <w:rPr>
          <w:color w:val="000000" w:themeColor="text1"/>
          <w:sz w:val="24"/>
          <w:lang w:val="es-ES_tradnl"/>
        </w:rPr>
        <w:t xml:space="preserve">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8.6.2013, p. 1, ELI: </w:t>
      </w:r>
      <w:hyperlink r:id="rId4" w:tgtFrame="Gives access to this document through its ELI URI." w:history="1">
        <w:r w:rsidRPr="006549B1">
          <w:rPr>
            <w:rStyle w:val="Hyperlink"/>
            <w:color w:val="000000" w:themeColor="text1"/>
            <w:sz w:val="24"/>
            <w:lang w:val="es-ES_tradnl"/>
          </w:rPr>
          <w:t>http://data.europa.eu/eli/reg_impl/2013/503/oj</w:t>
        </w:r>
      </w:hyperlink>
      <w:r w:rsidRPr="006549B1">
        <w:rPr>
          <w:rStyle w:val="Hyperlink"/>
          <w:color w:val="000000" w:themeColor="text1"/>
          <w:sz w:val="24"/>
          <w:lang w:val="es-ES_tradnl"/>
        </w:rPr>
        <w:t>).</w:t>
      </w:r>
    </w:p>
  </w:footnote>
  <w:footnote w:id="6">
    <w:p w14:paraId="2C571389" w14:textId="77777777" w:rsidR="00D33C9B" w:rsidRPr="006549B1" w:rsidRDefault="00D33C9B" w:rsidP="006549B1">
      <w:pPr>
        <w:pStyle w:val="FootnoteText"/>
        <w:ind w:left="567" w:hanging="567"/>
        <w:rPr>
          <w:color w:val="000000" w:themeColor="text1"/>
          <w:sz w:val="24"/>
          <w:lang w:val="es-ES_tradnl"/>
        </w:rPr>
      </w:pPr>
      <w:r w:rsidRPr="006549B1">
        <w:rPr>
          <w:rStyle w:val="Funotenzeichen"/>
          <w:color w:val="000000" w:themeColor="text1"/>
          <w:sz w:val="24"/>
          <w:lang w:val="es-ES_tradnl"/>
        </w:rPr>
        <w:footnoteRef/>
      </w:r>
      <w:r w:rsidR="006549B1" w:rsidRPr="006549B1">
        <w:rPr>
          <w:sz w:val="24"/>
          <w:lang w:val="es-ES_tradnl"/>
        </w:rPr>
        <w:t xml:space="preserve"> </w:t>
      </w:r>
      <w:r w:rsidR="006549B1" w:rsidRPr="006549B1">
        <w:rPr>
          <w:sz w:val="24"/>
          <w:lang w:val="es-ES_tradnl"/>
        </w:rPr>
        <w:tab/>
      </w:r>
      <w:hyperlink r:id="rId5" w:history="1">
        <w:r w:rsidRPr="006549B1">
          <w:rPr>
            <w:rStyle w:val="Hyperlink"/>
            <w:color w:val="000000" w:themeColor="text1"/>
            <w:sz w:val="24"/>
            <w:lang w:val="es-ES_tradnl"/>
          </w:rPr>
          <w:t>https://efsa.onlinelibrary.wiley.com/action/downloadSupplement?doi=10.2903%2Fj.efsa.2024.8716‌&amp;file=efs28716-sup-0012-Annex8.pdf</w:t>
        </w:r>
      </w:hyperlink>
      <w:r w:rsidRPr="006549B1">
        <w:rPr>
          <w:rStyle w:val="Hyperlink"/>
          <w:color w:val="000000" w:themeColor="text1"/>
          <w:sz w:val="24"/>
          <w:lang w:val="es-ES_tradnl"/>
        </w:rPr>
        <w:t>.</w:t>
      </w:r>
    </w:p>
  </w:footnote>
  <w:footnote w:id="7">
    <w:p w14:paraId="23952FF6" w14:textId="77777777" w:rsidR="00D33C9B" w:rsidRPr="006549B1" w:rsidRDefault="00D33C9B" w:rsidP="006549B1">
      <w:pPr>
        <w:pStyle w:val="FootnoteText"/>
        <w:ind w:left="567" w:hanging="567"/>
        <w:rPr>
          <w:color w:val="000000" w:themeColor="text1"/>
          <w:sz w:val="24"/>
          <w:lang w:val="es-ES_tradnl"/>
        </w:rPr>
      </w:pPr>
      <w:r w:rsidRPr="006549B1">
        <w:rPr>
          <w:rStyle w:val="Funotenzeichen"/>
          <w:color w:val="000000" w:themeColor="text1"/>
          <w:sz w:val="24"/>
          <w:lang w:val="es-ES_tradnl"/>
        </w:rPr>
        <w:footnoteRef/>
      </w:r>
      <w:r w:rsidR="006549B1" w:rsidRPr="006549B1">
        <w:rPr>
          <w:color w:val="000000" w:themeColor="text1"/>
          <w:sz w:val="24"/>
          <w:lang w:val="es-ES_tradnl"/>
        </w:rPr>
        <w:t xml:space="preserve"> </w:t>
      </w:r>
      <w:r w:rsidR="006549B1" w:rsidRPr="006549B1">
        <w:rPr>
          <w:color w:val="000000" w:themeColor="text1"/>
          <w:sz w:val="24"/>
          <w:lang w:val="es-ES_tradnl"/>
        </w:rPr>
        <w:tab/>
      </w:r>
      <w:r w:rsidRPr="006549B1">
        <w:rPr>
          <w:color w:val="000000" w:themeColor="text1"/>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6" w:tgtFrame="Gives access to this document through its ELI URI." w:history="1">
        <w:r w:rsidRPr="006549B1">
          <w:rPr>
            <w:rStyle w:val="Hyperlink"/>
            <w:color w:val="000000" w:themeColor="text1"/>
            <w:sz w:val="24"/>
            <w:lang w:val="es-ES_tradnl"/>
          </w:rPr>
          <w:t>http://data.europa.eu/eli/reg/2002/178/oj</w:t>
        </w:r>
      </w:hyperlink>
      <w:r w:rsidRPr="006549B1">
        <w:rPr>
          <w:color w:val="000000" w:themeColor="text1"/>
          <w:sz w:val="24"/>
          <w:lang w:val="es-ES_tradnl"/>
        </w:rPr>
        <w:t>).</w:t>
      </w:r>
    </w:p>
  </w:footnote>
  <w:footnote w:id="8">
    <w:p w14:paraId="2D5DA4E5" w14:textId="77777777" w:rsidR="00D33C9B" w:rsidRPr="006549B1" w:rsidRDefault="00D33C9B" w:rsidP="006549B1">
      <w:pPr>
        <w:pStyle w:val="FootnoteText"/>
        <w:ind w:left="567" w:hanging="567"/>
        <w:rPr>
          <w:color w:val="000000" w:themeColor="text1"/>
          <w:sz w:val="24"/>
          <w:lang w:val="es-ES_tradnl"/>
        </w:rPr>
      </w:pPr>
      <w:r w:rsidRPr="006549B1">
        <w:rPr>
          <w:rStyle w:val="Funotenzeichen"/>
          <w:color w:val="000000" w:themeColor="text1"/>
          <w:sz w:val="24"/>
          <w:lang w:val="es-ES_tradnl"/>
        </w:rPr>
        <w:footnoteRef/>
      </w:r>
      <w:r w:rsidR="006549B1" w:rsidRPr="006549B1">
        <w:rPr>
          <w:sz w:val="24"/>
          <w:lang w:val="es-ES_tradnl"/>
        </w:rPr>
        <w:t xml:space="preserve"> </w:t>
      </w:r>
      <w:r w:rsidR="006549B1" w:rsidRPr="006549B1">
        <w:rPr>
          <w:sz w:val="24"/>
          <w:lang w:val="es-ES_tradnl"/>
        </w:rPr>
        <w:tab/>
      </w:r>
      <w:hyperlink r:id="rId7" w:history="1">
        <w:r w:rsidRPr="006549B1">
          <w:rPr>
            <w:rStyle w:val="Hyperlink"/>
            <w:color w:val="000000" w:themeColor="text1"/>
            <w:sz w:val="24"/>
            <w:lang w:val="es-ES_tradnl"/>
          </w:rPr>
          <w:t>https://tillymetz.lu/wp-content/uploads/2020/09/Co-signed-letter-MEP-Metz.pdf.</w:t>
        </w:r>
      </w:hyperlink>
    </w:p>
  </w:footnote>
  <w:footnote w:id="9">
    <w:p w14:paraId="7C8BA554" w14:textId="77777777" w:rsidR="00D33C9B" w:rsidRPr="006549B1" w:rsidRDefault="00D33C9B" w:rsidP="006549B1">
      <w:pPr>
        <w:pStyle w:val="FootnoteText"/>
        <w:ind w:left="567" w:hanging="567"/>
        <w:rPr>
          <w:color w:val="000000" w:themeColor="text1"/>
          <w:sz w:val="24"/>
          <w:lang w:val="es-ES_tradnl"/>
        </w:rPr>
      </w:pPr>
      <w:r w:rsidRPr="006549B1">
        <w:rPr>
          <w:rStyle w:val="Funotenzeichen"/>
          <w:color w:val="000000" w:themeColor="text1"/>
          <w:sz w:val="24"/>
          <w:lang w:val="es-ES_tradnl"/>
        </w:rPr>
        <w:footnoteRef/>
      </w:r>
      <w:r w:rsidR="006549B1" w:rsidRPr="006549B1">
        <w:rPr>
          <w:color w:val="000000" w:themeColor="text1"/>
          <w:sz w:val="24"/>
          <w:lang w:val="es-ES_tradnl"/>
        </w:rPr>
        <w:t xml:space="preserve"> </w:t>
      </w:r>
      <w:r w:rsidR="006549B1" w:rsidRPr="006549B1">
        <w:rPr>
          <w:color w:val="000000" w:themeColor="text1"/>
          <w:sz w:val="24"/>
          <w:lang w:val="es-ES_tradnl"/>
        </w:rPr>
        <w:tab/>
      </w:r>
      <w:r w:rsidRPr="006549B1">
        <w:rPr>
          <w:color w:val="000000" w:themeColor="text1"/>
          <w:sz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A5726" w14:textId="77777777" w:rsidR="00064002" w:rsidRPr="006549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4A533" w14:textId="77777777" w:rsidR="00064002" w:rsidRPr="006549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680BA" w14:textId="77777777" w:rsidR="00064002" w:rsidRPr="006549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ES"/>
    <w:docVar w:name="dvnumam" w:val="0"/>
    <w:docVar w:name="dvpe" w:val="766.933"/>
    <w:docVar w:name="dvtitre" w:val="Resolución del Parlamento Europeo, de x de febrero de 2025, sobre la propuesta de resolución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D102172/03 – 2024/3011(RSP)]"/>
  </w:docVars>
  <w:rsids>
    <w:rsidRoot w:val="008F1619"/>
    <w:rsid w:val="00002272"/>
    <w:rsid w:val="00064002"/>
    <w:rsid w:val="0006768A"/>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3415"/>
    <w:rsid w:val="003E15D4"/>
    <w:rsid w:val="00411CCE"/>
    <w:rsid w:val="0041666E"/>
    <w:rsid w:val="00421060"/>
    <w:rsid w:val="00445D84"/>
    <w:rsid w:val="00471C19"/>
    <w:rsid w:val="004867E3"/>
    <w:rsid w:val="00494A28"/>
    <w:rsid w:val="004C0004"/>
    <w:rsid w:val="004C5D52"/>
    <w:rsid w:val="0050519A"/>
    <w:rsid w:val="005072A1"/>
    <w:rsid w:val="00514517"/>
    <w:rsid w:val="00545827"/>
    <w:rsid w:val="00560270"/>
    <w:rsid w:val="005C2568"/>
    <w:rsid w:val="005F1B17"/>
    <w:rsid w:val="006037C0"/>
    <w:rsid w:val="006549B1"/>
    <w:rsid w:val="006631B6"/>
    <w:rsid w:val="006802D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C93"/>
    <w:rsid w:val="008F1619"/>
    <w:rsid w:val="00930C23"/>
    <w:rsid w:val="0093193B"/>
    <w:rsid w:val="009509D8"/>
    <w:rsid w:val="00950B64"/>
    <w:rsid w:val="00981893"/>
    <w:rsid w:val="00A1687D"/>
    <w:rsid w:val="00A43E52"/>
    <w:rsid w:val="00A4678D"/>
    <w:rsid w:val="00A778C7"/>
    <w:rsid w:val="00AB441E"/>
    <w:rsid w:val="00AB6293"/>
    <w:rsid w:val="00AE0928"/>
    <w:rsid w:val="00AF3B82"/>
    <w:rsid w:val="00B0706E"/>
    <w:rsid w:val="00B12E95"/>
    <w:rsid w:val="00B22876"/>
    <w:rsid w:val="00B558F0"/>
    <w:rsid w:val="00BD48FE"/>
    <w:rsid w:val="00BD7BD8"/>
    <w:rsid w:val="00BE6ADC"/>
    <w:rsid w:val="00C05BFE"/>
    <w:rsid w:val="00C23CD4"/>
    <w:rsid w:val="00C61C0C"/>
    <w:rsid w:val="00C941CB"/>
    <w:rsid w:val="00CC2357"/>
    <w:rsid w:val="00CF071A"/>
    <w:rsid w:val="00D058B8"/>
    <w:rsid w:val="00D33C9B"/>
    <w:rsid w:val="00D56C11"/>
    <w:rsid w:val="00D834A0"/>
    <w:rsid w:val="00D872DF"/>
    <w:rsid w:val="00D91E21"/>
    <w:rsid w:val="00DA2131"/>
    <w:rsid w:val="00DA7FCD"/>
    <w:rsid w:val="00E365E1"/>
    <w:rsid w:val="00E820A4"/>
    <w:rsid w:val="00EB006A"/>
    <w:rsid w:val="00EB4772"/>
    <w:rsid w:val="00ED169E"/>
    <w:rsid w:val="00ED4235"/>
    <w:rsid w:val="00F04346"/>
    <w:rsid w:val="00F075DC"/>
    <w:rsid w:val="00F149E9"/>
    <w:rsid w:val="00F5134D"/>
    <w:rsid w:val="00F54E2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FA3D3"/>
  <w15:chartTrackingRefBased/>
  <w15:docId w15:val="{A48A9ADD-E45A-4AAA-A27F-232795F78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3C9B"/>
    <w:pPr>
      <w:spacing w:before="480" w:after="240"/>
    </w:pPr>
  </w:style>
  <w:style w:type="paragraph" w:customStyle="1" w:styleId="NormalHanging12a">
    <w:name w:val="NormalHanging12a"/>
    <w:basedOn w:val="Normal"/>
    <w:qFormat/>
    <w:rsid w:val="00D33C9B"/>
    <w:pPr>
      <w:spacing w:after="240"/>
      <w:ind w:left="567" w:hanging="567"/>
    </w:pPr>
  </w:style>
  <w:style w:type="character" w:styleId="Hyperlink">
    <w:name w:val="Hyperlink"/>
    <w:basedOn w:val="DefaultParagraphFont"/>
    <w:uiPriority w:val="99"/>
    <w:rsid w:val="00D33C9B"/>
    <w:rPr>
      <w:color w:val="0563C1" w:themeColor="hyperlink"/>
      <w:u w:val="single"/>
    </w:rPr>
  </w:style>
  <w:style w:type="character" w:customStyle="1" w:styleId="Funotenzeichen">
    <w:name w:val="Fußnotenzeichen"/>
    <w:qFormat/>
    <w:rsid w:val="00D33C9B"/>
    <w:rPr>
      <w:vertAlign w:val="superscript"/>
    </w:rPr>
  </w:style>
  <w:style w:type="paragraph" w:styleId="BalloonText">
    <w:name w:val="Balloon Text"/>
    <w:basedOn w:val="Normal"/>
    <w:link w:val="BalloonTextChar"/>
    <w:rsid w:val="00DA2131"/>
    <w:rPr>
      <w:rFonts w:ascii="Segoe UI" w:hAnsi="Segoe UI" w:cs="Segoe UI"/>
      <w:sz w:val="18"/>
      <w:szCs w:val="18"/>
    </w:rPr>
  </w:style>
  <w:style w:type="character" w:customStyle="1" w:styleId="BalloonTextChar">
    <w:name w:val="Balloon Text Char"/>
    <w:basedOn w:val="DefaultParagraphFont"/>
    <w:link w:val="BalloonText"/>
    <w:rsid w:val="00DA2131"/>
    <w:rPr>
      <w:rFonts w:ascii="Segoe UI" w:hAnsi="Segoe UI" w:cs="Segoe UI"/>
      <w:sz w:val="18"/>
      <w:szCs w:val="18"/>
      <w:lang w:val="es-ES_tradnl"/>
    </w:rPr>
  </w:style>
  <w:style w:type="character" w:styleId="FollowedHyperlink">
    <w:name w:val="FollowedHyperlink"/>
    <w:basedOn w:val="DefaultParagraphFont"/>
    <w:rsid w:val="00DA2131"/>
    <w:rPr>
      <w:color w:val="954F72" w:themeColor="followedHyperlink"/>
      <w:u w:val="single"/>
    </w:rPr>
  </w:style>
  <w:style w:type="character" w:styleId="CommentReference">
    <w:name w:val="annotation reference"/>
    <w:basedOn w:val="DefaultParagraphFont"/>
    <w:rsid w:val="00B0706E"/>
    <w:rPr>
      <w:sz w:val="16"/>
      <w:szCs w:val="16"/>
    </w:rPr>
  </w:style>
  <w:style w:type="paragraph" w:styleId="CommentText">
    <w:name w:val="annotation text"/>
    <w:basedOn w:val="Normal"/>
    <w:link w:val="CommentTextChar"/>
    <w:rsid w:val="00B0706E"/>
    <w:rPr>
      <w:sz w:val="20"/>
    </w:rPr>
  </w:style>
  <w:style w:type="character" w:customStyle="1" w:styleId="CommentTextChar">
    <w:name w:val="Comment Text Char"/>
    <w:basedOn w:val="DefaultParagraphFont"/>
    <w:link w:val="CommentText"/>
    <w:rsid w:val="00B0706E"/>
    <w:rPr>
      <w:lang w:val="es-ES_tradnl"/>
    </w:rPr>
  </w:style>
  <w:style w:type="paragraph" w:styleId="CommentSubject">
    <w:name w:val="annotation subject"/>
    <w:basedOn w:val="CommentText"/>
    <w:next w:val="CommentText"/>
    <w:link w:val="CommentSubjectChar"/>
    <w:rsid w:val="00B0706E"/>
    <w:rPr>
      <w:b/>
      <w:bCs/>
    </w:rPr>
  </w:style>
  <w:style w:type="character" w:customStyle="1" w:styleId="CommentSubjectChar">
    <w:name w:val="Comment Subject Char"/>
    <w:basedOn w:val="CommentTextChar"/>
    <w:link w:val="CommentSubject"/>
    <w:rsid w:val="00B0706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BF4D2-8716-4B6E-BC73-E3762B77B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1469</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2025-03-11T09:49:00Z</dcterms:created>
  <dcterms:modified xsi:type="dcterms:W3CDTF">2025-03-11T09:49:00Z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B10-0060/2025</vt:lpwstr>
  </property>
  <property fmtid="{D5CDD505-2E9C-101B-9397-08002B2CF9AE}" pid="4" name="&lt;Type&gt;">
    <vt:lpwstr>RR</vt:lpwstr>
  </property>
</Properties>
</file>