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D07" w:rsidTr="0010095E">
        <w:trPr>
          <w:trHeight w:hRule="exact" w:val="1418"/>
        </w:trPr>
        <w:tc>
          <w:tcPr>
            <w:tcW w:w="6804" w:type="dxa"/>
            <w:shd w:val="clear" w:color="auto" w:fill="auto"/>
            <w:vAlign w:val="center"/>
          </w:tcPr>
          <w:p w:rsidR="00751A4A" w:rsidRPr="00C43D07" w:rsidRDefault="00B15681" w:rsidP="0010095E">
            <w:pPr>
              <w:pStyle w:val="EPName"/>
            </w:pPr>
            <w:bookmarkStart w:id="0" w:name="_GoBack"/>
            <w:bookmarkEnd w:id="0"/>
            <w:r w:rsidRPr="00C43D07">
              <w:t>Parlement européen</w:t>
            </w:r>
          </w:p>
          <w:p w:rsidR="00751A4A" w:rsidRPr="00C43D07" w:rsidRDefault="005F1B17" w:rsidP="005F1B17">
            <w:pPr>
              <w:pStyle w:val="EPTerm"/>
              <w:rPr>
                <w:rStyle w:val="HideTWBExt"/>
                <w:noProof w:val="0"/>
                <w:vanish w:val="0"/>
                <w:color w:val="auto"/>
              </w:rPr>
            </w:pPr>
            <w:r w:rsidRPr="00C43D07">
              <w:t>2024</w:t>
            </w:r>
            <w:r w:rsidR="00817416" w:rsidRPr="00C43D07">
              <w:t>-202</w:t>
            </w:r>
            <w:r w:rsidRPr="00C43D07">
              <w:t>9</w:t>
            </w:r>
          </w:p>
        </w:tc>
        <w:tc>
          <w:tcPr>
            <w:tcW w:w="2268" w:type="dxa"/>
            <w:shd w:val="clear" w:color="auto" w:fill="auto"/>
          </w:tcPr>
          <w:p w:rsidR="00751A4A" w:rsidRPr="00C43D07" w:rsidRDefault="00187494" w:rsidP="0010095E">
            <w:pPr>
              <w:pStyle w:val="EPLogo"/>
            </w:pPr>
            <w:r w:rsidRPr="00C43D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3D07" w:rsidRDefault="00D058B8" w:rsidP="004C5D52">
      <w:pPr>
        <w:pStyle w:val="LineTop"/>
      </w:pPr>
    </w:p>
    <w:p w:rsidR="00680577" w:rsidRPr="00C43D07" w:rsidRDefault="00B15681" w:rsidP="00680577">
      <w:pPr>
        <w:pStyle w:val="EPBodyTA1"/>
      </w:pPr>
      <w:r w:rsidRPr="00C43D07">
        <w:t>TEXTES ADOPTÉS</w:t>
      </w:r>
    </w:p>
    <w:p w:rsidR="00D058B8" w:rsidRPr="00C43D07" w:rsidRDefault="00D058B8" w:rsidP="00D058B8">
      <w:pPr>
        <w:pStyle w:val="LineBottom"/>
      </w:pPr>
    </w:p>
    <w:p w:rsidR="00B15681" w:rsidRPr="00C43D07" w:rsidRDefault="00B15681" w:rsidP="00B15681">
      <w:pPr>
        <w:pStyle w:val="ATHeading1"/>
      </w:pPr>
      <w:bookmarkStart w:id="1" w:name="TANumber"/>
      <w:r w:rsidRPr="00C43D07">
        <w:t>P10_</w:t>
      </w:r>
      <w:proofErr w:type="gramStart"/>
      <w:r w:rsidRPr="00C43D07">
        <w:t>TA(</w:t>
      </w:r>
      <w:proofErr w:type="gramEnd"/>
      <w:r w:rsidRPr="00C43D07">
        <w:t>2025)00</w:t>
      </w:r>
      <w:r w:rsidR="00EF160D">
        <w:t>15</w:t>
      </w:r>
      <w:bookmarkEnd w:id="1"/>
    </w:p>
    <w:p w:rsidR="00B15681" w:rsidRPr="00C43D07" w:rsidRDefault="00B15681" w:rsidP="00B15681">
      <w:pPr>
        <w:pStyle w:val="ATHeading2"/>
      </w:pPr>
      <w:bookmarkStart w:id="2" w:name="title"/>
      <w:r w:rsidRPr="00C43D07">
        <w:t>M</w:t>
      </w:r>
      <w:r w:rsidR="00A76297" w:rsidRPr="00A76297">
        <w:t>aïs génétiquement modifié MON 95275</w:t>
      </w:r>
      <w:bookmarkEnd w:id="2"/>
    </w:p>
    <w:p w:rsidR="00B15681" w:rsidRPr="00C43D07" w:rsidRDefault="00B15681" w:rsidP="00B15681">
      <w:pPr>
        <w:rPr>
          <w:i/>
          <w:vanish/>
        </w:rPr>
      </w:pPr>
      <w:r w:rsidRPr="00C43D07">
        <w:rPr>
          <w:i/>
        </w:rPr>
        <w:fldChar w:fldCharType="begin"/>
      </w:r>
      <w:r w:rsidRPr="00C43D07">
        <w:rPr>
          <w:i/>
        </w:rPr>
        <w:instrText xml:space="preserve"> TC"(</w:instrText>
      </w:r>
      <w:bookmarkStart w:id="3" w:name="DocNumber"/>
      <w:r w:rsidRPr="00C43D07">
        <w:rPr>
          <w:i/>
        </w:rPr>
        <w:instrText>B10-0060/2025</w:instrText>
      </w:r>
      <w:bookmarkEnd w:id="3"/>
      <w:r w:rsidRPr="00C43D07">
        <w:rPr>
          <w:i/>
        </w:rPr>
        <w:instrText xml:space="preserve">)"\l3 \n&gt; \* MERGEFORMAT </w:instrText>
      </w:r>
      <w:r w:rsidRPr="00C43D07">
        <w:rPr>
          <w:i/>
        </w:rPr>
        <w:fldChar w:fldCharType="end"/>
      </w:r>
    </w:p>
    <w:p w:rsidR="00B15681" w:rsidRPr="00C43D07" w:rsidRDefault="00B15681" w:rsidP="00B15681">
      <w:pPr>
        <w:rPr>
          <w:vanish/>
        </w:rPr>
      </w:pPr>
      <w:bookmarkStart w:id="4" w:name="PE"/>
      <w:r w:rsidRPr="00C43D07">
        <w:rPr>
          <w:vanish/>
        </w:rPr>
        <w:t>PE766.933</w:t>
      </w:r>
      <w:bookmarkEnd w:id="4"/>
    </w:p>
    <w:p w:rsidR="00B15681" w:rsidRPr="00C43D07" w:rsidRDefault="00B15681" w:rsidP="00B15681">
      <w:pPr>
        <w:pStyle w:val="ATHeading3"/>
      </w:pPr>
      <w:bookmarkStart w:id="5" w:name="Sujet"/>
      <w:r w:rsidRPr="00C43D07">
        <w:t xml:space="preserve">Résolution du Parlement européen du </w:t>
      </w:r>
      <w:r w:rsidR="00EF160D">
        <w:t>12</w:t>
      </w:r>
      <w:r w:rsidR="00A76297">
        <w:t xml:space="preserve"> février</w:t>
      </w:r>
      <w:r w:rsidRPr="00C43D07">
        <w:t xml:space="preserve">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w:t>
      </w:r>
      <w:bookmarkEnd w:id="5"/>
      <w:r w:rsidRPr="00C43D07">
        <w:t xml:space="preserve"> </w:t>
      </w:r>
      <w:bookmarkStart w:id="6" w:name="References"/>
      <w:r w:rsidRPr="00C43D07">
        <w:t>(D102172/03 – 2024/3011(RSP))</w:t>
      </w:r>
      <w:bookmarkEnd w:id="6"/>
    </w:p>
    <w:p w:rsidR="00DA4E0E" w:rsidRPr="00C43D07" w:rsidRDefault="00DA4E0E" w:rsidP="00DA4E0E">
      <w:pPr>
        <w:pStyle w:val="EPComma"/>
      </w:pPr>
      <w:bookmarkStart w:id="7" w:name="TextBodyBegin"/>
      <w:bookmarkEnd w:id="7"/>
      <w:r w:rsidRPr="00C43D07">
        <w:rPr>
          <w:i/>
        </w:rPr>
        <w:t>Le Parlement européen</w:t>
      </w:r>
      <w:r w:rsidRPr="00C43D07">
        <w:t>,</w:t>
      </w:r>
    </w:p>
    <w:p w:rsidR="00DA4E0E" w:rsidRPr="00C43D07" w:rsidRDefault="00DA4E0E" w:rsidP="00DA4E0E">
      <w:pPr>
        <w:pStyle w:val="NormalHanging12a"/>
      </w:pPr>
      <w:r w:rsidRPr="00C43D07">
        <w:t>–</w:t>
      </w:r>
      <w:r w:rsidRPr="00C43D07">
        <w:tab/>
        <w:t>vu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(D102172/03),</w:t>
      </w:r>
    </w:p>
    <w:p w:rsidR="00DA4E0E" w:rsidRPr="00C43D07" w:rsidRDefault="00DA4E0E" w:rsidP="00DA4E0E">
      <w:pPr>
        <w:pStyle w:val="NormalHanging12a"/>
      </w:pPr>
      <w:r w:rsidRPr="00C43D07">
        <w:t>–</w:t>
      </w:r>
      <w:r w:rsidRPr="00C43D07">
        <w:tab/>
        <w:t>vu le règlement (CE) nº 1829/2003 du Parlement européen et du Conseil du 22 septembre 2003 concernant les denrées alimentaires et les aliments pour animaux génétiquement modifiés</w:t>
      </w:r>
      <w:r w:rsidRPr="00C43D07">
        <w:rPr>
          <w:rStyle w:val="FootnoteReference"/>
        </w:rPr>
        <w:footnoteReference w:id="1"/>
      </w:r>
      <w:r w:rsidRPr="00C43D07">
        <w:t>, et notamment son article 7, paragraphe 3, et son article 19, paragraphe 3,</w:t>
      </w:r>
    </w:p>
    <w:p w:rsidR="00DA4E0E" w:rsidRPr="00C43D07" w:rsidRDefault="00DA4E0E" w:rsidP="00DA4E0E">
      <w:pPr>
        <w:pStyle w:val="NormalHanging12a"/>
      </w:pPr>
      <w:r w:rsidRPr="00C43D07">
        <w:t>–</w:t>
      </w:r>
      <w:r w:rsidRPr="00C43D07">
        <w:tab/>
        <w:t>vu que le comité permanent des végétaux, des animaux, des denrées alimentaires et des aliments pour animaux, visé à l’article 35 du règlement (CE) nº 1829/2003, a décidé, par vote du 22 novembre 2024, de ne pas rendre d’avis, et que le comité d’appel a décidé, par vote du 17 décembre 2024, de ne pas non plus rendre d’avis,</w:t>
      </w:r>
    </w:p>
    <w:p w:rsidR="00DA4E0E" w:rsidRPr="00C43D07" w:rsidRDefault="00DA4E0E" w:rsidP="00DA4E0E">
      <w:pPr>
        <w:pStyle w:val="NormalHanging12a"/>
      </w:pPr>
      <w:r w:rsidRPr="00C43D07">
        <w:t>–</w:t>
      </w:r>
      <w:r w:rsidRPr="00C43D07">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C43D07">
        <w:rPr>
          <w:rStyle w:val="FootnoteReference"/>
        </w:rPr>
        <w:footnoteReference w:id="2"/>
      </w:r>
      <w:r w:rsidRPr="00C43D07">
        <w:t xml:space="preserve">, </w:t>
      </w:r>
    </w:p>
    <w:p w:rsidR="00DA4E0E" w:rsidRPr="00C43D07" w:rsidRDefault="00DA4E0E" w:rsidP="00DA4E0E">
      <w:pPr>
        <w:pStyle w:val="NormalHanging12a"/>
      </w:pPr>
      <w:r w:rsidRPr="00C43D07">
        <w:t>–</w:t>
      </w:r>
      <w:r w:rsidRPr="00C43D07">
        <w:tab/>
        <w:t>vu l’avis adopté par l’Autorité européenne de sécurité des aliments (EFSA) le 19 juin 2024 et publié le 1</w:t>
      </w:r>
      <w:r w:rsidRPr="00C43D07">
        <w:rPr>
          <w:vertAlign w:val="superscript"/>
        </w:rPr>
        <w:t>er</w:t>
      </w:r>
      <w:r w:rsidRPr="00C43D07">
        <w:t> août 2024</w:t>
      </w:r>
      <w:r w:rsidRPr="00C43D07">
        <w:rPr>
          <w:rStyle w:val="FootnoteReference"/>
        </w:rPr>
        <w:footnoteReference w:id="3"/>
      </w:r>
      <w:r w:rsidRPr="00C43D07">
        <w:t>,</w:t>
      </w:r>
    </w:p>
    <w:p w:rsidR="00DA4E0E" w:rsidRPr="00C43D07" w:rsidRDefault="00DA4E0E" w:rsidP="00DA4E0E">
      <w:pPr>
        <w:pStyle w:val="NormalHanging12a"/>
      </w:pPr>
      <w:r w:rsidRPr="00C43D07">
        <w:lastRenderedPageBreak/>
        <w:t>–</w:t>
      </w:r>
      <w:r w:rsidRPr="00C43D07">
        <w:tab/>
        <w:t>vu ses résolutions précédentes s’opposant à l’autorisation d’organismes génétiquement modifiés (ci-après «OGM»)</w:t>
      </w:r>
      <w:r w:rsidRPr="00C43D07">
        <w:rPr>
          <w:rStyle w:val="FootnoteReference"/>
        </w:rPr>
        <w:footnoteReference w:id="4"/>
      </w:r>
      <w:r w:rsidRPr="00C43D07">
        <w:t>,</w:t>
      </w:r>
    </w:p>
    <w:p w:rsidR="00DA4E0E" w:rsidRPr="00C43D07" w:rsidRDefault="00DA4E0E" w:rsidP="00DA4E0E">
      <w:pPr>
        <w:pStyle w:val="NormalHanging12a"/>
      </w:pPr>
      <w:r w:rsidRPr="00C43D07">
        <w:lastRenderedPageBreak/>
        <w:t>–</w:t>
      </w:r>
      <w:r w:rsidRPr="00C43D07">
        <w:tab/>
        <w:t>vu l’article 115, paragraphes 2 et 3, de son règlement intérieur,</w:t>
      </w:r>
    </w:p>
    <w:p w:rsidR="00DA4E0E" w:rsidRPr="00C43D07" w:rsidRDefault="00DA4E0E" w:rsidP="00DA4E0E">
      <w:pPr>
        <w:pStyle w:val="NormalHanging12a"/>
      </w:pPr>
      <w:r w:rsidRPr="00C43D07">
        <w:t>–</w:t>
      </w:r>
      <w:r w:rsidRPr="00C43D07">
        <w:tab/>
        <w:t>vu la proposition de résolution de la c</w:t>
      </w:r>
      <w:r w:rsidR="00434A0B">
        <w:t xml:space="preserve">ommission de l’environnement, du climat </w:t>
      </w:r>
      <w:r w:rsidRPr="00C43D07">
        <w:t>et de la sécurité alimentaire,</w:t>
      </w:r>
    </w:p>
    <w:p w:rsidR="00DA4E0E" w:rsidRPr="00C43D07" w:rsidRDefault="00DA4E0E" w:rsidP="00DA4E0E">
      <w:pPr>
        <w:pStyle w:val="NormalHanging12a"/>
        <w:tabs>
          <w:tab w:val="left" w:pos="0"/>
        </w:tabs>
        <w:suppressAutoHyphens/>
        <w:rPr>
          <w:szCs w:val="24"/>
        </w:rPr>
      </w:pPr>
      <w:r w:rsidRPr="00C43D07">
        <w:t>A.</w:t>
      </w:r>
      <w:r w:rsidRPr="00C43D07">
        <w:tab/>
        <w:t xml:space="preserve">considérant que, le 29 avril 2022, Bayer Agriculture B.V, établie en Belgique, a, au nom de Bayer </w:t>
      </w:r>
      <w:proofErr w:type="spellStart"/>
      <w:r w:rsidRPr="00C43D07">
        <w:t>CropScience</w:t>
      </w:r>
      <w:proofErr w:type="spellEnd"/>
      <w:r w:rsidRPr="00C43D07">
        <w:t> LP, établie aux États-Unis, présenté à l’autorité nationale compétente des Pays-Bas une demande d’autorisation de mise sur le marché de denrées alimentaires, d’ingrédients alimentaires et d’aliments pour animaux contenant du maïs génétiquement modifié MON 95275 (ci-après le</w:t>
      </w:r>
      <w:proofErr w:type="gramStart"/>
      <w:r w:rsidRPr="00C43D07">
        <w:t xml:space="preserve"> «maïs</w:t>
      </w:r>
      <w:proofErr w:type="gramEnd"/>
      <w:r w:rsidRPr="00C43D07">
        <w:t xml:space="preserve"> génétiquement modifié»), consistant en ce maïs ou produits à partir de celui-ci;</w:t>
      </w:r>
    </w:p>
    <w:p w:rsidR="00DA4E0E" w:rsidRPr="00C43D07" w:rsidRDefault="00DA4E0E" w:rsidP="00DA4E0E">
      <w:pPr>
        <w:pStyle w:val="NormalHanging12a"/>
        <w:tabs>
          <w:tab w:val="left" w:pos="0"/>
        </w:tabs>
        <w:suppressAutoHyphens/>
        <w:rPr>
          <w:szCs w:val="24"/>
        </w:rPr>
      </w:pPr>
      <w:r w:rsidRPr="00C43D07">
        <w:t>B.</w:t>
      </w:r>
      <w:r w:rsidRPr="00C43D07">
        <w:tab/>
        <w:t xml:space="preserve">considérant que le maïs génétiquement modifié produit deux protéines insecticides (Mpp75Aa1 et Vpb4Da2) et exprime un </w:t>
      </w:r>
      <w:proofErr w:type="spellStart"/>
      <w:r w:rsidRPr="00C43D07">
        <w:t>ARNdb</w:t>
      </w:r>
      <w:proofErr w:type="spellEnd"/>
      <w:r w:rsidRPr="00C43D07">
        <w:t xml:space="preserve"> DvSnf7 qui cible la chrysomèle des racines du maïs; que la modification génétique consiste en un processus en deux étapes, une transformation médiée par la bactérie </w:t>
      </w:r>
      <w:proofErr w:type="spellStart"/>
      <w:r w:rsidRPr="00C43D07">
        <w:rPr>
          <w:i/>
          <w:iCs/>
        </w:rPr>
        <w:t>Agrobacterium</w:t>
      </w:r>
      <w:proofErr w:type="spellEnd"/>
      <w:r w:rsidRPr="00C43D07">
        <w:rPr>
          <w:i/>
          <w:iCs/>
        </w:rPr>
        <w:t xml:space="preserve"> </w:t>
      </w:r>
      <w:proofErr w:type="spellStart"/>
      <w:r w:rsidRPr="00C43D07">
        <w:rPr>
          <w:i/>
          <w:iCs/>
        </w:rPr>
        <w:t>tumefaciens</w:t>
      </w:r>
      <w:proofErr w:type="spellEnd"/>
      <w:r w:rsidRPr="00C43D07">
        <w:t>, puis un système de recombinaison CRE-</w:t>
      </w:r>
      <w:proofErr w:type="spellStart"/>
      <w:r w:rsidRPr="00C43D07">
        <w:t>lox</w:t>
      </w:r>
      <w:proofErr w:type="spellEnd"/>
      <w:r w:rsidRPr="00C43D07">
        <w:t xml:space="preserve"> permettant de retirer des marqueurs de sélection;</w:t>
      </w:r>
    </w:p>
    <w:p w:rsidR="00DA4E0E" w:rsidRPr="00C43D07" w:rsidRDefault="00DA4E0E" w:rsidP="00DA4E0E">
      <w:pPr>
        <w:pStyle w:val="NormalHanging12a"/>
        <w:tabs>
          <w:tab w:val="left" w:pos="0"/>
        </w:tabs>
        <w:suppressAutoHyphens/>
        <w:rPr>
          <w:szCs w:val="24"/>
        </w:rPr>
      </w:pPr>
      <w:r w:rsidRPr="00C43D07">
        <w:t>C.</w:t>
      </w:r>
      <w:r w:rsidRPr="00C43D07">
        <w:tab/>
        <w:t>considérant que l’EFSA a adopté un avis favorable concernant le MON 95275, qui est daté du 19 juin 2024 et a été publié le 1</w:t>
      </w:r>
      <w:r w:rsidRPr="00C43D07">
        <w:rPr>
          <w:vertAlign w:val="superscript"/>
        </w:rPr>
        <w:t>er</w:t>
      </w:r>
      <w:r w:rsidRPr="00C43D07">
        <w:t xml:space="preserve"> août 2024; que l’avis de l’EFSA ne contient pas suffisamment de données pour évaluer les effets génétiques indésirables, l’activité biologique des séquences ininterrompues et les potentiels effets hors cible sur des organismes non ciblés; </w:t>
      </w:r>
    </w:p>
    <w:p w:rsidR="00DA4E0E" w:rsidRPr="00C43D07" w:rsidRDefault="00DA4E0E" w:rsidP="00DA4E0E">
      <w:pPr>
        <w:pStyle w:val="NormalHanging12a"/>
        <w:tabs>
          <w:tab w:val="left" w:pos="0"/>
        </w:tabs>
        <w:suppressAutoHyphens/>
        <w:rPr>
          <w:szCs w:val="24"/>
        </w:rPr>
      </w:pPr>
      <w:r w:rsidRPr="00C43D07">
        <w:t>D.</w:t>
      </w:r>
      <w:r w:rsidRPr="00C43D07">
        <w:tab/>
        <w:t>considérant que les essais au champ réalisés par le demandeur n’ont pas pris en compte plusieurs conditions de stress environnemental ni la diversité des pratiques agricoles, ce qui limite la pertinence des résultats pour les environnements de culture européens;</w:t>
      </w:r>
    </w:p>
    <w:p w:rsidR="00DA4E0E" w:rsidRPr="00C43D07" w:rsidRDefault="00DA4E0E" w:rsidP="00DA4E0E">
      <w:pPr>
        <w:pStyle w:val="NormalHanging12a"/>
        <w:tabs>
          <w:tab w:val="left" w:pos="0"/>
        </w:tabs>
        <w:suppressAutoHyphens/>
        <w:rPr>
          <w:szCs w:val="24"/>
        </w:rPr>
      </w:pPr>
      <w:r w:rsidRPr="00C43D07">
        <w:t>E.</w:t>
      </w:r>
      <w:r w:rsidRPr="00C43D07">
        <w:tab/>
        <w:t>considérant que les effets sur des organismes non ciblés de l’</w:t>
      </w:r>
      <w:proofErr w:type="spellStart"/>
      <w:r w:rsidRPr="00C43D07">
        <w:t>ARNdb</w:t>
      </w:r>
      <w:proofErr w:type="spellEnd"/>
      <w:r w:rsidRPr="00C43D07">
        <w:t xml:space="preserve"> DvSnf7 fondé sur un mécanisme d’</w:t>
      </w:r>
      <w:proofErr w:type="spellStart"/>
      <w:r w:rsidRPr="00C43D07">
        <w:t>ARNi</w:t>
      </w:r>
      <w:proofErr w:type="spellEnd"/>
      <w:r w:rsidRPr="00C43D07">
        <w:t xml:space="preserve"> suscitent des préoccupations;</w:t>
      </w:r>
    </w:p>
    <w:p w:rsidR="00DA4E0E" w:rsidRPr="00C43D07" w:rsidRDefault="00DA4E0E" w:rsidP="00DA4E0E">
      <w:pPr>
        <w:pStyle w:val="NormalHanging12a"/>
        <w:tabs>
          <w:tab w:val="left" w:pos="0"/>
        </w:tabs>
        <w:suppressAutoHyphens/>
        <w:rPr>
          <w:szCs w:val="24"/>
        </w:rPr>
      </w:pPr>
      <w:r w:rsidRPr="00C43D07">
        <w:t>F.</w:t>
      </w:r>
      <w:r w:rsidRPr="00C43D07">
        <w:tab/>
        <w:t>considérant que les protéines insecticides Mpp75Aa1 et Vpb4Da2 présentent des similarités de structure avec des toxines connues et que leurs spécificités, leurs mécanismes immunitaires et leurs effets combinatoires n’ont pas été suffisamment évalués;</w:t>
      </w:r>
    </w:p>
    <w:p w:rsidR="00DA4E0E" w:rsidRPr="00C43D07" w:rsidRDefault="00DA4E0E" w:rsidP="00DA4E0E">
      <w:pPr>
        <w:pStyle w:val="NormalHanging12a"/>
        <w:tabs>
          <w:tab w:val="left" w:pos="0"/>
        </w:tabs>
        <w:suppressAutoHyphens/>
        <w:rPr>
          <w:szCs w:val="24"/>
        </w:rPr>
      </w:pPr>
      <w:r w:rsidRPr="00C43D07">
        <w:t>G.</w:t>
      </w:r>
      <w:r w:rsidRPr="00C43D07">
        <w:tab/>
        <w:t xml:space="preserve">considérant que la possibilité que le gène se retrouve dans des espèces sauvages apparentées, notamment des populations de </w:t>
      </w:r>
      <w:proofErr w:type="spellStart"/>
      <w:r w:rsidRPr="00C43D07">
        <w:t>téosintes</w:t>
      </w:r>
      <w:proofErr w:type="spellEnd"/>
      <w:r w:rsidRPr="00C43D07">
        <w:t xml:space="preserve"> européennes, fait courir le risque d’une persistance de transgènes et de déséquilibres écologiques;</w:t>
      </w:r>
    </w:p>
    <w:p w:rsidR="00DA4E0E" w:rsidRPr="00C43D07" w:rsidRDefault="00DA4E0E" w:rsidP="00DA4E0E">
      <w:pPr>
        <w:pStyle w:val="NormalHanging12a"/>
        <w:tabs>
          <w:tab w:val="left" w:pos="0"/>
        </w:tabs>
        <w:suppressAutoHyphens/>
        <w:rPr>
          <w:szCs w:val="24"/>
        </w:rPr>
      </w:pPr>
      <w:r w:rsidRPr="00C43D07">
        <w:t>H.</w:t>
      </w:r>
      <w:r w:rsidRPr="00C43D07">
        <w:tab/>
        <w:t>considérant que les prescriptions en matière de surveillance prévues par le règlement d’exécution (UE) nº 503/2013 de la Commission</w:t>
      </w:r>
      <w:r w:rsidRPr="00C43D07">
        <w:rPr>
          <w:rStyle w:val="FootnoteReference"/>
          <w:szCs w:val="24"/>
        </w:rPr>
        <w:footnoteReference w:id="5"/>
      </w:r>
      <w:r w:rsidRPr="00C43D07">
        <w:t xml:space="preserve"> ne sont pas dûment respectées, notamment celles relatives à la vérification indépendante des données et aux effets à long terme sur l’environnement;</w:t>
      </w:r>
    </w:p>
    <w:p w:rsidR="00DA4E0E" w:rsidRPr="00C43D07" w:rsidRDefault="00DA4E0E" w:rsidP="00DA4E0E">
      <w:pPr>
        <w:pStyle w:val="NormalHanging12a"/>
        <w:tabs>
          <w:tab w:val="left" w:pos="0"/>
        </w:tabs>
        <w:suppressAutoHyphens/>
        <w:rPr>
          <w:szCs w:val="24"/>
        </w:rPr>
      </w:pPr>
      <w:r w:rsidRPr="00C43D07">
        <w:lastRenderedPageBreak/>
        <w:t>I.</w:t>
      </w:r>
      <w:r w:rsidRPr="00C43D07">
        <w:tab/>
        <w:t xml:space="preserve">considérant que l’évaluation de l’EFSA ne traite pas suffisamment du rôle des interactions au niveau du </w:t>
      </w:r>
      <w:proofErr w:type="spellStart"/>
      <w:r w:rsidRPr="00C43D07">
        <w:t>microbiome</w:t>
      </w:r>
      <w:proofErr w:type="spellEnd"/>
      <w:r w:rsidRPr="00C43D07">
        <w:t xml:space="preserve"> ou des effets toxiques cumulés sur les organismes non ciblés;</w:t>
      </w:r>
    </w:p>
    <w:p w:rsidR="00DA4E0E" w:rsidRPr="00C43D07" w:rsidRDefault="00DA4E0E" w:rsidP="00DA4E0E">
      <w:pPr>
        <w:pStyle w:val="NormalHanging12a"/>
        <w:tabs>
          <w:tab w:val="left" w:pos="0"/>
        </w:tabs>
        <w:suppressAutoHyphens/>
        <w:rPr>
          <w:szCs w:val="24"/>
        </w:rPr>
      </w:pPr>
      <w:r w:rsidRPr="00C43D07">
        <w:t>J.</w:t>
      </w:r>
      <w:r w:rsidRPr="00C43D07">
        <w:tab/>
        <w:t>considérant que, contrairement à l’utilisation d’insecticides, où l’exposition se fait au moment de la pulvérisation du produit puis pendant une durée limitée suivant cette opération, l’utilisation de cultures insecticides génétiquement modifiées entraîne une exposition continue des organismes ciblés et non ciblés aux toxines;</w:t>
      </w:r>
    </w:p>
    <w:p w:rsidR="00DA4E0E" w:rsidRPr="00C43D07" w:rsidRDefault="00DA4E0E" w:rsidP="00DA4E0E">
      <w:pPr>
        <w:pStyle w:val="NormalHanging12a"/>
        <w:rPr>
          <w:b/>
          <w:i/>
          <w:szCs w:val="24"/>
        </w:rPr>
      </w:pPr>
      <w:r w:rsidRPr="00C43D07">
        <w:rPr>
          <w:b/>
          <w:i/>
        </w:rPr>
        <w:t>Observations des États membres et des parties concernées</w:t>
      </w:r>
    </w:p>
    <w:p w:rsidR="00DA4E0E" w:rsidRPr="00C43D07" w:rsidRDefault="00DA4E0E" w:rsidP="00DA4E0E">
      <w:pPr>
        <w:pStyle w:val="NormalHanging12a"/>
        <w:tabs>
          <w:tab w:val="left" w:pos="0"/>
        </w:tabs>
        <w:suppressAutoHyphens/>
        <w:rPr>
          <w:szCs w:val="24"/>
        </w:rPr>
      </w:pPr>
      <w:r w:rsidRPr="00C43D07">
        <w:t>K.</w:t>
      </w:r>
      <w:r w:rsidRPr="00C43D07">
        <w:tab/>
        <w:t>considérant que les États membres ont adressé de nombreuses observations critiques à l’EFSA pendant les trois mois qu’a duré la consultation</w:t>
      </w:r>
      <w:r w:rsidRPr="00C43D07">
        <w:rPr>
          <w:rStyle w:val="FootnoteReference"/>
          <w:szCs w:val="24"/>
        </w:rPr>
        <w:footnoteReference w:id="6"/>
      </w:r>
      <w:r w:rsidRPr="00C43D07">
        <w:t xml:space="preserve">, notamment que la liste des études pertinentes, recensées dans l’examen de la littérature du demandeur, ne comportait pas d’études sur le devenir des protéines insecticides dans l’environnement ni sur les effets éventuels des résidus de cultures sur les organismes non ciblés; </w:t>
      </w:r>
    </w:p>
    <w:p w:rsidR="00DA4E0E" w:rsidRPr="00C43D07" w:rsidRDefault="00DA4E0E" w:rsidP="00DA4E0E">
      <w:pPr>
        <w:pStyle w:val="NormalHanging12a"/>
        <w:tabs>
          <w:tab w:val="left" w:pos="0"/>
        </w:tabs>
        <w:suppressAutoHyphens/>
        <w:rPr>
          <w:szCs w:val="24"/>
        </w:rPr>
      </w:pPr>
      <w:r w:rsidRPr="00C43D07">
        <w:t>L.</w:t>
      </w:r>
      <w:r w:rsidRPr="00C43D07">
        <w:tab/>
        <w:t>considérant qu’au cours de sa huitième législature, le Parlement a adopté au total 36 résolutions par lesquelles il s’est opposé à la mise sur le marché d’OGM destinés à l’alimentation humaine et animale (33 résolutions) et à la culture d’OGM dans l’Union (3 résolutions); qu’au cours de sa neuvième législature, il a adopté 38 résolutions par lesquelles il s’est opposé à la mise sur le marché d’OGM; et qu’au cours de sa dixième et actuelle législature, il a déjà adopté 8 résolutions par lesquelles il s’est opposé à la mise sur le marché d’OGM;</w:t>
      </w:r>
    </w:p>
    <w:p w:rsidR="00DA4E0E" w:rsidRDefault="00DA4E0E" w:rsidP="00DA4E0E">
      <w:pPr>
        <w:pStyle w:val="NormalHanging12a"/>
        <w:tabs>
          <w:tab w:val="left" w:pos="0"/>
        </w:tabs>
        <w:suppressAutoHyphens/>
      </w:pPr>
      <w:r w:rsidRPr="00C43D07">
        <w:t>M.</w:t>
      </w:r>
      <w:r w:rsidRPr="00C43D07">
        <w:tab/>
        <w:t>considérant que si elle reconnaît elle-même des lacunes démocratiques, le soutien insuffisant des États membres et les objections du Parlement, la Commission continue d’autoriser les OGM;</w:t>
      </w:r>
    </w:p>
    <w:p w:rsidR="00EF160D" w:rsidRPr="00C43D07" w:rsidRDefault="00DD737C" w:rsidP="00DA4E0E">
      <w:pPr>
        <w:pStyle w:val="NormalHanging12a"/>
        <w:tabs>
          <w:tab w:val="left" w:pos="0"/>
        </w:tabs>
        <w:suppressAutoHyphens/>
        <w:rPr>
          <w:szCs w:val="24"/>
        </w:rPr>
      </w:pPr>
      <w:r>
        <w:t>N</w:t>
      </w:r>
      <w:r w:rsidR="00EF160D">
        <w:t>.</w:t>
      </w:r>
      <w:r w:rsidR="00EF160D">
        <w:tab/>
        <w:t>considérant que l’accord commercial entre l’Union et le Mercosur encouragera les importations dans l’Union de denrées alimentaires et d’aliments pour animaux contenant des organismes génétiquement modifiés, consistant en ces organismes ou produits à partir de ceux-ci</w:t>
      </w:r>
      <w:r w:rsidR="00157AF9">
        <w:t>;</w:t>
      </w:r>
      <w:r w:rsidR="00EF160D">
        <w:t xml:space="preserve"> sachant que le Brésil et l’Argentine comptent parmi les principaux producteurs d’OGM et utilisateurs de pesticides à l’échelle mondiale, y compris des OGM et des pesticides interdits dans l’Union pour des raisons sanitaires ou environnementales;</w:t>
      </w:r>
    </w:p>
    <w:p w:rsidR="00DA4E0E" w:rsidRPr="00C43D07" w:rsidRDefault="00DA4E0E" w:rsidP="00DA4E0E">
      <w:pPr>
        <w:pStyle w:val="NormalHanging12a"/>
        <w:rPr>
          <w:szCs w:val="24"/>
        </w:rPr>
      </w:pPr>
      <w:r w:rsidRPr="00C43D07">
        <w:t>1.</w:t>
      </w:r>
      <w:r w:rsidRPr="00C43D07">
        <w:tab/>
        <w:t>considère que le projet de décision d’exécution de la Commission excède les compétences d’exécution prévues dans le règlement (CE) nº 1829/2003;</w:t>
      </w:r>
    </w:p>
    <w:p w:rsidR="00DA4E0E" w:rsidRPr="00C43D07" w:rsidRDefault="00DA4E0E" w:rsidP="00DA4E0E">
      <w:pPr>
        <w:pStyle w:val="NormalHanging12a"/>
        <w:rPr>
          <w:szCs w:val="24"/>
        </w:rPr>
      </w:pPr>
      <w:r w:rsidRPr="00C43D07">
        <w:t>2.</w:t>
      </w:r>
      <w:r w:rsidRPr="00C43D07">
        <w:tab/>
        <w:t>estime que le projet de décision d’exécution de la Commission n’est pas conforme au droit de l’Union, en ce qu’il n’est pas compatible avec l’objectif du règlement (CE) nº 1829/2003, qui est, conformément aux principes généraux prévus dans le règlement (CE) nº 178/2002 du Parlement européen et du Conseil</w:t>
      </w:r>
      <w:r w:rsidRPr="00C43D07">
        <w:rPr>
          <w:rStyle w:val="FootnoteReference"/>
          <w:szCs w:val="24"/>
        </w:rPr>
        <w:footnoteReference w:id="7"/>
      </w:r>
      <w:r w:rsidRPr="00C43D07">
        <w:t xml:space="preserve">, d’établir le </w:t>
      </w:r>
      <w:r w:rsidRPr="00C43D07">
        <w:lastRenderedPageBreak/>
        <w:t>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rsidR="00DA4E0E" w:rsidRPr="00C43D07" w:rsidRDefault="00DA4E0E" w:rsidP="00DA4E0E">
      <w:pPr>
        <w:pStyle w:val="NormalHanging12a"/>
        <w:rPr>
          <w:szCs w:val="24"/>
        </w:rPr>
      </w:pPr>
      <w:r w:rsidRPr="00C43D07">
        <w:t>3.</w:t>
      </w:r>
      <w:r w:rsidRPr="00C43D07">
        <w:tab/>
        <w:t>demande à la Commission de retirer son projet de décision d’exécution et de soumettre un nouveau projet au comité;</w:t>
      </w:r>
    </w:p>
    <w:p w:rsidR="00DA4E0E" w:rsidRPr="00C43D07" w:rsidRDefault="00DA4E0E" w:rsidP="00DA4E0E">
      <w:pPr>
        <w:pStyle w:val="NormalHanging12a"/>
        <w:rPr>
          <w:szCs w:val="24"/>
        </w:rPr>
      </w:pPr>
      <w:r w:rsidRPr="00C43D07">
        <w:t>4.</w:t>
      </w:r>
      <w:r w:rsidRPr="00C43D07">
        <w:tab/>
        <w:t>invite la Commission à garantir la convergence des normes entre l’Union et ses partenaires dans le cadre des négociations d’accords de libre-échange, afin de respecter les normes de sécurité de l’Union;</w:t>
      </w:r>
    </w:p>
    <w:p w:rsidR="00DA4E0E" w:rsidRPr="00C43D07" w:rsidRDefault="00DA4E0E" w:rsidP="00DA4E0E">
      <w:pPr>
        <w:pStyle w:val="NormalHanging12a"/>
        <w:rPr>
          <w:szCs w:val="24"/>
        </w:rPr>
      </w:pPr>
      <w:r w:rsidRPr="00C43D07">
        <w:t>5.</w:t>
      </w:r>
      <w:r w:rsidRPr="00C43D07">
        <w:tab/>
        <w:t>demande à la Commission de ne pas autoriser les cultures génétiquement modifiées en raison des risques qu’elles font peser sur la biodiversité, la sécurité alimentaire et la santé des travailleurs, en cohérence avec l’approche</w:t>
      </w:r>
      <w:proofErr w:type="gramStart"/>
      <w:r w:rsidRPr="00C43D07">
        <w:t xml:space="preserve"> «Une</w:t>
      </w:r>
      <w:proofErr w:type="gramEnd"/>
      <w:r w:rsidRPr="00C43D07">
        <w:t xml:space="preserve"> seule santé»;</w:t>
      </w:r>
    </w:p>
    <w:p w:rsidR="00DA4E0E" w:rsidRPr="00C43D07" w:rsidRDefault="00DA4E0E" w:rsidP="00DA4E0E">
      <w:pPr>
        <w:pStyle w:val="NormalHanging12a"/>
        <w:rPr>
          <w:szCs w:val="24"/>
        </w:rPr>
      </w:pPr>
      <w:r w:rsidRPr="00C43D07">
        <w:t>6.</w:t>
      </w:r>
      <w:r w:rsidRPr="00C43D07">
        <w:tab/>
        <w:t>se félicite que la Commission ait finalement reconnu, dans une lettre en date du 11 septembre 2020 à l’attention des députés, que les décisions d’autorisation relatives aux OGM doivent tenir compte de la durabilité</w:t>
      </w:r>
      <w:r w:rsidRPr="00C43D07">
        <w:rPr>
          <w:rStyle w:val="FootnoteReference"/>
          <w:szCs w:val="24"/>
        </w:rPr>
        <w:footnoteReference w:id="8"/>
      </w:r>
      <w:r w:rsidRPr="00C43D07">
        <w:t>; se déclare toutefois profondément déçu que la Commission ait, depuis, continué d’autoriser l’importation d’OGM dans l’Union, malgré l’opposition répétée du Parlement et le vote d’une majorité des États membres contre ces autorisations;</w:t>
      </w:r>
    </w:p>
    <w:p w:rsidR="00DA4E0E" w:rsidRPr="00C43D07" w:rsidRDefault="00DA4E0E" w:rsidP="00DA4E0E">
      <w:pPr>
        <w:pStyle w:val="NormalHanging12a"/>
        <w:rPr>
          <w:szCs w:val="24"/>
        </w:rPr>
      </w:pPr>
      <w:r w:rsidRPr="00C43D07">
        <w:t>7.</w:t>
      </w:r>
      <w:r w:rsidRPr="00C43D07">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Pr="00C43D07">
        <w:rPr>
          <w:rStyle w:val="FootnoteReference"/>
          <w:szCs w:val="24"/>
        </w:rPr>
        <w:footnoteReference w:id="9"/>
      </w:r>
      <w:r w:rsidRPr="00C43D07">
        <w:t xml:space="preserve">; </w:t>
      </w:r>
    </w:p>
    <w:p w:rsidR="00C43D07" w:rsidRPr="00C43D07" w:rsidRDefault="00DA4E0E" w:rsidP="00C43D07">
      <w:pPr>
        <w:pStyle w:val="NormalHanging12a"/>
      </w:pPr>
      <w:r w:rsidRPr="00C43D07">
        <w:t>8.</w:t>
      </w:r>
      <w:r w:rsidRPr="00C43D07">
        <w:tab/>
        <w:t>charge sa Présidente de transmettre la présente résolution au Conseil et à la Commission, ainsi qu’aux gouvernements et aux parlements des États membres.</w:t>
      </w:r>
    </w:p>
    <w:sectPr w:rsidR="00C43D07" w:rsidRPr="00C43D07" w:rsidSect="00C43D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81" w:rsidRPr="00C43D07" w:rsidRDefault="00B15681">
      <w:r w:rsidRPr="00C43D07">
        <w:separator/>
      </w:r>
    </w:p>
  </w:endnote>
  <w:endnote w:type="continuationSeparator" w:id="0">
    <w:p w:rsidR="00B15681" w:rsidRPr="00C43D07" w:rsidRDefault="00B15681">
      <w:r w:rsidRPr="00C43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81" w:rsidRPr="00C43D07" w:rsidRDefault="00B15681">
      <w:r w:rsidRPr="00C43D07">
        <w:separator/>
      </w:r>
    </w:p>
  </w:footnote>
  <w:footnote w:type="continuationSeparator" w:id="0">
    <w:p w:rsidR="00B15681" w:rsidRPr="00C43D07" w:rsidRDefault="00B15681">
      <w:r w:rsidRPr="00C43D07">
        <w:continuationSeparator/>
      </w:r>
    </w:p>
  </w:footnote>
  <w:footnote w:id="1">
    <w:p w:rsidR="00DA4E0E" w:rsidRPr="00434A0B" w:rsidRDefault="00DA4E0E" w:rsidP="00C43D07">
      <w:pPr>
        <w:pStyle w:val="FootnoteText"/>
        <w:ind w:left="567" w:hanging="567"/>
        <w:rPr>
          <w:color w:val="000000" w:themeColor="text1"/>
          <w:sz w:val="24"/>
          <w:lang w:val="da-DK"/>
        </w:rPr>
      </w:pPr>
      <w:r w:rsidRPr="00C43D07">
        <w:rPr>
          <w:rStyle w:val="Funotenzeichen"/>
          <w:color w:val="000000" w:themeColor="text1"/>
          <w:sz w:val="24"/>
        </w:rPr>
        <w:footnoteRef/>
      </w:r>
      <w:r w:rsidR="00C43D07" w:rsidRPr="00434A0B">
        <w:rPr>
          <w:color w:val="000000" w:themeColor="text1"/>
          <w:sz w:val="24"/>
          <w:lang w:val="da-DK"/>
        </w:rPr>
        <w:t xml:space="preserve"> </w:t>
      </w:r>
      <w:r w:rsidR="00C43D07" w:rsidRPr="00434A0B">
        <w:rPr>
          <w:color w:val="000000" w:themeColor="text1"/>
          <w:sz w:val="24"/>
          <w:lang w:val="da-DK"/>
        </w:rPr>
        <w:tab/>
      </w:r>
      <w:r w:rsidRPr="00434A0B">
        <w:rPr>
          <w:color w:val="000000" w:themeColor="text1"/>
          <w:sz w:val="24"/>
          <w:lang w:val="da-DK"/>
        </w:rPr>
        <w:t>JO L 268 du 18.10.2003, p. 1, ELI: </w:t>
      </w:r>
      <w:hyperlink r:id="rId1" w:history="1">
        <w:r w:rsidRPr="00434A0B">
          <w:rPr>
            <w:rStyle w:val="Hyperlink"/>
            <w:color w:val="auto"/>
            <w:sz w:val="24"/>
            <w:u w:val="none"/>
            <w:lang w:val="da-DK"/>
          </w:rPr>
          <w:t>http://data.europa.eu/eli/reg/2003/1829/oj</w:t>
        </w:r>
      </w:hyperlink>
      <w:r w:rsidRPr="00434A0B">
        <w:rPr>
          <w:rStyle w:val="Hyperlink"/>
          <w:color w:val="auto"/>
          <w:sz w:val="24"/>
          <w:u w:val="none"/>
          <w:lang w:val="da-DK"/>
        </w:rPr>
        <w:t>.</w:t>
      </w:r>
    </w:p>
  </w:footnote>
  <w:footnote w:id="2">
    <w:p w:rsidR="00DA4E0E" w:rsidRPr="00434A0B" w:rsidRDefault="00DA4E0E" w:rsidP="00C43D07">
      <w:pPr>
        <w:pStyle w:val="FootnoteText"/>
        <w:ind w:left="567" w:hanging="567"/>
        <w:rPr>
          <w:color w:val="000000" w:themeColor="text1"/>
          <w:sz w:val="24"/>
          <w:lang w:val="fi-FI"/>
        </w:rPr>
      </w:pPr>
      <w:r w:rsidRPr="00C43D07">
        <w:rPr>
          <w:rStyle w:val="Funotenzeichen"/>
          <w:color w:val="000000" w:themeColor="text1"/>
          <w:sz w:val="24"/>
        </w:rPr>
        <w:footnoteRef/>
      </w:r>
      <w:r w:rsidR="00C43D07" w:rsidRPr="00434A0B">
        <w:rPr>
          <w:color w:val="000000" w:themeColor="text1"/>
          <w:sz w:val="24"/>
          <w:lang w:val="fi-FI"/>
        </w:rPr>
        <w:t xml:space="preserve"> </w:t>
      </w:r>
      <w:r w:rsidR="00C43D07" w:rsidRPr="00434A0B">
        <w:rPr>
          <w:color w:val="000000" w:themeColor="text1"/>
          <w:sz w:val="24"/>
          <w:lang w:val="fi-FI"/>
        </w:rPr>
        <w:tab/>
      </w:r>
      <w:r w:rsidRPr="00434A0B">
        <w:rPr>
          <w:color w:val="000000" w:themeColor="text1"/>
          <w:sz w:val="24"/>
          <w:lang w:val="fi-FI"/>
        </w:rPr>
        <w:t>JO L 55 du 28.2.2011, p. 13, ELI</w:t>
      </w:r>
      <w:r w:rsidRPr="00434A0B">
        <w:rPr>
          <w:rStyle w:val="Hyperlink"/>
          <w:color w:val="auto"/>
          <w:sz w:val="24"/>
          <w:u w:val="none"/>
          <w:lang w:val="fi-FI"/>
        </w:rPr>
        <w:t xml:space="preserve">: </w:t>
      </w:r>
      <w:hyperlink r:id="rId2" w:history="1">
        <w:r w:rsidRPr="00434A0B">
          <w:rPr>
            <w:rStyle w:val="Hyperlink"/>
            <w:color w:val="auto"/>
            <w:sz w:val="24"/>
            <w:u w:val="none"/>
            <w:lang w:val="fi-FI"/>
          </w:rPr>
          <w:t>http://data.europa.eu/eli/reg/2011/182/oj</w:t>
        </w:r>
      </w:hyperlink>
      <w:r w:rsidRPr="00434A0B">
        <w:rPr>
          <w:rStyle w:val="Hyperlink"/>
          <w:color w:val="auto"/>
          <w:sz w:val="24"/>
          <w:u w:val="none"/>
          <w:lang w:val="fi-FI"/>
        </w:rPr>
        <w:t>.</w:t>
      </w:r>
    </w:p>
  </w:footnote>
  <w:footnote w:id="3">
    <w:p w:rsidR="00DA4E0E" w:rsidRPr="00C43D07" w:rsidRDefault="00DA4E0E" w:rsidP="00C43D07">
      <w:pPr>
        <w:pStyle w:val="FootnoteText"/>
        <w:ind w:left="567" w:hanging="567"/>
        <w:rPr>
          <w:color w:val="000000" w:themeColor="text1"/>
          <w:sz w:val="24"/>
        </w:rPr>
      </w:pPr>
      <w:r w:rsidRPr="00C43D07">
        <w:rPr>
          <w:rStyle w:val="FootnoteReference"/>
          <w:color w:val="000000" w:themeColor="text1"/>
          <w:sz w:val="24"/>
        </w:rPr>
        <w:footnoteRef/>
      </w:r>
      <w:r w:rsidR="00C43D07" w:rsidRPr="00C43D07">
        <w:rPr>
          <w:color w:val="000000" w:themeColor="text1"/>
          <w:sz w:val="24"/>
        </w:rPr>
        <w:t xml:space="preserve"> </w:t>
      </w:r>
      <w:r w:rsidR="00C43D07" w:rsidRPr="00C43D07">
        <w:rPr>
          <w:color w:val="000000" w:themeColor="text1"/>
          <w:sz w:val="24"/>
        </w:rPr>
        <w:tab/>
      </w:r>
      <w:r w:rsidRPr="00C43D07">
        <w:rPr>
          <w:color w:val="000000" w:themeColor="text1"/>
          <w:sz w:val="24"/>
        </w:rPr>
        <w:t>Avis scientifique du groupe scientifique de l’EFSA sur les organismes génétiquement modifiés intitulé «</w:t>
      </w:r>
      <w:proofErr w:type="spellStart"/>
      <w:r w:rsidRPr="00C43D07">
        <w:rPr>
          <w:color w:val="000000" w:themeColor="text1"/>
          <w:sz w:val="24"/>
        </w:rPr>
        <w:t>Assessment</w:t>
      </w:r>
      <w:proofErr w:type="spellEnd"/>
      <w:r w:rsidRPr="00C43D07">
        <w:rPr>
          <w:color w:val="000000" w:themeColor="text1"/>
          <w:sz w:val="24"/>
        </w:rPr>
        <w:t xml:space="preserve"> of </w:t>
      </w:r>
      <w:proofErr w:type="spellStart"/>
      <w:r w:rsidRPr="00C43D07">
        <w:rPr>
          <w:color w:val="000000" w:themeColor="text1"/>
          <w:sz w:val="24"/>
        </w:rPr>
        <w:t>genetically</w:t>
      </w:r>
      <w:proofErr w:type="spellEnd"/>
      <w:r w:rsidRPr="00C43D07">
        <w:rPr>
          <w:color w:val="000000" w:themeColor="text1"/>
          <w:sz w:val="24"/>
        </w:rPr>
        <w:t xml:space="preserve"> </w:t>
      </w:r>
      <w:proofErr w:type="spellStart"/>
      <w:r w:rsidRPr="00C43D07">
        <w:rPr>
          <w:color w:val="000000" w:themeColor="text1"/>
          <w:sz w:val="24"/>
        </w:rPr>
        <w:t>modified</w:t>
      </w:r>
      <w:proofErr w:type="spellEnd"/>
      <w:r w:rsidRPr="00C43D07">
        <w:rPr>
          <w:color w:val="000000" w:themeColor="text1"/>
          <w:sz w:val="24"/>
        </w:rPr>
        <w:t xml:space="preserve"> </w:t>
      </w:r>
      <w:proofErr w:type="spellStart"/>
      <w:r w:rsidRPr="00C43D07">
        <w:rPr>
          <w:color w:val="000000" w:themeColor="text1"/>
          <w:sz w:val="24"/>
        </w:rPr>
        <w:t>maize</w:t>
      </w:r>
      <w:proofErr w:type="spellEnd"/>
      <w:r w:rsidRPr="00C43D07">
        <w:rPr>
          <w:color w:val="000000" w:themeColor="text1"/>
          <w:sz w:val="24"/>
        </w:rPr>
        <w:t> MON 95275 (application GMFF</w:t>
      </w:r>
      <w:r w:rsidRPr="00C43D07">
        <w:rPr>
          <w:color w:val="000000" w:themeColor="text1"/>
          <w:sz w:val="24"/>
        </w:rPr>
        <w:noBreakHyphen/>
        <w:t>2022</w:t>
      </w:r>
      <w:r w:rsidRPr="00C43D07">
        <w:rPr>
          <w:color w:val="000000" w:themeColor="text1"/>
          <w:sz w:val="24"/>
        </w:rPr>
        <w:noBreakHyphen/>
        <w:t xml:space="preserve">5890)», EFSA Journal, 2024; 22:e8543, </w:t>
      </w:r>
      <w:hyperlink r:id="rId3" w:history="1">
        <w:r w:rsidRPr="00A76297">
          <w:rPr>
            <w:rStyle w:val="Hyperlink"/>
            <w:color w:val="000000" w:themeColor="text1"/>
            <w:sz w:val="24"/>
            <w:u w:val="none"/>
          </w:rPr>
          <w:t>https://doi.org/10.2903/j.efsa.2024.8886</w:t>
        </w:r>
      </w:hyperlink>
      <w:r w:rsidRPr="00C43D07">
        <w:rPr>
          <w:color w:val="000000" w:themeColor="text1"/>
          <w:sz w:val="24"/>
        </w:rPr>
        <w:t xml:space="preserve">. </w:t>
      </w:r>
    </w:p>
  </w:footnote>
  <w:footnote w:id="4">
    <w:p w:rsidR="00DA4E0E" w:rsidRPr="00C43D07" w:rsidRDefault="00DA4E0E" w:rsidP="00C43D07">
      <w:pPr>
        <w:pStyle w:val="FootnoteText"/>
        <w:ind w:left="567" w:hanging="567"/>
        <w:rPr>
          <w:color w:val="000000" w:themeColor="text1"/>
          <w:sz w:val="24"/>
          <w:vertAlign w:val="superscript"/>
        </w:rPr>
      </w:pPr>
      <w:r w:rsidRPr="00C43D07">
        <w:rPr>
          <w:rStyle w:val="FootnoteReference"/>
          <w:color w:val="000000" w:themeColor="text1"/>
          <w:sz w:val="24"/>
        </w:rPr>
        <w:footnoteRef/>
      </w:r>
      <w:r w:rsidR="00C43D07" w:rsidRPr="00C43D07">
        <w:rPr>
          <w:color w:val="000000" w:themeColor="text1"/>
          <w:sz w:val="24"/>
        </w:rPr>
        <w:t xml:space="preserve"> </w:t>
      </w:r>
      <w:r w:rsidR="00C43D07" w:rsidRPr="00C43D07">
        <w:rPr>
          <w:color w:val="000000" w:themeColor="text1"/>
          <w:sz w:val="24"/>
        </w:rPr>
        <w:tab/>
      </w:r>
      <w:r w:rsidRPr="00C43D07">
        <w:rPr>
          <w:color w:val="000000" w:themeColor="text1"/>
          <w:sz w:val="24"/>
        </w:rPr>
        <w:t>Au cours de sa huitième législature, le Parlement a adopté 36 résolutions et, au cours de sa neuvième législature, le Parlement a adopté 38 résolutions par lesquelles il s’est opposé à l’autorisation d’OGM. En outre, depuis le début de la dixième législature, il a adopté les résolutions suivantes:</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2024)0038);</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2024)0039);</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2024)0040);</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(P10_TA(2024)0041);</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2024)0042);</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2024)0043);</w:t>
      </w:r>
    </w:p>
    <w:p w:rsidR="00DA4E0E" w:rsidRPr="00C43D07" w:rsidRDefault="00C43D07" w:rsidP="00C43D07">
      <w:pPr>
        <w:pStyle w:val="FootnoteText"/>
        <w:ind w:left="567" w:hanging="567"/>
        <w:rPr>
          <w:color w:val="000000" w:themeColor="text1"/>
          <w:sz w:val="24"/>
          <w:vertAlign w:val="superscript"/>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la décision d’exécution (UE) 2024/2618 de la Commission autorisant la mise sur le marché de produits contenant du maïs génétiquement modifié DP202216, consistant en celui-ci ou produits à partir de celui-ci en application du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2024)0044);</w:t>
      </w:r>
    </w:p>
    <w:p w:rsidR="00DA4E0E" w:rsidRPr="00C43D07" w:rsidRDefault="00C43D07" w:rsidP="00C43D07">
      <w:pPr>
        <w:pStyle w:val="FootnoteText"/>
        <w:ind w:left="567" w:hanging="567"/>
        <w:rPr>
          <w:color w:val="000000" w:themeColor="text1"/>
          <w:sz w:val="24"/>
        </w:rPr>
      </w:pPr>
      <w:r w:rsidRPr="00C43D07">
        <w:rPr>
          <w:color w:val="000000" w:themeColor="text1"/>
          <w:sz w:val="24"/>
        </w:rPr>
        <w:t xml:space="preserve"> </w:t>
      </w:r>
      <w:r w:rsidRPr="00C43D07">
        <w:rPr>
          <w:color w:val="000000" w:themeColor="text1"/>
          <w:sz w:val="24"/>
        </w:rPr>
        <w:tab/>
      </w:r>
      <w:r w:rsidR="00DA4E0E" w:rsidRPr="00C43D07">
        <w:rPr>
          <w:color w:val="000000" w:themeColor="text1"/>
          <w:sz w:val="24"/>
        </w:rPr>
        <w:t>–</w:t>
      </w:r>
      <w:r w:rsidR="00DA4E0E" w:rsidRPr="00C43D07">
        <w:rPr>
          <w:color w:val="000000" w:themeColor="text1"/>
          <w:sz w:val="24"/>
        </w:rPr>
        <w:tab/>
        <w:t>résolution du Parlement européen du 26 novembre 2024 sur le projet de décision d’exécution de la Commission autorisant la mise sur le marché de produits contenant du maïs génétiquement modifié MON 94804, consistant en celui-ci ou produits à partir de celui-ci, en application du règlement (CE) nº 1829/2003 du Parlement européen et du Conseil (P10_</w:t>
      </w:r>
      <w:proofErr w:type="gramStart"/>
      <w:r w:rsidR="00DA4E0E" w:rsidRPr="00C43D07">
        <w:rPr>
          <w:color w:val="000000" w:themeColor="text1"/>
          <w:sz w:val="24"/>
        </w:rPr>
        <w:t>TA(</w:t>
      </w:r>
      <w:proofErr w:type="gramEnd"/>
      <w:r w:rsidR="00DA4E0E" w:rsidRPr="00C43D07">
        <w:rPr>
          <w:color w:val="000000" w:themeColor="text1"/>
          <w:sz w:val="24"/>
        </w:rPr>
        <w:t>2024)0045).</w:t>
      </w:r>
    </w:p>
  </w:footnote>
  <w:footnote w:id="5">
    <w:p w:rsidR="00DA4E0E" w:rsidRPr="00A76297" w:rsidRDefault="00DA4E0E" w:rsidP="00C43D07">
      <w:pPr>
        <w:pStyle w:val="FootnoteText"/>
        <w:ind w:left="567" w:hanging="567"/>
        <w:rPr>
          <w:sz w:val="24"/>
        </w:rPr>
      </w:pPr>
      <w:r w:rsidRPr="00C43D07">
        <w:rPr>
          <w:rStyle w:val="FootnoteReference"/>
          <w:sz w:val="24"/>
        </w:rPr>
        <w:footnoteRef/>
      </w:r>
      <w:r w:rsidR="00C43D07" w:rsidRPr="00C43D07">
        <w:rPr>
          <w:color w:val="000000" w:themeColor="text1"/>
          <w:sz w:val="24"/>
        </w:rPr>
        <w:t xml:space="preserve"> </w:t>
      </w:r>
      <w:r w:rsidR="00C43D07" w:rsidRPr="00C43D07">
        <w:rPr>
          <w:color w:val="000000" w:themeColor="text1"/>
          <w:sz w:val="24"/>
        </w:rPr>
        <w:tab/>
      </w:r>
      <w:r w:rsidRPr="00C43D07">
        <w:rPr>
          <w:color w:val="000000" w:themeColor="text1"/>
          <w:sz w:val="24"/>
        </w:rPr>
        <w:t xml:space="preserve">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4" w:tgtFrame="Gives access to this document through its ELI URI." w:history="1">
        <w:r w:rsidRPr="00A76297">
          <w:rPr>
            <w:rStyle w:val="Hyperlink"/>
            <w:color w:val="000000" w:themeColor="text1"/>
            <w:sz w:val="24"/>
            <w:u w:val="none"/>
          </w:rPr>
          <w:t>http://data.europa.eu/eli/reg_impl/2013/503/oj</w:t>
        </w:r>
      </w:hyperlink>
      <w:r w:rsidRPr="00A76297">
        <w:rPr>
          <w:rStyle w:val="Hyperlink"/>
          <w:color w:val="000000" w:themeColor="text1"/>
          <w:sz w:val="24"/>
          <w:u w:val="none"/>
        </w:rPr>
        <w:t>).</w:t>
      </w:r>
    </w:p>
  </w:footnote>
  <w:footnote w:id="6">
    <w:p w:rsidR="00DA4E0E" w:rsidRPr="00C43D07" w:rsidRDefault="00DA4E0E" w:rsidP="00C43D07">
      <w:pPr>
        <w:pStyle w:val="FootnoteText"/>
        <w:ind w:left="567" w:hanging="567"/>
        <w:rPr>
          <w:color w:val="000000" w:themeColor="text1"/>
          <w:sz w:val="24"/>
        </w:rPr>
      </w:pPr>
      <w:r w:rsidRPr="00A76297">
        <w:rPr>
          <w:rStyle w:val="Funotenzeichen"/>
          <w:color w:val="000000" w:themeColor="text1"/>
          <w:sz w:val="24"/>
        </w:rPr>
        <w:footnoteRef/>
      </w:r>
      <w:r w:rsidR="00C43D07" w:rsidRPr="00A76297">
        <w:rPr>
          <w:sz w:val="24"/>
        </w:rPr>
        <w:t xml:space="preserve"> </w:t>
      </w:r>
      <w:r w:rsidR="00A76297" w:rsidRPr="00A76297">
        <w:rPr>
          <w:sz w:val="24"/>
        </w:rPr>
        <w:tab/>
      </w:r>
      <w:hyperlink r:id="rId5" w:history="1">
        <w:r w:rsidRPr="00A76297">
          <w:rPr>
            <w:rStyle w:val="Hyperlink"/>
            <w:color w:val="000000" w:themeColor="text1"/>
            <w:sz w:val="24"/>
            <w:u w:val="none"/>
          </w:rPr>
          <w:t>https://efsa.onlinelibrary.wiley.com/action/downloadSupplement?doi=</w:t>
        </w:r>
        <w:r w:rsidR="00A76297" w:rsidRPr="00A76297">
          <w:rPr>
            <w:rStyle w:val="Hyperlink"/>
            <w:color w:val="000000" w:themeColor="text1"/>
            <w:sz w:val="24"/>
            <w:u w:val="none"/>
          </w:rPr>
          <w:t xml:space="preserve"> </w:t>
        </w:r>
        <w:r w:rsidRPr="00A76297">
          <w:rPr>
            <w:rStyle w:val="Hyperlink"/>
            <w:color w:val="000000" w:themeColor="text1"/>
            <w:sz w:val="24"/>
            <w:u w:val="none"/>
          </w:rPr>
          <w:t>10.2903%2Fj.efsa.2024.8716‌&amp;file=efs28716-sup-0012-Annex8.pdf</w:t>
        </w:r>
      </w:hyperlink>
      <w:r w:rsidRPr="00A76297">
        <w:rPr>
          <w:rStyle w:val="Hyperlink"/>
          <w:color w:val="000000" w:themeColor="text1"/>
          <w:sz w:val="24"/>
          <w:u w:val="none"/>
        </w:rPr>
        <w:t>.</w:t>
      </w:r>
    </w:p>
  </w:footnote>
  <w:footnote w:id="7">
    <w:p w:rsidR="00DA4E0E" w:rsidRPr="00A76297" w:rsidRDefault="00DA4E0E" w:rsidP="00C43D07">
      <w:pPr>
        <w:pStyle w:val="FootnoteText"/>
        <w:ind w:left="567" w:hanging="567"/>
        <w:rPr>
          <w:color w:val="000000" w:themeColor="text1"/>
          <w:sz w:val="24"/>
        </w:rPr>
      </w:pPr>
      <w:r w:rsidRPr="00C43D07">
        <w:rPr>
          <w:rStyle w:val="Funotenzeichen"/>
          <w:color w:val="000000" w:themeColor="text1"/>
          <w:sz w:val="24"/>
        </w:rPr>
        <w:footnoteRef/>
      </w:r>
      <w:r w:rsidR="00C43D07" w:rsidRPr="00C43D07">
        <w:rPr>
          <w:color w:val="000000" w:themeColor="text1"/>
          <w:sz w:val="24"/>
        </w:rPr>
        <w:t xml:space="preserve"> </w:t>
      </w:r>
      <w:r w:rsidR="00C43D07" w:rsidRPr="00C43D07">
        <w:rPr>
          <w:color w:val="000000" w:themeColor="text1"/>
          <w:sz w:val="24"/>
        </w:rPr>
        <w:tab/>
      </w:r>
      <w:r w:rsidRPr="00C43D07">
        <w:rPr>
          <w:color w:val="000000" w:themeColor="text1"/>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6" w:tgtFrame="Gives access to this document through its ELI URI." w:history="1">
        <w:r w:rsidRPr="00A76297">
          <w:rPr>
            <w:rStyle w:val="Hyperlink"/>
            <w:color w:val="000000" w:themeColor="text1"/>
            <w:sz w:val="24"/>
            <w:u w:val="none"/>
          </w:rPr>
          <w:t>http://data.europa.eu/eli/reg/2002/178/oj</w:t>
        </w:r>
      </w:hyperlink>
      <w:r w:rsidRPr="00A76297">
        <w:rPr>
          <w:color w:val="000000" w:themeColor="text1"/>
          <w:sz w:val="24"/>
        </w:rPr>
        <w:t>).</w:t>
      </w:r>
    </w:p>
  </w:footnote>
  <w:footnote w:id="8">
    <w:p w:rsidR="00DA4E0E" w:rsidRPr="00C43D07" w:rsidRDefault="00DA4E0E" w:rsidP="00C43D07">
      <w:pPr>
        <w:pStyle w:val="FootnoteText"/>
        <w:ind w:left="567" w:hanging="567"/>
        <w:rPr>
          <w:color w:val="000000" w:themeColor="text1"/>
          <w:sz w:val="24"/>
        </w:rPr>
      </w:pPr>
      <w:r w:rsidRPr="00A76297">
        <w:rPr>
          <w:rStyle w:val="Funotenzeichen"/>
          <w:color w:val="000000" w:themeColor="text1"/>
          <w:sz w:val="24"/>
        </w:rPr>
        <w:footnoteRef/>
      </w:r>
      <w:r w:rsidR="00C43D07" w:rsidRPr="00A76297">
        <w:rPr>
          <w:sz w:val="24"/>
        </w:rPr>
        <w:t xml:space="preserve"> </w:t>
      </w:r>
      <w:r w:rsidR="00C43D07" w:rsidRPr="00A76297">
        <w:rPr>
          <w:sz w:val="24"/>
        </w:rPr>
        <w:tab/>
      </w:r>
      <w:hyperlink r:id="rId7" w:history="1">
        <w:r w:rsidRPr="00A76297">
          <w:rPr>
            <w:rStyle w:val="Hyperlink"/>
            <w:color w:val="000000" w:themeColor="text1"/>
            <w:sz w:val="24"/>
            <w:u w:val="none"/>
          </w:rPr>
          <w:t>https://tillymetz.lu/wp-content/uploads/2020/09/Co-signed-letter-MEP-Metz.pdf</w:t>
        </w:r>
      </w:hyperlink>
      <w:r w:rsidRPr="00A76297">
        <w:rPr>
          <w:rStyle w:val="Hyperlink"/>
          <w:color w:val="000000" w:themeColor="text1"/>
          <w:sz w:val="24"/>
          <w:u w:val="none"/>
        </w:rPr>
        <w:t>.</w:t>
      </w:r>
    </w:p>
  </w:footnote>
  <w:footnote w:id="9">
    <w:p w:rsidR="00DA4E0E" w:rsidRPr="00C43D07" w:rsidRDefault="00DA4E0E" w:rsidP="00C43D07">
      <w:pPr>
        <w:pStyle w:val="FootnoteText"/>
        <w:ind w:left="567" w:hanging="567"/>
        <w:rPr>
          <w:color w:val="000000" w:themeColor="text1"/>
          <w:sz w:val="24"/>
        </w:rPr>
      </w:pPr>
      <w:r w:rsidRPr="00C43D07">
        <w:rPr>
          <w:rStyle w:val="Funotenzeichen"/>
          <w:color w:val="000000" w:themeColor="text1"/>
          <w:sz w:val="24"/>
        </w:rPr>
        <w:footnoteRef/>
      </w:r>
      <w:r w:rsidR="00C43D07" w:rsidRPr="00C43D07">
        <w:rPr>
          <w:color w:val="000000" w:themeColor="text1"/>
          <w:sz w:val="24"/>
        </w:rPr>
        <w:t xml:space="preserve"> </w:t>
      </w:r>
      <w:r w:rsidR="00C43D07" w:rsidRPr="00C43D07">
        <w:rPr>
          <w:color w:val="000000" w:themeColor="text1"/>
          <w:sz w:val="24"/>
        </w:rPr>
        <w:tab/>
      </w:r>
      <w:r w:rsidRPr="00C43D07">
        <w:rPr>
          <w:color w:val="000000" w:themeColor="text1"/>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D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FR"/>
    <w:docVar w:name="dvnumam" w:val="0"/>
    <w:docVar w:name="dvpe" w:val="766.933"/>
    <w:docVar w:name="dvtitre" w:val="Résolution du Parlement européen du ...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D102172/03 – 2024/3011(RSP))"/>
  </w:docVars>
  <w:rsids>
    <w:rsidRoot w:val="00B15681"/>
    <w:rsid w:val="00002272"/>
    <w:rsid w:val="00064002"/>
    <w:rsid w:val="000677B9"/>
    <w:rsid w:val="000831BA"/>
    <w:rsid w:val="000A42CC"/>
    <w:rsid w:val="000E7DD9"/>
    <w:rsid w:val="0010095E"/>
    <w:rsid w:val="00125B37"/>
    <w:rsid w:val="00157AF9"/>
    <w:rsid w:val="00187494"/>
    <w:rsid w:val="001F32AE"/>
    <w:rsid w:val="002767FF"/>
    <w:rsid w:val="002B18FE"/>
    <w:rsid w:val="002B5493"/>
    <w:rsid w:val="00343214"/>
    <w:rsid w:val="00361C00"/>
    <w:rsid w:val="00395FA1"/>
    <w:rsid w:val="003E15D4"/>
    <w:rsid w:val="00411CCE"/>
    <w:rsid w:val="0041666E"/>
    <w:rsid w:val="00421060"/>
    <w:rsid w:val="00434A0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297"/>
    <w:rsid w:val="00A778C7"/>
    <w:rsid w:val="00AB441E"/>
    <w:rsid w:val="00AB6293"/>
    <w:rsid w:val="00AE0928"/>
    <w:rsid w:val="00AF3B82"/>
    <w:rsid w:val="00B12E95"/>
    <w:rsid w:val="00B15681"/>
    <w:rsid w:val="00B22876"/>
    <w:rsid w:val="00B558F0"/>
    <w:rsid w:val="00BD48FE"/>
    <w:rsid w:val="00BD7BD8"/>
    <w:rsid w:val="00BE6ADC"/>
    <w:rsid w:val="00C05BFE"/>
    <w:rsid w:val="00C077DE"/>
    <w:rsid w:val="00C23CD4"/>
    <w:rsid w:val="00C43D07"/>
    <w:rsid w:val="00C61C0C"/>
    <w:rsid w:val="00C941CB"/>
    <w:rsid w:val="00CC2357"/>
    <w:rsid w:val="00CF071A"/>
    <w:rsid w:val="00D058B8"/>
    <w:rsid w:val="00D56C11"/>
    <w:rsid w:val="00D834A0"/>
    <w:rsid w:val="00D872DF"/>
    <w:rsid w:val="00D91E21"/>
    <w:rsid w:val="00DA4E0E"/>
    <w:rsid w:val="00DA7FCD"/>
    <w:rsid w:val="00DD737C"/>
    <w:rsid w:val="00E365E1"/>
    <w:rsid w:val="00E820A4"/>
    <w:rsid w:val="00EB006A"/>
    <w:rsid w:val="00EB4772"/>
    <w:rsid w:val="00ED169E"/>
    <w:rsid w:val="00ED4235"/>
    <w:rsid w:val="00EF16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5DC794-5442-4E67-A33D-5EABD7C6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4E0E"/>
    <w:pPr>
      <w:spacing w:before="480" w:after="240"/>
    </w:pPr>
  </w:style>
  <w:style w:type="paragraph" w:customStyle="1" w:styleId="NormalHanging12a">
    <w:name w:val="NormalHanging12a"/>
    <w:basedOn w:val="Normal"/>
    <w:qFormat/>
    <w:rsid w:val="00DA4E0E"/>
    <w:pPr>
      <w:spacing w:after="240"/>
      <w:ind w:left="567" w:hanging="567"/>
    </w:pPr>
  </w:style>
  <w:style w:type="character" w:styleId="Hyperlink">
    <w:name w:val="Hyperlink"/>
    <w:basedOn w:val="DefaultParagraphFont"/>
    <w:uiPriority w:val="99"/>
    <w:rsid w:val="00DA4E0E"/>
    <w:rPr>
      <w:color w:val="0563C1" w:themeColor="hyperlink"/>
      <w:u w:val="single"/>
    </w:rPr>
  </w:style>
  <w:style w:type="character" w:customStyle="1" w:styleId="Funotenzeichen">
    <w:name w:val="Fußnotenzeichen"/>
    <w:qFormat/>
    <w:rsid w:val="00DA4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0931C-77B8-4A60-AC2B-A9EA31B0A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2025-02-12T13:39:00Z</dcterms:created>
  <dcterms:modified xsi:type="dcterms:W3CDTF">2025-02-12T13:39:00Z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B10-0060/2025</vt:lpwstr>
  </property>
  <property fmtid="{D5CDD505-2E9C-101B-9397-08002B2CF9AE}" pid="4" name="&lt;Type&gt;">
    <vt:lpwstr>RR</vt:lpwstr>
  </property>
</Properties>
</file>